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2.5pt;margin-top:22.499983pt;width:549.9pt;height:796.85pt;mso-position-horizontal-relative:page;mso-position-vertical-relative:page;z-index:-181624" coordorigin="450,450" coordsize="10998,15937">
            <v:shape style="position:absolute;left:450;top:450;width:10998;height:15937" type="#_x0000_t75" stroked="false">
              <v:imagedata r:id="rId5" o:title=""/>
            </v:shape>
            <v:shape style="position:absolute;left:1133;top:859;width:301;height:246" type="#_x0000_t75" stroked="false">
              <v:imagedata r:id="rId6" o:title=""/>
            </v:shape>
            <v:line style="position:absolute" from="1544,859" to="1544,1105" stroked="true" strokeweight="4.010077pt" strokecolor="#b70d17">
              <v:stroke dashstyle="solid"/>
            </v:line>
            <v:shape style="position:absolute;left:1659;top:854;width:281;height:251" type="#_x0000_t75" stroked="false">
              <v:imagedata r:id="rId7" o:title=""/>
            </v:shape>
            <v:shape style="position:absolute;left:1980;top:639;width:662;height:476" type="#_x0000_t75" stroked="false">
              <v:imagedata r:id="rId8" o:title=""/>
            </v:shape>
            <v:rect style="position:absolute;left:4657;top:10935;width:159;height:159" filled="true" fillcolor="#ffffff" stroked="false">
              <v:fill type="solid"/>
            </v:rect>
            <v:line style="position:absolute" from="4880,10936" to="4880,11094" stroked="true" strokeweight="6.48pt" strokecolor="#ffffff">
              <v:stroke dashstyle="solid"/>
            </v:line>
            <v:rect style="position:absolute;left:4945;top:10935;width:5526;height:159" filled="true" fillcolor="#ffffff" stroked="false">
              <v:fill type="solid"/>
            </v:rect>
            <v:line style="position:absolute" from="10536,10936" to="10536,11094" stroked="true" strokeweight="6.48pt" strokecolor="#ffffff">
              <v:stroke dashstyle="solid"/>
            </v:line>
            <v:shape style="position:absolute;left:4657;top:10935;width:6102;height:2106" coordorigin="4657,10936" coordsize="6102,2106" path="m4815,11094l4657,11094,4657,11966,4657,12172,4657,13041,4815,13041,4815,12172,4815,11966,4815,11094m10759,10936l10600,10936,10600,11094,10759,11094,10759,10936e" filled="true" fillcolor="#ffffff" stroked="false">
              <v:path arrowok="t"/>
              <v:fill type="solid"/>
            </v:shape>
            <v:line style="position:absolute" from="4880,11094" to="4880,11834" stroked="true" strokeweight="6.48pt" strokecolor="#d9d9d9">
              <v:stroke dashstyle="solid"/>
            </v:line>
            <v:line style="position:absolute" from="4880,11834" to="4880,12302" stroked="true" strokeweight="6.48pt" strokecolor="#d9d9d9">
              <v:stroke dashstyle="solid"/>
            </v:line>
            <v:shape style="position:absolute;left:4945;top:11094;width:5526;height:1947" coordorigin="4945,11094" coordsize="5526,1947" path="m10471,11094l4945,11094,4945,11582,4945,12069,4945,12554,4945,13041,10471,13041,10471,12554,10471,12069,10471,11582,10471,11094e" filled="true" fillcolor="#d9d9d9" stroked="false">
              <v:path arrowok="t"/>
              <v:fill type="solid"/>
            </v:shape>
            <v:line style="position:absolute" from="10536,11094" to="10536,11834" stroked="true" strokeweight="6.48pt" strokecolor="#d9d9d9">
              <v:stroke dashstyle="solid"/>
            </v:line>
            <v:line style="position:absolute" from="10536,11834" to="10536,12302" stroked="true" strokeweight="6.48pt" strokecolor="#d9d9d9">
              <v:stroke dashstyle="solid"/>
            </v:line>
            <v:shape style="position:absolute;left:4657;top:11094;width:6102;height:2579" coordorigin="4657,11094" coordsize="6102,2579" path="m4815,13051l4657,13051,4657,13257,4657,13464,4657,13672,4815,13672,4815,13464,4815,13257,4815,13051m10759,11094l10600,11094,10600,11834,10600,12302,10600,13041,10759,13041,10759,12302,10759,11834,10759,11094e" filled="true" fillcolor="#ffffff" stroked="false">
              <v:path arrowok="t"/>
              <v:fill type="solid"/>
            </v:shape>
            <v:shape style="position:absolute;left:4945;top:13050;width:5526;height:622" coordorigin="4945,13051" coordsize="5526,622" path="m10471,13051l4945,13051,4945,13562,4945,13672,10471,13672,10471,13562,10471,13051e" filled="true" fillcolor="#d9d9d9" stroked="false">
              <v:path arrowok="t"/>
              <v:fill type="solid"/>
            </v:shape>
            <v:shape style="position:absolute;left:10600;top:13050;width:159;height:622" coordorigin="10600,13051" coordsize="159,622" path="m10759,13051l10600,13051,10600,13128,10600,13593,10600,13672,10759,13672,10759,13593,10759,13128,10759,13051e" filled="true" fillcolor="#ffffff" stroked="false">
              <v:path arrowok="t"/>
              <v:fill type="solid"/>
            </v:shape>
            <v:line style="position:absolute" from="4657,13046" to="4815,13046" stroked="true" strokeweight=".47998pt" strokecolor="#ffffff">
              <v:stroke dashstyle="solid"/>
            </v:line>
            <v:line style="position:absolute" from="4945,13046" to="10471,13046" stroked="true" strokeweight=".47998pt" strokecolor="#000000">
              <v:stroke dashstyle="solid"/>
            </v:line>
            <v:line style="position:absolute" from="10600,13046" to="10759,13046" stroked="true" strokeweight=".47998pt" strokecolor="#ffffff">
              <v:stroke dashstyle="solid"/>
            </v:line>
            <v:shape style="position:absolute;left:4657;top:13682;width:159;height:569" coordorigin="4657,13682" coordsize="159,569" path="m4815,13682l4657,13682,4657,13864,4657,14071,4657,14251,4815,14251,4815,14071,4815,13864,4815,13682e" filled="true" fillcolor="#ffffff" stroked="false">
              <v:path arrowok="t"/>
              <v:fill type="solid"/>
            </v:shape>
            <v:shape style="position:absolute;left:4945;top:13682;width:5526;height:569" coordorigin="4945,13682" coordsize="5526,569" path="m10471,13682l4945,13682,4945,13922,4945,14162,4945,14251,10471,14251,10471,14162,10471,13922,10471,13682e" filled="true" fillcolor="#d9d9d9" stroked="false">
              <v:path arrowok="t"/>
              <v:fill type="solid"/>
            </v:shape>
            <v:shape style="position:absolute;left:10600;top:13682;width:159;height:569" coordorigin="10600,13682" coordsize="159,569" path="m10759,13682l10600,13682,10600,13732,10600,14200,10600,14251,10759,14251,10759,14200,10759,13732,10759,13682e" filled="true" fillcolor="#ffffff" stroked="false">
              <v:path arrowok="t"/>
              <v:fill type="solid"/>
            </v:shape>
            <v:line style="position:absolute" from="4657,13677" to="4815,13677" stroked="true" strokeweight=".47998pt" strokecolor="#ffffff">
              <v:stroke dashstyle="solid"/>
            </v:line>
            <v:line style="position:absolute" from="4945,13677" to="10471,13677" stroked="true" strokeweight=".47998pt" strokecolor="#000000">
              <v:stroke dashstyle="solid"/>
            </v:line>
            <v:line style="position:absolute" from="10600,13677" to="10759,13677" stroked="true" strokeweight=".47998pt" strokecolor="#ffffff">
              <v:stroke dashstyle="solid"/>
            </v:line>
            <v:shape style="position:absolute;left:4657;top:14260;width:159;height:332" coordorigin="4657,14260" coordsize="159,332" path="m4815,14260l4657,14260,4657,14323,4657,14529,4657,14592,4815,14592,4815,14529,4815,14323,4815,14260e" filled="true" fillcolor="#ffffff" stroked="false">
              <v:path arrowok="t"/>
              <v:fill type="solid"/>
            </v:shape>
            <v:line style="position:absolute" from="4880,12302" to="4880,14592" stroked="true" strokeweight="6.48pt" strokecolor="#d9d9d9">
              <v:stroke dashstyle="solid"/>
            </v:line>
            <v:shape style="position:absolute;left:4945;top:14260;width:5526;height:332" coordorigin="4945,14260" coordsize="5526,332" path="m10471,14260l4945,14260,4945,14572,4945,14592,10471,14592,10471,14572,10471,14260e" filled="true" fillcolor="#d9d9d9" stroked="false">
              <v:path arrowok="t"/>
              <v:fill type="solid"/>
            </v:shape>
            <v:line style="position:absolute" from="10536,12302" to="10536,14592" stroked="true" strokeweight="6.48pt" strokecolor="#d9d9d9">
              <v:stroke dashstyle="solid"/>
            </v:line>
            <v:rect style="position:absolute;left:10600;top:14260;width:159;height:332" filled="true" fillcolor="#ffffff" stroked="false">
              <v:fill type="solid"/>
            </v:rect>
            <v:line style="position:absolute" from="4657,14256" to="4815,14256" stroked="true" strokeweight=".47998pt" strokecolor="#ffffff">
              <v:stroke dashstyle="solid"/>
            </v:line>
            <v:line style="position:absolute" from="4945,14256" to="10471,14256" stroked="true" strokeweight=".47998pt" strokecolor="#000000">
              <v:stroke dashstyle="solid"/>
            </v:line>
            <v:line style="position:absolute" from="10600,14256" to="10759,14256" stroked="true" strokeweight=".47998pt" strokecolor="#ffffff">
              <v:stroke dashstyle="solid"/>
            </v:line>
            <v:rect style="position:absolute;left:4657;top:14591;width:159;height:159" filled="true" fillcolor="#ffffff" stroked="false">
              <v:fill type="solid"/>
            </v:rect>
            <v:line style="position:absolute" from="4880,14592" to="4880,14750" stroked="true" strokeweight="6.48pt" strokecolor="#ffffff">
              <v:stroke dashstyle="solid"/>
            </v:line>
            <v:rect style="position:absolute;left:4945;top:14591;width:5526;height:159" filled="true" fillcolor="#ffffff" stroked="false">
              <v:fill type="solid"/>
            </v:rect>
            <v:line style="position:absolute" from="10536,14592" to="10536,14750" stroked="true" strokeweight="6.48pt" strokecolor="#ffffff">
              <v:stroke dashstyle="solid"/>
            </v:line>
            <v:rect style="position:absolute;left:10600;top:14591;width:159;height:159" filled="true" fillcolor="#ffffff"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pStyle w:val="BodyText"/>
        <w:ind w:left="3965"/>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276.3pt;height:174.9pt;mso-position-horizontal-relative:char;mso-position-vertical-relative:line" type="#_x0000_t202" filled="false" stroked="false">
            <w10:anchorlock/>
            <v:textbox inset="0,0,0,0">
              <w:txbxContent>
                <w:p>
                  <w:pPr>
                    <w:spacing w:before="1"/>
                    <w:ind w:left="64" w:right="26" w:firstLine="3348"/>
                    <w:jc w:val="right"/>
                    <w:rPr>
                      <w:sz w:val="40"/>
                    </w:rPr>
                  </w:pPr>
                  <w:r>
                    <w:rPr>
                      <w:sz w:val="40"/>
                    </w:rPr>
                    <w:t>Analyse</w:t>
                  </w:r>
                  <w:r>
                    <w:rPr>
                      <w:spacing w:val="2"/>
                      <w:sz w:val="40"/>
                    </w:rPr>
                    <w:t> </w:t>
                  </w:r>
                  <w:r>
                    <w:rPr>
                      <w:spacing w:val="-8"/>
                      <w:sz w:val="40"/>
                    </w:rPr>
                    <w:t>af</w:t>
                  </w:r>
                  <w:r>
                    <w:rPr>
                      <w:spacing w:val="-1"/>
                      <w:w w:val="100"/>
                      <w:sz w:val="40"/>
                    </w:rPr>
                    <w:t> </w:t>
                  </w:r>
                  <w:r>
                    <w:rPr>
                      <w:sz w:val="40"/>
                    </w:rPr>
                    <w:t>anvendelsesmuligheder</w:t>
                  </w:r>
                  <w:r>
                    <w:rPr>
                      <w:spacing w:val="-8"/>
                      <w:sz w:val="40"/>
                    </w:rPr>
                    <w:t> </w:t>
                  </w:r>
                  <w:r>
                    <w:rPr>
                      <w:sz w:val="40"/>
                    </w:rPr>
                    <w:t>for</w:t>
                  </w:r>
                  <w:r>
                    <w:rPr>
                      <w:w w:val="100"/>
                      <w:sz w:val="40"/>
                    </w:rPr>
                    <w:t> </w:t>
                  </w:r>
                  <w:r>
                    <w:rPr>
                      <w:sz w:val="40"/>
                    </w:rPr>
                    <w:t>en</w:t>
                  </w:r>
                  <w:r>
                    <w:rPr>
                      <w:spacing w:val="-4"/>
                      <w:sz w:val="40"/>
                    </w:rPr>
                    <w:t> </w:t>
                  </w:r>
                  <w:r>
                    <w:rPr>
                      <w:sz w:val="40"/>
                    </w:rPr>
                    <w:t>datainfrastruktur</w:t>
                  </w:r>
                  <w:r>
                    <w:rPr>
                      <w:spacing w:val="-8"/>
                      <w:sz w:val="40"/>
                    </w:rPr>
                    <w:t> </w:t>
                  </w:r>
                  <w:r>
                    <w:rPr>
                      <w:sz w:val="40"/>
                    </w:rPr>
                    <w:t>for</w:t>
                  </w:r>
                  <w:r>
                    <w:rPr>
                      <w:w w:val="100"/>
                      <w:sz w:val="40"/>
                    </w:rPr>
                    <w:t> </w:t>
                  </w:r>
                  <w:r>
                    <w:rPr>
                      <w:sz w:val="40"/>
                    </w:rPr>
                    <w:t>indendørs</w:t>
                  </w:r>
                  <w:r>
                    <w:rPr>
                      <w:spacing w:val="-3"/>
                      <w:sz w:val="40"/>
                    </w:rPr>
                    <w:t> </w:t>
                  </w:r>
                  <w:r>
                    <w:rPr>
                      <w:sz w:val="40"/>
                    </w:rPr>
                    <w:t>geografi</w:t>
                  </w:r>
                </w:p>
                <w:p>
                  <w:pPr>
                    <w:spacing w:before="95"/>
                    <w:ind w:left="0" w:right="28" w:firstLine="0"/>
                    <w:jc w:val="right"/>
                    <w:rPr>
                      <w:rFonts w:ascii="Palatino Linotype"/>
                      <w:sz w:val="26"/>
                    </w:rPr>
                  </w:pPr>
                  <w:r>
                    <w:rPr>
                      <w:rFonts w:ascii="Palatino Linotype"/>
                      <w:spacing w:val="-1"/>
                      <w:w w:val="95"/>
                      <w:sz w:val="26"/>
                    </w:rPr>
                    <w:t>Rapport</w:t>
                  </w:r>
                </w:p>
                <w:p>
                  <w:pPr>
                    <w:pStyle w:val="BodyText"/>
                    <w:spacing w:before="2"/>
                    <w:rPr>
                      <w:rFonts w:ascii="Times New Roman"/>
                      <w:sz w:val="23"/>
                    </w:rPr>
                  </w:pPr>
                </w:p>
                <w:p>
                  <w:pPr>
                    <w:spacing w:before="0"/>
                    <w:ind w:left="0" w:right="28" w:firstLine="0"/>
                    <w:jc w:val="right"/>
                    <w:rPr>
                      <w:b/>
                      <w:sz w:val="14"/>
                    </w:rPr>
                  </w:pPr>
                  <w:r>
                    <w:rPr>
                      <w:b/>
                      <w:sz w:val="14"/>
                    </w:rPr>
                    <w:t>STYRELSEN FOR DATAFORSYNING OG</w:t>
                  </w:r>
                  <w:r>
                    <w:rPr>
                      <w:b/>
                      <w:spacing w:val="-26"/>
                      <w:sz w:val="14"/>
                    </w:rPr>
                    <w:t> </w:t>
                  </w:r>
                  <w:r>
                    <w:rPr>
                      <w:b/>
                      <w:sz w:val="14"/>
                    </w:rPr>
                    <w:t>EFFEKTIVISERING</w:t>
                  </w:r>
                </w:p>
                <w:p>
                  <w:pPr>
                    <w:spacing w:before="0"/>
                    <w:ind w:left="0" w:right="29" w:firstLine="0"/>
                    <w:jc w:val="right"/>
                    <w:rPr>
                      <w:b/>
                      <w:sz w:val="14"/>
                    </w:rPr>
                  </w:pPr>
                  <w:r>
                    <w:rPr>
                      <w:b/>
                      <w:sz w:val="14"/>
                    </w:rPr>
                    <w:t>OG</w:t>
                  </w:r>
                  <w:r>
                    <w:rPr>
                      <w:b/>
                      <w:spacing w:val="-11"/>
                      <w:sz w:val="14"/>
                    </w:rPr>
                    <w:t> </w:t>
                  </w:r>
                  <w:r>
                    <w:rPr>
                      <w:b/>
                      <w:sz w:val="14"/>
                    </w:rPr>
                    <w:t>ENERGISTYRELSEN</w:t>
                  </w:r>
                </w:p>
                <w:p>
                  <w:pPr>
                    <w:pStyle w:val="BodyText"/>
                    <w:spacing w:before="8"/>
                    <w:rPr>
                      <w:rFonts w:ascii="Times New Roman"/>
                      <w:sz w:val="20"/>
                    </w:rPr>
                  </w:pPr>
                </w:p>
                <w:p>
                  <w:pPr>
                    <w:spacing w:before="0"/>
                    <w:ind w:left="0" w:right="29" w:firstLine="0"/>
                    <w:jc w:val="right"/>
                    <w:rPr>
                      <w:b/>
                      <w:sz w:val="14"/>
                    </w:rPr>
                  </w:pPr>
                  <w:r>
                    <w:rPr>
                      <w:b/>
                      <w:sz w:val="14"/>
                    </w:rPr>
                    <w:t>5. FEBRUAR</w:t>
                  </w:r>
                  <w:r>
                    <w:rPr>
                      <w:b/>
                      <w:spacing w:val="-10"/>
                      <w:sz w:val="14"/>
                    </w:rPr>
                    <w:t> </w:t>
                  </w:r>
                  <w:r>
                    <w:rPr>
                      <w:b/>
                      <w:sz w:val="14"/>
                    </w:rPr>
                    <w:t>2019</w:t>
                  </w:r>
                </w:p>
              </w:txbxContent>
            </v:textbox>
          </v:shape>
        </w:pict>
      </w:r>
      <w:r>
        <w:rPr>
          <w:rFonts w:ascii="Times New Roman"/>
          <w:sz w:val="20"/>
        </w:rPr>
      </w:r>
    </w:p>
    <w:p>
      <w:pPr>
        <w:spacing w:after="0"/>
        <w:rPr>
          <w:rFonts w:ascii="Times New Roman"/>
          <w:sz w:val="20"/>
        </w:rPr>
        <w:sectPr>
          <w:type w:val="continuous"/>
          <w:pgSz w:w="11910" w:h="16840"/>
          <w:pgMar w:top="1580" w:bottom="280" w:left="980" w:right="1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20"/>
        </w:rPr>
      </w:pPr>
    </w:p>
    <w:p>
      <w:pPr>
        <w:tabs>
          <w:tab w:pos="5098" w:val="left" w:leader="none"/>
          <w:tab w:pos="7563" w:val="left" w:leader="none"/>
        </w:tabs>
        <w:spacing w:line="20" w:lineRule="exact"/>
        <w:ind w:left="2630" w:right="0" w:firstLine="0"/>
        <w:rPr>
          <w:rFonts w:ascii="Times New Roman"/>
          <w:sz w:val="2"/>
        </w:rPr>
      </w:pPr>
      <w:r>
        <w:rPr>
          <w:rFonts w:ascii="Times New Roman"/>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Times New Roman"/>
          <w:sz w:val="2"/>
        </w:rPr>
      </w:r>
      <w:r>
        <w:rPr>
          <w:rFonts w:ascii="Times New Roman"/>
          <w:sz w:val="2"/>
        </w:rPr>
        <w:tab/>
      </w:r>
      <w:r>
        <w:rPr>
          <w:rFonts w:ascii="Times New Roman"/>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Times New Roman"/>
          <w:sz w:val="2"/>
        </w:rPr>
      </w:r>
      <w:r>
        <w:rPr>
          <w:rFonts w:ascii="Times New Roman"/>
          <w:sz w:val="2"/>
        </w:rPr>
        <w:tab/>
      </w:r>
      <w:r>
        <w:rPr>
          <w:rFonts w:ascii="Times New Roman"/>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Times New Roman"/>
          <w:sz w:val="2"/>
        </w:rPr>
      </w:r>
    </w:p>
    <w:p>
      <w:pPr>
        <w:spacing w:after="0" w:line="20" w:lineRule="exact"/>
        <w:rPr>
          <w:rFonts w:ascii="Times New Roman"/>
          <w:sz w:val="2"/>
        </w:rPr>
        <w:sectPr>
          <w:footerReference w:type="default" r:id="rId9"/>
          <w:pgSz w:w="11910" w:h="16840"/>
          <w:pgMar w:footer="761" w:header="0" w:top="0" w:bottom="960" w:left="980" w:right="100"/>
          <w:pgNumType w:start="2"/>
        </w:sectPr>
      </w:pPr>
    </w:p>
    <w:p>
      <w:pPr>
        <w:spacing w:line="379" w:lineRule="auto" w:before="54"/>
        <w:ind w:left="2635" w:right="-20" w:firstLine="0"/>
        <w:jc w:val="left"/>
        <w:rPr>
          <w:sz w:val="12"/>
        </w:rPr>
      </w:pPr>
      <w:r>
        <w:rPr>
          <w:sz w:val="12"/>
        </w:rPr>
        <w:t>Styrelsen for Dataforsyning og Ef- fektivisering og Energistyrelsen</w:t>
      </w:r>
    </w:p>
    <w:p>
      <w:pPr>
        <w:pStyle w:val="ListParagraph"/>
        <w:numPr>
          <w:ilvl w:val="0"/>
          <w:numId w:val="1"/>
        </w:numPr>
        <w:tabs>
          <w:tab w:pos="604" w:val="left" w:leader="none"/>
          <w:tab w:pos="2829" w:val="left" w:leader="none"/>
        </w:tabs>
        <w:spacing w:line="240" w:lineRule="auto" w:before="54" w:after="0"/>
        <w:ind w:left="603"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240" w:lineRule="auto"/>
        <w:jc w:val="left"/>
        <w:rPr>
          <w:sz w:val="12"/>
        </w:rPr>
        <w:sectPr>
          <w:type w:val="continuous"/>
          <w:pgSz w:w="11910" w:h="16840"/>
          <w:pgMar w:top="1580" w:bottom="280" w:left="980" w:right="100"/>
          <w:cols w:num="2" w:equalWidth="0">
            <w:col w:w="4700" w:space="40"/>
            <w:col w:w="6090"/>
          </w:cols>
        </w:sectPr>
      </w:pPr>
    </w:p>
    <w:p>
      <w:pPr>
        <w:pStyle w:val="BodyText"/>
        <w:rPr>
          <w:sz w:val="20"/>
        </w:rPr>
      </w:pPr>
      <w:r>
        <w:rPr/>
        <w:pict>
          <v:shape style="position:absolute;margin-left:.017151pt;margin-top:-157.190018pt;width:133.65pt;height:997.65pt;mso-position-horizontal-relative:page;mso-position-vertical-relative:page;z-index:-181528" coordorigin="0,-3144" coordsize="2673,19953" path="m3382,16476l3238,16816m3382,16476l3382,16476m3382,16082l3073,16816m3382,15693l2909,16816m3382,15298l2739,16816m3382,14904l2575,16816m3382,14514l2405,16816m3382,14120l2241,16816m3382,13726l2076,16816m3382,13336l1907,16816m3382,12942l1742,16816m3382,12547l1573,16816m3382,12158l1408,16816m3382,11764l1239,16816m3382,11369l1134,16676m3382,10980l1134,16287m3382,10585l1134,15892m3382,10191l1134,15498m3382,9796l1134,15104m3382,9407l1134,14714m3382,9013l1134,14320m3382,8618l1134,13925m3382,8229l1134,13536m3382,7834l1134,13141m3382,7440l1134,12747m3382,7050l1134,12358m3382,6656l1134,11963m3382,6262l1134,11569m3382,5872l1134,11179m3382,5478l1134,10785m3382,5083l1134,10391m3382,4694l1134,10001m3382,4299l1134,9607m3382,3905l1134,9212m3382,3516l1134,8823m3382,3121l1134,8428m3382,2727l1134,8034m3382,2337l1134,7645m3382,1943l1134,7250m3382,1549l1134,6856m3382,1159l1134,6466m3382,1159l3382,1159m3382,765l1134,6072m3382,765l3382,765m3382,370l1134,5677m3372,6l1134,5283m3208,6l1134,4894m3038,6l1134,4499m2874,6l1134,4105m2704,6l1134,3715m2540,6l1134,3321m2375,6l1134,2927m2206,6l1134,2537m2041,6l1134,2143m1872,6l1134,1748m1708,6l1134,1359m1543,6l1134,965m1374,6l1134,570m1209,6l1134,181m1209,6l1209,6e" filled="false" stroked="true" strokeweight=".498857pt" strokecolor="#f0f0f0">
            <v:path arrowok="t"/>
            <v:stroke dashstyle="solid"/>
            <w10:wrap type="none"/>
          </v:shape>
        </w:pict>
      </w:r>
    </w:p>
    <w:p>
      <w:pPr>
        <w:pStyle w:val="BodyText"/>
        <w:rPr>
          <w:sz w:val="20"/>
        </w:rPr>
      </w:pPr>
    </w:p>
    <w:p>
      <w:pPr>
        <w:pStyle w:val="BodyText"/>
        <w:rPr>
          <w:sz w:val="20"/>
        </w:rPr>
      </w:pPr>
    </w:p>
    <w:p>
      <w:pPr>
        <w:pStyle w:val="BodyText"/>
        <w:spacing w:before="8"/>
        <w:rPr>
          <w:sz w:val="26"/>
        </w:rPr>
      </w:pPr>
    </w:p>
    <w:p>
      <w:pPr>
        <w:spacing w:before="101"/>
        <w:ind w:left="2649" w:right="0" w:firstLine="0"/>
        <w:jc w:val="left"/>
        <w:rPr>
          <w:sz w:val="70"/>
        </w:rPr>
      </w:pPr>
      <w:r>
        <w:rPr>
          <w:sz w:val="70"/>
        </w:rPr>
        <w:t>Indhold</w:t>
      </w:r>
    </w:p>
    <w:sdt>
      <w:sdtPr>
        <w:docPartObj>
          <w:docPartGallery w:val="Table of Contents"/>
          <w:docPartUnique/>
        </w:docPartObj>
      </w:sdtPr>
      <w:sdtEndPr/>
      <w:sdtContent>
        <w:p>
          <w:pPr>
            <w:pStyle w:val="TOC1"/>
            <w:numPr>
              <w:ilvl w:val="1"/>
              <w:numId w:val="1"/>
            </w:numPr>
            <w:tabs>
              <w:tab w:pos="3640" w:val="left" w:leader="none"/>
              <w:tab w:pos="3641" w:val="left" w:leader="none"/>
              <w:tab w:pos="9656" w:val="left" w:leader="none"/>
            </w:tabs>
            <w:spacing w:line="240" w:lineRule="auto" w:before="863" w:after="0"/>
            <w:ind w:left="3641" w:right="0" w:hanging="992"/>
            <w:jc w:val="left"/>
          </w:pPr>
          <w:r>
            <w:rPr/>
            <w:pict>
              <v:line style="position:absolute;mso-position-horizontal-relative:page;mso-position-vertical-relative:paragraph;z-index:1168" from="181.449997pt,22.538311pt" to="538.599997pt,22.538311pt" stroked="true" strokeweight=".5pt" strokecolor="#000000">
                <v:stroke dashstyle="solid"/>
                <w10:wrap type="none"/>
              </v:line>
            </w:pict>
          </w:r>
          <w:hyperlink w:history="true" w:anchor="_bookmark0">
            <w:r>
              <w:rPr/>
              <w:t>Introduktion</w:t>
              <w:tab/>
              <w:t>5</w:t>
            </w:r>
          </w:hyperlink>
        </w:p>
        <w:p>
          <w:pPr>
            <w:pStyle w:val="TOC2"/>
            <w:numPr>
              <w:ilvl w:val="2"/>
              <w:numId w:val="1"/>
            </w:numPr>
            <w:tabs>
              <w:tab w:pos="3640" w:val="left" w:leader="none"/>
              <w:tab w:pos="3641" w:val="left" w:leader="none"/>
              <w:tab w:pos="9668" w:val="left" w:leader="none"/>
            </w:tabs>
            <w:spacing w:line="240" w:lineRule="auto" w:before="122" w:after="0"/>
            <w:ind w:left="3641" w:right="0" w:hanging="992"/>
            <w:jc w:val="left"/>
          </w:pPr>
          <w:hyperlink w:history="true" w:anchor="_bookmark1">
            <w:r>
              <w:rPr/>
              <w:t>Hovedresultater</w:t>
              <w:tab/>
              <w:t>5</w:t>
            </w:r>
          </w:hyperlink>
        </w:p>
        <w:p>
          <w:pPr>
            <w:pStyle w:val="TOC2"/>
            <w:numPr>
              <w:ilvl w:val="2"/>
              <w:numId w:val="1"/>
            </w:numPr>
            <w:tabs>
              <w:tab w:pos="3640" w:val="left" w:leader="none"/>
              <w:tab w:pos="3641" w:val="left" w:leader="none"/>
              <w:tab w:pos="9668" w:val="left" w:leader="none"/>
            </w:tabs>
            <w:spacing w:line="240" w:lineRule="auto" w:before="122" w:after="0"/>
            <w:ind w:left="3641" w:right="0" w:hanging="992"/>
            <w:jc w:val="left"/>
          </w:pPr>
          <w:hyperlink w:history="true" w:anchor="_bookmark2">
            <w:r>
              <w:rPr/>
              <w:t>Rapportens</w:t>
            </w:r>
            <w:r>
              <w:rPr>
                <w:spacing w:val="-6"/>
              </w:rPr>
              <w:t> </w:t>
            </w:r>
            <w:r>
              <w:rPr/>
              <w:t>opbygning</w:t>
              <w:tab/>
              <w:t>7</w:t>
            </w:r>
          </w:hyperlink>
        </w:p>
        <w:p>
          <w:pPr>
            <w:pStyle w:val="TOC1"/>
            <w:numPr>
              <w:ilvl w:val="1"/>
              <w:numId w:val="1"/>
            </w:numPr>
            <w:tabs>
              <w:tab w:pos="3640" w:val="left" w:leader="none"/>
              <w:tab w:pos="3641" w:val="left" w:leader="none"/>
              <w:tab w:pos="9656" w:val="left" w:leader="none"/>
            </w:tabs>
            <w:spacing w:line="240" w:lineRule="auto" w:before="382" w:after="0"/>
            <w:ind w:left="3641" w:right="0" w:hanging="992"/>
            <w:jc w:val="left"/>
          </w:pPr>
          <w:hyperlink w:history="true" w:anchor="_bookmark3">
            <w:r>
              <w:rPr/>
              <w:t>Datainfrastruktur for</w:t>
            </w:r>
            <w:r>
              <w:rPr>
                <w:spacing w:val="-8"/>
              </w:rPr>
              <w:t> </w:t>
            </w:r>
            <w:r>
              <w:rPr/>
              <w:t>indendørs</w:t>
            </w:r>
            <w:r>
              <w:rPr>
                <w:spacing w:val="-3"/>
              </w:rPr>
              <w:t> </w:t>
            </w:r>
            <w:r>
              <w:rPr/>
              <w:t>geografi</w:t>
              <w:tab/>
              <w:t>9</w:t>
            </w:r>
          </w:hyperlink>
        </w:p>
        <w:p>
          <w:pPr>
            <w:pStyle w:val="TOC2"/>
            <w:numPr>
              <w:ilvl w:val="2"/>
              <w:numId w:val="1"/>
            </w:numPr>
            <w:tabs>
              <w:tab w:pos="3640" w:val="left" w:leader="none"/>
              <w:tab w:pos="3641" w:val="left" w:leader="none"/>
              <w:tab w:pos="9555" w:val="left" w:leader="none"/>
            </w:tabs>
            <w:spacing w:line="240" w:lineRule="auto" w:before="119" w:after="0"/>
            <w:ind w:left="3641" w:right="0" w:hanging="992"/>
            <w:jc w:val="left"/>
          </w:pPr>
          <w:hyperlink w:history="true" w:anchor="_bookmark7">
            <w:r>
              <w:rPr/>
              <w:t>Koblingen mellem digitale bygningsmodeller</w:t>
            </w:r>
            <w:r>
              <w:rPr>
                <w:spacing w:val="-17"/>
              </w:rPr>
              <w:t> </w:t>
            </w:r>
            <w:r>
              <w:rPr/>
              <w:t>og</w:t>
            </w:r>
            <w:r>
              <w:rPr>
                <w:spacing w:val="-4"/>
              </w:rPr>
              <w:t> </w:t>
            </w:r>
            <w:r>
              <w:rPr/>
              <w:t>geodata</w:t>
              <w:tab/>
              <w:t>10</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9">
            <w:r>
              <w:rPr/>
              <w:t>Udvekslingsformater</w:t>
              <w:tab/>
              <w:t>12</w:t>
            </w:r>
          </w:hyperlink>
        </w:p>
        <w:p>
          <w:pPr>
            <w:pStyle w:val="TOC2"/>
            <w:numPr>
              <w:ilvl w:val="2"/>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11">
            <w:r>
              <w:rPr/>
              <w:t>Specificering af infrastrukturen for</w:t>
            </w:r>
            <w:r>
              <w:rPr>
                <w:spacing w:val="-15"/>
              </w:rPr>
              <w:t> </w:t>
            </w:r>
            <w:r>
              <w:rPr/>
              <w:t>indendørs</w:t>
            </w:r>
            <w:r>
              <w:rPr>
                <w:spacing w:val="-4"/>
              </w:rPr>
              <w:t> </w:t>
            </w:r>
            <w:r>
              <w:rPr/>
              <w:t>geografi</w:t>
              <w:tab/>
              <w:t>12</w:t>
            </w:r>
          </w:hyperlink>
        </w:p>
        <w:p>
          <w:pPr>
            <w:pStyle w:val="TOC2"/>
            <w:numPr>
              <w:ilvl w:val="3"/>
              <w:numId w:val="1"/>
            </w:numPr>
            <w:tabs>
              <w:tab w:pos="3640" w:val="left" w:leader="none"/>
              <w:tab w:pos="3641" w:val="left" w:leader="none"/>
              <w:tab w:pos="9555" w:val="left" w:leader="none"/>
            </w:tabs>
            <w:spacing w:line="240" w:lineRule="auto" w:before="120" w:after="0"/>
            <w:ind w:left="3641" w:right="0" w:hanging="992"/>
            <w:jc w:val="left"/>
          </w:pPr>
          <w:hyperlink w:history="true" w:anchor="_bookmark12">
            <w:r>
              <w:rPr/>
              <w:t>Løsningsinfrastruktur</w:t>
              <w:tab/>
              <w:t>13</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14">
            <w:r>
              <w:rPr/>
              <w:t>Datamodel for en</w:t>
            </w:r>
            <w:r>
              <w:rPr>
                <w:spacing w:val="-10"/>
              </w:rPr>
              <w:t> </w:t>
            </w:r>
            <w:r>
              <w:rPr/>
              <w:t>indendørs</w:t>
            </w:r>
            <w:r>
              <w:rPr>
                <w:spacing w:val="-3"/>
              </w:rPr>
              <w:t> </w:t>
            </w:r>
            <w:r>
              <w:rPr/>
              <w:t>steddatabase</w:t>
              <w:tab/>
              <w:t>14</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17">
            <w:r>
              <w:rPr/>
              <w:t>Udkast til</w:t>
            </w:r>
            <w:r>
              <w:rPr>
                <w:spacing w:val="-8"/>
              </w:rPr>
              <w:t> </w:t>
            </w:r>
            <w:r>
              <w:rPr/>
              <w:t>tværgående</w:t>
            </w:r>
            <w:r>
              <w:rPr>
                <w:spacing w:val="-4"/>
              </w:rPr>
              <w:t> </w:t>
            </w:r>
            <w:r>
              <w:rPr/>
              <w:t>standardegenskaber</w:t>
              <w:tab/>
              <w:t>15</w:t>
            </w:r>
          </w:hyperlink>
        </w:p>
        <w:p>
          <w:pPr>
            <w:pStyle w:val="TOC2"/>
            <w:numPr>
              <w:ilvl w:val="3"/>
              <w:numId w:val="1"/>
            </w:numPr>
            <w:tabs>
              <w:tab w:pos="3640" w:val="left" w:leader="none"/>
              <w:tab w:pos="3641" w:val="left" w:leader="none"/>
              <w:tab w:pos="9555" w:val="left" w:leader="none"/>
            </w:tabs>
            <w:spacing w:line="240" w:lineRule="auto" w:before="120" w:after="0"/>
            <w:ind w:left="3641" w:right="0" w:hanging="992"/>
            <w:jc w:val="left"/>
          </w:pPr>
          <w:hyperlink w:history="true" w:anchor="_bookmark19">
            <w:r>
              <w:rPr/>
              <w:t>Eksempel på</w:t>
            </w:r>
            <w:r>
              <w:rPr>
                <w:spacing w:val="-7"/>
              </w:rPr>
              <w:t> </w:t>
            </w:r>
            <w:r>
              <w:rPr/>
              <w:t>domænespecifikke</w:t>
            </w:r>
            <w:r>
              <w:rPr>
                <w:spacing w:val="-3"/>
              </w:rPr>
              <w:t> </w:t>
            </w:r>
            <w:r>
              <w:rPr/>
              <w:t>egenskaber</w:t>
              <w:tab/>
              <w:t>16</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22">
            <w:r>
              <w:rPr/>
              <w:t>Revision</w:t>
            </w:r>
            <w:r>
              <w:rPr>
                <w:spacing w:val="-3"/>
              </w:rPr>
              <w:t> </w:t>
            </w:r>
            <w:r>
              <w:rPr/>
              <w:t>af</w:t>
            </w:r>
            <w:r>
              <w:rPr>
                <w:spacing w:val="-3"/>
              </w:rPr>
              <w:t> </w:t>
            </w:r>
            <w:r>
              <w:rPr/>
              <w:t>data</w:t>
              <w:tab/>
              <w:t>17</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23">
            <w:r>
              <w:rPr/>
              <w:t>Distribution</w:t>
            </w:r>
            <w:r>
              <w:rPr>
                <w:spacing w:val="-4"/>
              </w:rPr>
              <w:t> </w:t>
            </w:r>
            <w:r>
              <w:rPr/>
              <w:t>af</w:t>
            </w:r>
            <w:r>
              <w:rPr>
                <w:spacing w:val="-3"/>
              </w:rPr>
              <w:t> </w:t>
            </w:r>
            <w:r>
              <w:rPr/>
              <w:t>data</w:t>
              <w:tab/>
              <w:t>17</w:t>
            </w:r>
          </w:hyperlink>
        </w:p>
        <w:p>
          <w:pPr>
            <w:pStyle w:val="TOC2"/>
            <w:numPr>
              <w:ilvl w:val="2"/>
              <w:numId w:val="1"/>
            </w:numPr>
            <w:tabs>
              <w:tab w:pos="3640" w:val="left" w:leader="none"/>
              <w:tab w:pos="3641" w:val="left" w:leader="none"/>
              <w:tab w:pos="9555" w:val="left" w:leader="none"/>
            </w:tabs>
            <w:spacing w:line="240" w:lineRule="auto" w:before="120" w:after="0"/>
            <w:ind w:left="3641" w:right="0" w:hanging="992"/>
            <w:jc w:val="left"/>
          </w:pPr>
          <w:hyperlink w:history="true" w:anchor="_bookmark24">
            <w:r>
              <w:rPr/>
              <w:t>Datakvalitet</w:t>
              <w:tab/>
              <w:t>17</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25">
            <w:r>
              <w:rPr/>
              <w:t>Data</w:t>
            </w:r>
            <w:r>
              <w:rPr>
                <w:spacing w:val="-4"/>
              </w:rPr>
              <w:t> </w:t>
            </w:r>
            <w:r>
              <w:rPr/>
              <w:t>nøjagtighed</w:t>
              <w:tab/>
              <w:t>17</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26">
            <w:r>
              <w:rPr/>
              <w:t>Metadata for objekter</w:t>
            </w:r>
            <w:r>
              <w:rPr>
                <w:spacing w:val="-8"/>
              </w:rPr>
              <w:t> </w:t>
            </w:r>
            <w:r>
              <w:rPr/>
              <w:t>og</w:t>
            </w:r>
            <w:r>
              <w:rPr>
                <w:spacing w:val="-3"/>
              </w:rPr>
              <w:t> </w:t>
            </w:r>
            <w:r>
              <w:rPr/>
              <w:t>geometri</w:t>
              <w:tab/>
              <w:t>18</w:t>
            </w:r>
          </w:hyperlink>
        </w:p>
        <w:p>
          <w:pPr>
            <w:pStyle w:val="TOC2"/>
            <w:numPr>
              <w:ilvl w:val="3"/>
              <w:numId w:val="1"/>
            </w:numPr>
            <w:tabs>
              <w:tab w:pos="3640" w:val="left" w:leader="none"/>
              <w:tab w:pos="3641" w:val="left" w:leader="none"/>
              <w:tab w:pos="9555" w:val="left" w:leader="none"/>
            </w:tabs>
            <w:spacing w:line="240" w:lineRule="auto" w:before="120" w:after="0"/>
            <w:ind w:left="3641" w:right="0" w:hanging="992"/>
            <w:jc w:val="left"/>
          </w:pPr>
          <w:hyperlink w:history="true" w:anchor="_bookmark27">
            <w:r>
              <w:rPr/>
              <w:t>Modellering</w:t>
            </w:r>
            <w:r>
              <w:rPr>
                <w:spacing w:val="-3"/>
              </w:rPr>
              <w:t> </w:t>
            </w:r>
            <w:r>
              <w:rPr/>
              <w:t>af</w:t>
            </w:r>
            <w:r>
              <w:rPr>
                <w:spacing w:val="-4"/>
              </w:rPr>
              <w:t> </w:t>
            </w:r>
            <w:r>
              <w:rPr/>
              <w:t>BIM</w:t>
              <w:tab/>
              <w:t>18</w:t>
            </w:r>
          </w:hyperlink>
        </w:p>
        <w:p>
          <w:pPr>
            <w:pStyle w:val="TOC2"/>
            <w:numPr>
              <w:ilvl w:val="3"/>
              <w:numId w:val="1"/>
            </w:numPr>
            <w:tabs>
              <w:tab w:pos="3640" w:val="left" w:leader="none"/>
              <w:tab w:pos="3641" w:val="left" w:leader="none"/>
              <w:tab w:pos="9555" w:val="left" w:leader="none"/>
            </w:tabs>
            <w:spacing w:line="240" w:lineRule="auto" w:before="122" w:after="0"/>
            <w:ind w:left="3641" w:right="0" w:hanging="992"/>
            <w:jc w:val="left"/>
          </w:pPr>
          <w:hyperlink w:history="true" w:anchor="_bookmark28">
            <w:r>
              <w:rPr/>
              <w:t>BIM-modenhed og datas anvendelse til</w:t>
            </w:r>
            <w:r>
              <w:rPr>
                <w:spacing w:val="-18"/>
              </w:rPr>
              <w:t> </w:t>
            </w:r>
            <w:r>
              <w:rPr/>
              <w:t>indendørs</w:t>
            </w:r>
            <w:r>
              <w:rPr>
                <w:spacing w:val="-5"/>
              </w:rPr>
              <w:t> </w:t>
            </w:r>
            <w:r>
              <w:rPr/>
              <w:t>geografi</w:t>
              <w:tab/>
              <w:t>18</w:t>
            </w:r>
          </w:hyperlink>
        </w:p>
        <w:p>
          <w:pPr>
            <w:pStyle w:val="TOC2"/>
            <w:numPr>
              <w:ilvl w:val="3"/>
              <w:numId w:val="1"/>
            </w:numPr>
            <w:tabs>
              <w:tab w:pos="3640" w:val="left" w:leader="none"/>
              <w:tab w:pos="3641" w:val="left" w:leader="none"/>
              <w:tab w:pos="9555" w:val="left" w:leader="none"/>
            </w:tabs>
            <w:spacing w:line="264" w:lineRule="auto" w:before="122" w:after="0"/>
            <w:ind w:left="3641" w:right="1038" w:hanging="992"/>
            <w:jc w:val="left"/>
          </w:pPr>
          <w:hyperlink w:history="true" w:anchor="_bookmark30">
            <w:r>
              <w:rPr/>
              <w:t>Begrænsninger ved anvendelse af mangelfulde bygningsmodel</w:t>
            </w:r>
          </w:hyperlink>
          <w:r>
            <w:rPr/>
            <w:t> </w:t>
          </w:r>
          <w:hyperlink w:history="true" w:anchor="_bookmark30">
            <w:r>
              <w:rPr/>
              <w:t> data til indendørs</w:t>
            </w:r>
            <w:r>
              <w:rPr>
                <w:spacing w:val="-10"/>
              </w:rPr>
              <w:t> </w:t>
            </w:r>
            <w:r>
              <w:rPr/>
              <w:t>geografi (0-scenarie)</w:t>
              <w:tab/>
            </w:r>
            <w:r>
              <w:rPr>
                <w:spacing w:val="-8"/>
              </w:rPr>
              <w:t>19</w:t>
            </w:r>
          </w:hyperlink>
        </w:p>
        <w:p>
          <w:pPr>
            <w:pStyle w:val="TOC2"/>
            <w:numPr>
              <w:ilvl w:val="1"/>
              <w:numId w:val="2"/>
            </w:numPr>
            <w:tabs>
              <w:tab w:pos="3640" w:val="left" w:leader="none"/>
              <w:tab w:pos="3641" w:val="left" w:leader="none"/>
              <w:tab w:pos="9555" w:val="left" w:leader="none"/>
            </w:tabs>
            <w:spacing w:line="240" w:lineRule="auto" w:before="97" w:after="0"/>
            <w:ind w:left="3641" w:right="0" w:hanging="992"/>
            <w:jc w:val="left"/>
          </w:pPr>
          <w:hyperlink w:history="true" w:anchor="_bookmark31">
            <w:r>
              <w:rPr/>
              <w:t>Udveksling</w:t>
            </w:r>
            <w:r>
              <w:rPr>
                <w:spacing w:val="-3"/>
              </w:rPr>
              <w:t> </w:t>
            </w:r>
            <w:r>
              <w:rPr/>
              <w:t>af</w:t>
            </w:r>
            <w:r>
              <w:rPr>
                <w:spacing w:val="-3"/>
              </w:rPr>
              <w:t> </w:t>
            </w:r>
            <w:r>
              <w:rPr/>
              <w:t>BIM-data</w:t>
              <w:tab/>
              <w:t>20</w:t>
            </w:r>
          </w:hyperlink>
        </w:p>
        <w:p>
          <w:pPr>
            <w:pStyle w:val="TOC2"/>
            <w:numPr>
              <w:ilvl w:val="2"/>
              <w:numId w:val="2"/>
            </w:numPr>
            <w:tabs>
              <w:tab w:pos="3640" w:val="left" w:leader="none"/>
              <w:tab w:pos="3641" w:val="left" w:leader="none"/>
              <w:tab w:pos="9555" w:val="left" w:leader="none"/>
            </w:tabs>
            <w:spacing w:line="240" w:lineRule="auto" w:before="122" w:after="0"/>
            <w:ind w:left="3641" w:right="0" w:hanging="992"/>
            <w:jc w:val="left"/>
          </w:pPr>
          <w:hyperlink w:history="true" w:anchor="_bookmark32">
            <w:r>
              <w:rPr/>
              <w:t>Digitale udvekslingsprocesser</w:t>
            </w:r>
            <w:r>
              <w:rPr>
                <w:spacing w:val="-7"/>
              </w:rPr>
              <w:t> </w:t>
            </w:r>
            <w:r>
              <w:rPr/>
              <w:t>i</w:t>
            </w:r>
            <w:r>
              <w:rPr>
                <w:spacing w:val="-4"/>
              </w:rPr>
              <w:t> </w:t>
            </w:r>
            <w:r>
              <w:rPr/>
              <w:t>byggebranchen</w:t>
              <w:tab/>
              <w:t>20</w:t>
            </w:r>
          </w:hyperlink>
        </w:p>
        <w:p>
          <w:pPr>
            <w:pStyle w:val="TOC2"/>
            <w:numPr>
              <w:ilvl w:val="2"/>
              <w:numId w:val="2"/>
            </w:numPr>
            <w:tabs>
              <w:tab w:pos="3640" w:val="left" w:leader="none"/>
              <w:tab w:pos="3641" w:val="left" w:leader="none"/>
            </w:tabs>
            <w:spacing w:line="240" w:lineRule="auto" w:before="122" w:after="0"/>
            <w:ind w:left="3641" w:right="0" w:hanging="992"/>
            <w:jc w:val="left"/>
          </w:pPr>
          <w:hyperlink w:history="true" w:anchor="_bookmark35">
            <w:r>
              <w:rPr/>
              <w:t>Rammer for en IDM med henblik på udveksling af BIM-data</w:t>
            </w:r>
            <w:r>
              <w:rPr>
                <w:spacing w:val="-13"/>
              </w:rPr>
              <w:t> </w:t>
            </w:r>
            <w:r>
              <w:rPr/>
              <w:t>til</w:t>
            </w:r>
          </w:hyperlink>
        </w:p>
        <w:p>
          <w:pPr>
            <w:pStyle w:val="TOC3"/>
            <w:tabs>
              <w:tab w:pos="9555" w:val="left" w:leader="none"/>
            </w:tabs>
          </w:pPr>
          <w:hyperlink w:history="true" w:anchor="_bookmark35">
            <w:r>
              <w:rPr/>
              <w:t>en dansk national steddatabase</w:t>
            </w:r>
            <w:r>
              <w:rPr>
                <w:spacing w:val="-14"/>
              </w:rPr>
              <w:t> </w:t>
            </w:r>
            <w:r>
              <w:rPr/>
              <w:t>herunder</w:t>
            </w:r>
            <w:r>
              <w:rPr>
                <w:spacing w:val="-3"/>
              </w:rPr>
              <w:t> </w:t>
            </w:r>
            <w:r>
              <w:rPr/>
              <w:t>energidata</w:t>
              <w:tab/>
              <w:t>22</w:t>
            </w:r>
          </w:hyperlink>
        </w:p>
        <w:p>
          <w:pPr>
            <w:pStyle w:val="TOC2"/>
            <w:numPr>
              <w:ilvl w:val="2"/>
              <w:numId w:val="2"/>
            </w:numPr>
            <w:tabs>
              <w:tab w:pos="3640" w:val="left" w:leader="none"/>
              <w:tab w:pos="3641" w:val="left" w:leader="none"/>
              <w:tab w:pos="9555" w:val="left" w:leader="none"/>
            </w:tabs>
            <w:spacing w:line="240" w:lineRule="auto" w:before="119" w:after="0"/>
            <w:ind w:left="3641" w:right="0" w:hanging="992"/>
            <w:jc w:val="left"/>
          </w:pPr>
          <w:hyperlink w:history="true" w:anchor="_bookmark36">
            <w:r>
              <w:rPr/>
              <w:t>Internationale BuildingSMART samarbejder</w:t>
            </w:r>
            <w:r>
              <w:rPr>
                <w:spacing w:val="-15"/>
              </w:rPr>
              <w:t> </w:t>
            </w:r>
            <w:r>
              <w:rPr/>
              <w:t>om</w:t>
            </w:r>
            <w:r>
              <w:rPr>
                <w:spacing w:val="-4"/>
              </w:rPr>
              <w:t> </w:t>
            </w:r>
            <w:r>
              <w:rPr/>
              <w:t>MVD</w:t>
              <w:tab/>
              <w:t>22</w:t>
            </w:r>
          </w:hyperlink>
        </w:p>
        <w:p>
          <w:pPr>
            <w:pStyle w:val="TOC1"/>
            <w:numPr>
              <w:ilvl w:val="0"/>
              <w:numId w:val="2"/>
            </w:numPr>
            <w:tabs>
              <w:tab w:pos="3640" w:val="left" w:leader="none"/>
              <w:tab w:pos="3641" w:val="left" w:leader="none"/>
              <w:tab w:pos="9526" w:val="left" w:leader="none"/>
            </w:tabs>
            <w:spacing w:line="240" w:lineRule="auto" w:before="382" w:after="0"/>
            <w:ind w:left="3641" w:right="0" w:hanging="992"/>
            <w:jc w:val="left"/>
          </w:pPr>
          <w:hyperlink w:history="true" w:anchor="_bookmark38">
            <w:r>
              <w:rPr/>
              <w:t>Data til brug</w:t>
            </w:r>
            <w:r>
              <w:rPr>
                <w:spacing w:val="-10"/>
              </w:rPr>
              <w:t> </w:t>
            </w:r>
            <w:r>
              <w:rPr/>
              <w:t>for</w:t>
            </w:r>
            <w:r>
              <w:rPr>
                <w:spacing w:val="-4"/>
              </w:rPr>
              <w:t> </w:t>
            </w:r>
            <w:r>
              <w:rPr/>
              <w:t>energieffektivisering</w:t>
              <w:tab/>
              <w:t>24</w:t>
            </w:r>
          </w:hyperlink>
        </w:p>
        <w:p>
          <w:pPr>
            <w:pStyle w:val="TOC2"/>
            <w:numPr>
              <w:ilvl w:val="1"/>
              <w:numId w:val="3"/>
            </w:numPr>
            <w:tabs>
              <w:tab w:pos="3640" w:val="left" w:leader="none"/>
              <w:tab w:pos="3641" w:val="left" w:leader="none"/>
              <w:tab w:pos="9555" w:val="left" w:leader="none"/>
            </w:tabs>
            <w:spacing w:line="240" w:lineRule="auto" w:before="122" w:after="0"/>
            <w:ind w:left="3641" w:right="0" w:hanging="992"/>
            <w:jc w:val="left"/>
          </w:pPr>
          <w:hyperlink w:history="true" w:anchor="_bookmark39">
            <w:r>
              <w:rPr/>
              <w:t>Oversigt over typiske datakilder</w:t>
            </w:r>
            <w:r>
              <w:rPr>
                <w:spacing w:val="-17"/>
              </w:rPr>
              <w:t> </w:t>
            </w:r>
            <w:r>
              <w:rPr/>
              <w:t>til</w:t>
            </w:r>
            <w:r>
              <w:rPr>
                <w:spacing w:val="-3"/>
              </w:rPr>
              <w:t> </w:t>
            </w:r>
            <w:r>
              <w:rPr/>
              <w:t>energieffektivisering</w:t>
              <w:tab/>
              <w:t>24</w:t>
            </w:r>
          </w:hyperlink>
        </w:p>
        <w:p>
          <w:pPr>
            <w:pStyle w:val="TOC2"/>
            <w:numPr>
              <w:ilvl w:val="2"/>
              <w:numId w:val="3"/>
            </w:numPr>
            <w:tabs>
              <w:tab w:pos="3640" w:val="left" w:leader="none"/>
              <w:tab w:pos="3641" w:val="left" w:leader="none"/>
              <w:tab w:pos="9555" w:val="left" w:leader="none"/>
            </w:tabs>
            <w:spacing w:line="240" w:lineRule="auto" w:before="122" w:after="0"/>
            <w:ind w:left="3641" w:right="0" w:hanging="992"/>
            <w:jc w:val="left"/>
          </w:pPr>
          <w:hyperlink w:history="true" w:anchor="_bookmark40">
            <w:r>
              <w:rPr/>
              <w:t>Indsamling af</w:t>
            </w:r>
            <w:r>
              <w:rPr>
                <w:spacing w:val="-8"/>
              </w:rPr>
              <w:t> </w:t>
            </w:r>
            <w:r>
              <w:rPr/>
              <w:t>energi-relevante</w:t>
            </w:r>
            <w:r>
              <w:rPr>
                <w:spacing w:val="-3"/>
              </w:rPr>
              <w:t> </w:t>
            </w:r>
            <w:r>
              <w:rPr/>
              <w:t>data</w:t>
              <w:tab/>
              <w:t>24</w:t>
            </w:r>
          </w:hyperlink>
        </w:p>
        <w:p>
          <w:pPr>
            <w:pStyle w:val="TOC2"/>
            <w:numPr>
              <w:ilvl w:val="1"/>
              <w:numId w:val="3"/>
            </w:numPr>
            <w:tabs>
              <w:tab w:pos="3640" w:val="left" w:leader="none"/>
              <w:tab w:pos="3641" w:val="left" w:leader="none"/>
              <w:tab w:pos="9555" w:val="left" w:leader="none"/>
            </w:tabs>
            <w:spacing w:line="240" w:lineRule="auto" w:before="119" w:after="0"/>
            <w:ind w:left="3641" w:right="0" w:hanging="992"/>
            <w:jc w:val="left"/>
          </w:pPr>
          <w:hyperlink w:history="true" w:anchor="_bookmark41">
            <w:r>
              <w:rPr/>
              <w:t>Specificering af</w:t>
            </w:r>
            <w:r>
              <w:rPr>
                <w:spacing w:val="-8"/>
              </w:rPr>
              <w:t> </w:t>
            </w:r>
            <w:r>
              <w:rPr/>
              <w:t>energi-relevante</w:t>
            </w:r>
            <w:r>
              <w:rPr>
                <w:spacing w:val="-3"/>
              </w:rPr>
              <w:t> </w:t>
            </w:r>
            <w:r>
              <w:rPr/>
              <w:t>data</w:t>
              <w:tab/>
              <w:t>25</w:t>
            </w:r>
          </w:hyperlink>
        </w:p>
        <w:p>
          <w:pPr>
            <w:pStyle w:val="TOC2"/>
            <w:numPr>
              <w:ilvl w:val="2"/>
              <w:numId w:val="3"/>
            </w:numPr>
            <w:tabs>
              <w:tab w:pos="3640" w:val="left" w:leader="none"/>
              <w:tab w:pos="3641" w:val="left" w:leader="none"/>
              <w:tab w:pos="9555" w:val="left" w:leader="none"/>
            </w:tabs>
            <w:spacing w:line="240" w:lineRule="auto" w:before="122" w:after="0"/>
            <w:ind w:left="3641" w:right="0" w:hanging="992"/>
            <w:jc w:val="left"/>
          </w:pPr>
          <w:hyperlink w:history="true" w:anchor="_bookmark42">
            <w:r>
              <w:rPr/>
              <w:t>Domænespecifik datamodel for</w:t>
            </w:r>
            <w:r>
              <w:rPr>
                <w:spacing w:val="-11"/>
              </w:rPr>
              <w:t> </w:t>
            </w:r>
            <w:r>
              <w:rPr/>
              <w:t>energi-relevante</w:t>
            </w:r>
            <w:r>
              <w:rPr>
                <w:spacing w:val="-3"/>
              </w:rPr>
              <w:t> </w:t>
            </w:r>
            <w:r>
              <w:rPr/>
              <w:t>data</w:t>
              <w:tab/>
              <w:t>25</w:t>
            </w:r>
          </w:hyperlink>
        </w:p>
        <w:p>
          <w:pPr>
            <w:pStyle w:val="TOC2"/>
            <w:numPr>
              <w:ilvl w:val="2"/>
              <w:numId w:val="3"/>
            </w:numPr>
            <w:tabs>
              <w:tab w:pos="3640" w:val="left" w:leader="none"/>
              <w:tab w:pos="3641" w:val="left" w:leader="none"/>
              <w:tab w:pos="9555" w:val="left" w:leader="none"/>
            </w:tabs>
            <w:spacing w:line="240" w:lineRule="auto" w:before="123" w:after="0"/>
            <w:ind w:left="3641" w:right="0" w:hanging="992"/>
            <w:jc w:val="left"/>
          </w:pPr>
          <w:hyperlink w:history="true" w:anchor="_bookmark44">
            <w:r>
              <w:rPr/>
              <w:t>Stedbestemmelse af energi-relevante</w:t>
            </w:r>
            <w:r>
              <w:rPr>
                <w:spacing w:val="-15"/>
              </w:rPr>
              <w:t> </w:t>
            </w:r>
            <w:r>
              <w:rPr/>
              <w:t>datas</w:t>
            </w:r>
            <w:r>
              <w:rPr>
                <w:spacing w:val="-6"/>
              </w:rPr>
              <w:t> </w:t>
            </w:r>
            <w:r>
              <w:rPr/>
              <w:t>forsyningszoner</w:t>
              <w:tab/>
              <w:t>25</w:t>
            </w:r>
          </w:hyperlink>
        </w:p>
        <w:p>
          <w:pPr>
            <w:pStyle w:val="TOC2"/>
            <w:numPr>
              <w:ilvl w:val="2"/>
              <w:numId w:val="3"/>
            </w:numPr>
            <w:tabs>
              <w:tab w:pos="3640" w:val="left" w:leader="none"/>
              <w:tab w:pos="3641" w:val="left" w:leader="none"/>
              <w:tab w:pos="9555" w:val="left" w:leader="none"/>
            </w:tabs>
            <w:spacing w:line="240" w:lineRule="auto" w:before="119" w:after="0"/>
            <w:ind w:left="3641" w:right="0" w:hanging="992"/>
            <w:jc w:val="left"/>
          </w:pPr>
          <w:hyperlink w:history="true" w:anchor="_bookmark47">
            <w:r>
              <w:rPr/>
              <w:t>Manuel stedbestemmelse af</w:t>
            </w:r>
            <w:r>
              <w:rPr>
                <w:spacing w:val="-11"/>
              </w:rPr>
              <w:t> </w:t>
            </w:r>
            <w:r>
              <w:rPr/>
              <w:t>energi-relevante</w:t>
            </w:r>
            <w:r>
              <w:rPr>
                <w:spacing w:val="-3"/>
              </w:rPr>
              <w:t> </w:t>
            </w:r>
            <w:r>
              <w:rPr/>
              <w:t>data</w:t>
              <w:tab/>
              <w:t>26</w:t>
            </w:r>
          </w:hyperlink>
        </w:p>
        <w:p>
          <w:pPr>
            <w:pStyle w:val="TOC2"/>
            <w:numPr>
              <w:ilvl w:val="1"/>
              <w:numId w:val="3"/>
            </w:numPr>
            <w:tabs>
              <w:tab w:pos="3640" w:val="left" w:leader="none"/>
              <w:tab w:pos="3641" w:val="left" w:leader="none"/>
              <w:tab w:pos="9555" w:val="left" w:leader="none"/>
            </w:tabs>
            <w:spacing w:line="240" w:lineRule="auto" w:before="122" w:after="0"/>
            <w:ind w:left="3641" w:right="0" w:hanging="992"/>
            <w:jc w:val="left"/>
          </w:pPr>
          <w:hyperlink w:history="true" w:anchor="_bookmark50">
            <w:r>
              <w:rPr/>
              <w:t>Tværgående udfordringer for data</w:t>
            </w:r>
            <w:r>
              <w:rPr>
                <w:spacing w:val="-19"/>
              </w:rPr>
              <w:t> </w:t>
            </w:r>
            <w:r>
              <w:rPr/>
              <w:t>til</w:t>
            </w:r>
            <w:r>
              <w:rPr>
                <w:spacing w:val="-3"/>
              </w:rPr>
              <w:t> </w:t>
            </w:r>
            <w:r>
              <w:rPr/>
              <w:t>energieffektivisering</w:t>
              <w:tab/>
              <w:t>27</w:t>
            </w:r>
          </w:hyperlink>
        </w:p>
      </w:sdtContent>
    </w:sdt>
    <w:p>
      <w:pPr>
        <w:spacing w:after="0" w:line="240" w:lineRule="auto"/>
        <w:jc w:val="left"/>
        <w:sectPr>
          <w:type w:val="continuous"/>
          <w:pgSz w:w="11910" w:h="16840"/>
          <w:pgMar w:top="1580" w:bottom="280" w:left="980" w:right="100"/>
        </w:sectPr>
      </w:pPr>
    </w:p>
    <w:p>
      <w:pPr>
        <w:spacing w:line="379" w:lineRule="auto" w:before="765"/>
        <w:ind w:left="2635" w:right="-20" w:firstLine="0"/>
        <w:jc w:val="left"/>
        <w:rPr>
          <w:sz w:val="12"/>
        </w:rPr>
      </w:pPr>
      <w:r>
        <w:rPr/>
        <w:pict>
          <v:line style="position:absolute;mso-position-horizontal-relative:page;mso-position-vertical-relative:paragraph;z-index:1192" from="180.770004pt,34.802219pt" to="291.410004pt,34.802219pt" stroked="true" strokeweight=".48pt" strokecolor="#000000">
            <v:stroke dashstyle="solid"/>
            <w10:wrap type="none"/>
          </v:line>
        </w:pict>
      </w:r>
      <w:r>
        <w:rPr/>
        <w:pict>
          <v:line style="position:absolute;mso-position-horizontal-relative:page;mso-position-vertical-relative:paragraph;z-index:1216" from="304.149994pt,34.802219pt" to="414.669994pt,34.802219pt" stroked="true" strokeweight=".48pt" strokecolor="#000000">
            <v:stroke dashstyle="solid"/>
            <w10:wrap type="none"/>
          </v:line>
        </w:pict>
      </w:r>
      <w:r>
        <w:rPr/>
        <w:pict>
          <v:line style="position:absolute;mso-position-horizontal-relative:page;mso-position-vertical-relative:paragraph;z-index:1240" from="427.420013pt,34.802219pt" to="537.940013pt,34.802219pt" stroked="true" strokeweight=".48pt" strokecolor="#000000">
            <v:stroke dashstyle="solid"/>
            <w10:wrap type="none"/>
          </v:line>
        </w:pict>
      </w:r>
      <w:r>
        <w:rPr>
          <w:sz w:val="12"/>
        </w:rPr>
        <w:t>Styrelsen for Dataforsyning og Ef- fektivisering og Energistyrelsen</w:t>
      </w:r>
    </w:p>
    <w:p>
      <w:pPr>
        <w:tabs>
          <w:tab w:pos="2829" w:val="left" w:leader="none"/>
        </w:tabs>
        <w:spacing w:before="765"/>
        <w:ind w:left="363"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0" w:bottom="960" w:left="980" w:right="100"/>
          <w:cols w:num="2" w:equalWidth="0">
            <w:col w:w="4700" w:space="40"/>
            <w:col w:w="6090"/>
          </w:cols>
        </w:sectPr>
      </w:pPr>
    </w:p>
    <w:p>
      <w:pPr>
        <w:pStyle w:val="ListParagraph"/>
        <w:numPr>
          <w:ilvl w:val="2"/>
          <w:numId w:val="4"/>
        </w:numPr>
        <w:tabs>
          <w:tab w:pos="3640" w:val="left" w:leader="none"/>
          <w:tab w:pos="3641" w:val="left" w:leader="none"/>
          <w:tab w:pos="9555" w:val="left" w:leader="none"/>
        </w:tabs>
        <w:spacing w:line="240" w:lineRule="auto" w:before="718" w:after="0"/>
        <w:ind w:left="3641" w:right="0" w:hanging="992"/>
        <w:jc w:val="left"/>
        <w:rPr>
          <w:sz w:val="18"/>
        </w:rPr>
      </w:pPr>
      <w:r>
        <w:rPr/>
        <w:pict>
          <v:shape style="position:absolute;margin-left:.017151pt;margin-top:-157.190018pt;width:133.65pt;height:997.65pt;mso-position-horizontal-relative:page;mso-position-vertical-relative:page;z-index:1264" coordorigin="0,-3144" coordsize="2673,19953" path="m3382,16476l3238,16816m3382,16476l3382,16476m3382,16082l3073,16816m3382,15693l2909,16816m3382,15298l2739,16816m3382,14904l2575,16816m3382,14514l2405,16816m3382,14120l2241,16816m3382,13726l2076,16816m3382,13336l1907,16816m3382,12942l1742,16816m3382,12547l1573,16816m3382,12158l1408,16816m3382,11764l1239,16816m3382,11369l1134,16676m3382,10980l1134,16287m3382,10585l1134,15892m3382,10191l1134,15498m3382,9796l1134,15104m3382,9407l1134,14714m3382,9013l1134,14320m3382,8618l1134,13925m3382,8229l1134,13536m3382,7834l1134,13141m3382,7440l1134,12747m3382,7050l1134,12358m3382,6656l1134,11963m3382,6262l1134,11569m3382,5872l1134,11179m3382,5478l1134,10785m3382,5083l1134,10391m3382,4694l1134,10001m3382,4299l1134,9607m3382,3905l1134,9212m3382,3516l1134,8823m3382,3121l1134,8428m3382,2727l1134,8034m3382,2337l1134,7645m3382,1943l1134,7250m3382,1549l1134,6856m3382,1159l1134,6466m3382,1159l3382,1159m3382,765l1134,6072m3382,765l3382,765m3382,370l1134,5677m3372,6l1134,5283m3208,6l1134,4894m3038,6l1134,4499m2874,6l1134,4105m2704,6l1134,3715m2540,6l1134,3321m2375,6l1134,2927m2206,6l1134,2537m2041,6l1134,2143m1872,6l1134,1748m1708,6l1134,1359m1543,6l1134,965m1374,6l1134,570m1209,6l1134,181m1209,6l1209,6e" filled="false" stroked="true" strokeweight=".498857pt" strokecolor="#f0f0f0">
            <v:path arrowok="t"/>
            <v:stroke dashstyle="solid"/>
            <w10:wrap type="none"/>
          </v:shape>
        </w:pict>
      </w:r>
      <w:hyperlink w:history="true" w:anchor="_bookmark51">
        <w:r>
          <w:rPr>
            <w:sz w:val="18"/>
          </w:rPr>
          <w:t>Økonomiske rammevilkår</w:t>
        </w:r>
        <w:r>
          <w:rPr>
            <w:spacing w:val="-7"/>
            <w:sz w:val="18"/>
          </w:rPr>
          <w:t> </w:t>
        </w:r>
        <w:r>
          <w:rPr>
            <w:sz w:val="18"/>
          </w:rPr>
          <w:t>for</w:t>
        </w:r>
        <w:r>
          <w:rPr>
            <w:spacing w:val="-3"/>
            <w:sz w:val="18"/>
          </w:rPr>
          <w:t> </w:t>
        </w:r>
        <w:r>
          <w:rPr>
            <w:sz w:val="18"/>
          </w:rPr>
          <w:t>data</w:t>
          <w:tab/>
          <w:t>28</w:t>
        </w:r>
      </w:hyperlink>
    </w:p>
    <w:p>
      <w:pPr>
        <w:pStyle w:val="ListParagraph"/>
        <w:numPr>
          <w:ilvl w:val="2"/>
          <w:numId w:val="4"/>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52">
        <w:r>
          <w:rPr>
            <w:sz w:val="18"/>
          </w:rPr>
          <w:t>Anvendelsespotentialet for</w:t>
        </w:r>
        <w:r>
          <w:rPr>
            <w:spacing w:val="-14"/>
            <w:sz w:val="18"/>
          </w:rPr>
          <w:t> </w:t>
        </w:r>
        <w:r>
          <w:rPr>
            <w:sz w:val="18"/>
          </w:rPr>
          <w:t>stedbestemte</w:t>
        </w:r>
        <w:r>
          <w:rPr>
            <w:spacing w:val="-5"/>
            <w:sz w:val="18"/>
          </w:rPr>
          <w:t> </w:t>
        </w:r>
        <w:r>
          <w:rPr>
            <w:sz w:val="18"/>
          </w:rPr>
          <w:t>energidata</w:t>
          <w:tab/>
          <w:t>28</w:t>
        </w:r>
      </w:hyperlink>
    </w:p>
    <w:p>
      <w:pPr>
        <w:pStyle w:val="ListParagraph"/>
        <w:numPr>
          <w:ilvl w:val="2"/>
          <w:numId w:val="4"/>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53">
        <w:r>
          <w:rPr>
            <w:sz w:val="18"/>
          </w:rPr>
          <w:t>Niveauer</w:t>
        </w:r>
        <w:r>
          <w:rPr>
            <w:spacing w:val="-3"/>
            <w:sz w:val="18"/>
          </w:rPr>
          <w:t> </w:t>
        </w:r>
        <w:r>
          <w:rPr>
            <w:sz w:val="18"/>
          </w:rPr>
          <w:t>for</w:t>
        </w:r>
        <w:r>
          <w:rPr>
            <w:spacing w:val="-3"/>
            <w:sz w:val="18"/>
          </w:rPr>
          <w:t> </w:t>
        </w:r>
        <w:r>
          <w:rPr>
            <w:sz w:val="18"/>
          </w:rPr>
          <w:t>stedfæstelse</w:t>
          <w:tab/>
          <w:t>29</w:t>
        </w:r>
      </w:hyperlink>
    </w:p>
    <w:p>
      <w:pPr>
        <w:pStyle w:val="ListParagraph"/>
        <w:numPr>
          <w:ilvl w:val="2"/>
          <w:numId w:val="4"/>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56">
        <w:r>
          <w:rPr>
            <w:sz w:val="18"/>
          </w:rPr>
          <w:t>Selvforstærkende incitament for anvendelse</w:t>
        </w:r>
        <w:r>
          <w:rPr>
            <w:spacing w:val="-14"/>
            <w:sz w:val="18"/>
          </w:rPr>
          <w:t> </w:t>
        </w:r>
        <w:r>
          <w:rPr>
            <w:sz w:val="18"/>
          </w:rPr>
          <w:t>af</w:t>
        </w:r>
        <w:r>
          <w:rPr>
            <w:spacing w:val="-5"/>
            <w:sz w:val="18"/>
          </w:rPr>
          <w:t> </w:t>
        </w:r>
        <w:r>
          <w:rPr>
            <w:sz w:val="18"/>
          </w:rPr>
          <w:t>data</w:t>
          <w:tab/>
          <w:t>30</w:t>
        </w:r>
      </w:hyperlink>
    </w:p>
    <w:p>
      <w:pPr>
        <w:pStyle w:val="ListParagraph"/>
        <w:numPr>
          <w:ilvl w:val="0"/>
          <w:numId w:val="3"/>
        </w:numPr>
        <w:tabs>
          <w:tab w:pos="3640" w:val="left" w:leader="none"/>
          <w:tab w:pos="3641" w:val="left" w:leader="none"/>
          <w:tab w:pos="9526" w:val="left" w:leader="none"/>
        </w:tabs>
        <w:spacing w:line="264" w:lineRule="auto" w:before="381" w:after="0"/>
        <w:ind w:left="3641" w:right="1043" w:hanging="992"/>
        <w:jc w:val="left"/>
        <w:rPr>
          <w:b/>
          <w:sz w:val="18"/>
        </w:rPr>
      </w:pPr>
      <w:hyperlink w:history="true" w:anchor="_bookmark58">
        <w:r>
          <w:rPr>
            <w:b/>
            <w:sz w:val="18"/>
          </w:rPr>
          <w:t>Anvendelsesmuligheder for en national indendørs</w:t>
        </w:r>
      </w:hyperlink>
      <w:hyperlink w:history="true" w:anchor="_bookmark58">
        <w:r>
          <w:rPr>
            <w:b/>
            <w:sz w:val="18"/>
          </w:rPr>
          <w:t> steddatabase i forbindelse med</w:t>
        </w:r>
        <w:r>
          <w:rPr>
            <w:b/>
            <w:spacing w:val="-11"/>
            <w:sz w:val="18"/>
          </w:rPr>
          <w:t> </w:t>
        </w:r>
        <w:r>
          <w:rPr>
            <w:b/>
            <w:sz w:val="18"/>
          </w:rPr>
          <w:t>energi-relevante</w:t>
        </w:r>
        <w:r>
          <w:rPr>
            <w:b/>
            <w:spacing w:val="-4"/>
            <w:sz w:val="18"/>
          </w:rPr>
          <w:t> </w:t>
        </w:r>
        <w:r>
          <w:rPr>
            <w:b/>
            <w:sz w:val="18"/>
          </w:rPr>
          <w:t>data</w:t>
          <w:tab/>
        </w:r>
        <w:r>
          <w:rPr>
            <w:b/>
            <w:spacing w:val="-10"/>
            <w:sz w:val="18"/>
          </w:rPr>
          <w:t>32</w:t>
        </w:r>
      </w:hyperlink>
    </w:p>
    <w:p>
      <w:pPr>
        <w:pStyle w:val="ListParagraph"/>
        <w:numPr>
          <w:ilvl w:val="1"/>
          <w:numId w:val="3"/>
        </w:numPr>
        <w:tabs>
          <w:tab w:pos="3640" w:val="left" w:leader="none"/>
          <w:tab w:pos="3641" w:val="left" w:leader="none"/>
          <w:tab w:pos="9555" w:val="left" w:leader="none"/>
        </w:tabs>
        <w:spacing w:line="240" w:lineRule="auto" w:before="100" w:after="0"/>
        <w:ind w:left="3641" w:right="0" w:hanging="992"/>
        <w:jc w:val="left"/>
        <w:rPr>
          <w:sz w:val="18"/>
        </w:rPr>
      </w:pPr>
      <w:hyperlink w:history="true" w:anchor="_bookmark60">
        <w:r>
          <w:rPr>
            <w:sz w:val="18"/>
          </w:rPr>
          <w:t>Indsatser for energieffektivisering</w:t>
        </w:r>
        <w:r>
          <w:rPr>
            <w:spacing w:val="-12"/>
            <w:sz w:val="18"/>
          </w:rPr>
          <w:t> </w:t>
        </w:r>
        <w:r>
          <w:rPr>
            <w:sz w:val="18"/>
          </w:rPr>
          <w:t>i</w:t>
        </w:r>
        <w:r>
          <w:rPr>
            <w:spacing w:val="-3"/>
            <w:sz w:val="18"/>
          </w:rPr>
          <w:t> </w:t>
        </w:r>
        <w:r>
          <w:rPr>
            <w:sz w:val="18"/>
          </w:rPr>
          <w:t>bygninger</w:t>
          <w:tab/>
          <w:t>33</w:t>
        </w:r>
      </w:hyperlink>
    </w:p>
    <w:p>
      <w:pPr>
        <w:pStyle w:val="ListParagraph"/>
        <w:numPr>
          <w:ilvl w:val="1"/>
          <w:numId w:val="3"/>
        </w:numPr>
        <w:tabs>
          <w:tab w:pos="3640" w:val="left" w:leader="none"/>
          <w:tab w:pos="3641" w:val="left" w:leader="none"/>
        </w:tabs>
        <w:spacing w:line="240" w:lineRule="auto" w:before="122" w:after="0"/>
        <w:ind w:left="3641" w:right="0" w:hanging="992"/>
        <w:jc w:val="left"/>
        <w:rPr>
          <w:sz w:val="18"/>
        </w:rPr>
      </w:pPr>
      <w:hyperlink w:history="true" w:anchor="_bookmark62">
        <w:r>
          <w:rPr>
            <w:sz w:val="18"/>
          </w:rPr>
          <w:t>Anvendelsesindsatser med relevans for indendørs geografi</w:t>
        </w:r>
        <w:r>
          <w:rPr>
            <w:spacing w:val="-10"/>
            <w:sz w:val="18"/>
          </w:rPr>
          <w:t> </w:t>
        </w:r>
        <w:r>
          <w:rPr>
            <w:sz w:val="18"/>
          </w:rPr>
          <w:t>i</w:t>
        </w:r>
      </w:hyperlink>
    </w:p>
    <w:p>
      <w:pPr>
        <w:tabs>
          <w:tab w:pos="9555" w:val="left" w:leader="none"/>
        </w:tabs>
        <w:spacing w:before="21"/>
        <w:ind w:left="3641" w:right="0" w:firstLine="0"/>
        <w:jc w:val="left"/>
        <w:rPr>
          <w:sz w:val="18"/>
        </w:rPr>
      </w:pPr>
      <w:hyperlink w:history="true" w:anchor="_bookmark62">
        <w:r>
          <w:rPr>
            <w:sz w:val="18"/>
          </w:rPr>
          <w:t>forhold</w:t>
        </w:r>
        <w:r>
          <w:rPr>
            <w:spacing w:val="-6"/>
            <w:sz w:val="18"/>
          </w:rPr>
          <w:t> </w:t>
        </w:r>
        <w:r>
          <w:rPr>
            <w:sz w:val="18"/>
          </w:rPr>
          <w:t>til</w:t>
        </w:r>
        <w:r>
          <w:rPr>
            <w:spacing w:val="-4"/>
            <w:sz w:val="18"/>
          </w:rPr>
          <w:t> </w:t>
        </w:r>
        <w:r>
          <w:rPr>
            <w:sz w:val="18"/>
          </w:rPr>
          <w:t>energieffektivisering</w:t>
          <w:tab/>
          <w:t>33</w:t>
        </w:r>
      </w:hyperlink>
    </w:p>
    <w:p>
      <w:pPr>
        <w:pStyle w:val="ListParagraph"/>
        <w:numPr>
          <w:ilvl w:val="2"/>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63">
        <w:r>
          <w:rPr>
            <w:sz w:val="18"/>
          </w:rPr>
          <w:t>Visualisering af energiforbrug til brug</w:t>
        </w:r>
        <w:r>
          <w:rPr>
            <w:spacing w:val="-16"/>
            <w:sz w:val="18"/>
          </w:rPr>
          <w:t> </w:t>
        </w:r>
        <w:r>
          <w:rPr>
            <w:sz w:val="18"/>
          </w:rPr>
          <w:t>for</w:t>
        </w:r>
        <w:r>
          <w:rPr>
            <w:spacing w:val="-3"/>
            <w:sz w:val="18"/>
          </w:rPr>
          <w:t> </w:t>
        </w:r>
        <w:r>
          <w:rPr>
            <w:sz w:val="18"/>
          </w:rPr>
          <w:t>driftsoptimering</w:t>
          <w:tab/>
          <w:t>34</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64">
        <w:r>
          <w:rPr>
            <w:sz w:val="18"/>
          </w:rPr>
          <w:t>Forbedret grundlag for integration</w:t>
        </w:r>
        <w:r>
          <w:rPr>
            <w:spacing w:val="-14"/>
            <w:sz w:val="18"/>
          </w:rPr>
          <w:t> </w:t>
        </w:r>
        <w:r>
          <w:rPr>
            <w:sz w:val="18"/>
          </w:rPr>
          <w:t>med</w:t>
        </w:r>
        <w:r>
          <w:rPr>
            <w:spacing w:val="-4"/>
            <w:sz w:val="18"/>
          </w:rPr>
          <w:t> </w:t>
        </w:r>
        <w:r>
          <w:rPr>
            <w:sz w:val="18"/>
          </w:rPr>
          <w:t>aktivitetsdata</w:t>
          <w:tab/>
          <w:t>34</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65">
        <w:r>
          <w:rPr>
            <w:sz w:val="18"/>
          </w:rPr>
          <w:t>Standardisering</w:t>
        </w:r>
        <w:r>
          <w:rPr>
            <w:spacing w:val="-4"/>
            <w:sz w:val="18"/>
          </w:rPr>
          <w:t> </w:t>
        </w:r>
        <w:r>
          <w:rPr>
            <w:sz w:val="18"/>
          </w:rPr>
          <w:t>og</w:t>
        </w:r>
        <w:r>
          <w:rPr>
            <w:spacing w:val="-4"/>
            <w:sz w:val="18"/>
          </w:rPr>
          <w:t> </w:t>
        </w:r>
        <w:r>
          <w:rPr>
            <w:sz w:val="18"/>
          </w:rPr>
          <w:t>nøgletal</w:t>
          <w:tab/>
          <w:t>34</w:t>
        </w:r>
      </w:hyperlink>
    </w:p>
    <w:p>
      <w:pPr>
        <w:pStyle w:val="ListParagraph"/>
        <w:numPr>
          <w:ilvl w:val="1"/>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66">
        <w:r>
          <w:rPr>
            <w:sz w:val="18"/>
          </w:rPr>
          <w:t>Use cases for</w:t>
        </w:r>
        <w:r>
          <w:rPr>
            <w:spacing w:val="-10"/>
            <w:sz w:val="18"/>
          </w:rPr>
          <w:t> </w:t>
        </w:r>
        <w:r>
          <w:rPr>
            <w:sz w:val="18"/>
          </w:rPr>
          <w:t>forskellige</w:t>
        </w:r>
        <w:r>
          <w:rPr>
            <w:spacing w:val="-4"/>
            <w:sz w:val="18"/>
          </w:rPr>
          <w:t> </w:t>
        </w:r>
        <w:r>
          <w:rPr>
            <w:sz w:val="18"/>
          </w:rPr>
          <w:t>bygningstyper</w:t>
          <w:tab/>
          <w:t>35</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67">
        <w:r>
          <w:rPr>
            <w:sz w:val="18"/>
          </w:rPr>
          <w:t>Generel use case</w:t>
        </w:r>
        <w:r>
          <w:rPr>
            <w:spacing w:val="-6"/>
            <w:sz w:val="18"/>
          </w:rPr>
          <w:t> </w:t>
        </w:r>
        <w:r>
          <w:rPr>
            <w:sz w:val="18"/>
          </w:rPr>
          <w:t>for</w:t>
        </w:r>
        <w:r>
          <w:rPr>
            <w:spacing w:val="-3"/>
            <w:sz w:val="18"/>
          </w:rPr>
          <w:t> </w:t>
        </w:r>
        <w:r>
          <w:rPr>
            <w:sz w:val="18"/>
          </w:rPr>
          <w:t>bygninger</w:t>
          <w:tab/>
          <w:t>35</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69">
        <w:r>
          <w:rPr>
            <w:sz w:val="18"/>
          </w:rPr>
          <w:t>Bygningsspecifikke</w:t>
        </w:r>
        <w:r>
          <w:rPr>
            <w:spacing w:val="-4"/>
            <w:sz w:val="18"/>
          </w:rPr>
          <w:t> </w:t>
        </w:r>
        <w:r>
          <w:rPr>
            <w:sz w:val="18"/>
          </w:rPr>
          <w:t>use</w:t>
        </w:r>
        <w:r>
          <w:rPr>
            <w:spacing w:val="-2"/>
            <w:sz w:val="18"/>
          </w:rPr>
          <w:t> </w:t>
        </w:r>
        <w:r>
          <w:rPr>
            <w:sz w:val="18"/>
          </w:rPr>
          <w:t>cases</w:t>
          <w:tab/>
          <w:t>36</w:t>
        </w:r>
      </w:hyperlink>
    </w:p>
    <w:p>
      <w:pPr>
        <w:pStyle w:val="ListParagraph"/>
        <w:numPr>
          <w:ilvl w:val="1"/>
          <w:numId w:val="3"/>
        </w:numPr>
        <w:tabs>
          <w:tab w:pos="3640" w:val="left" w:leader="none"/>
          <w:tab w:pos="3641" w:val="left" w:leader="none"/>
        </w:tabs>
        <w:spacing w:line="240" w:lineRule="auto" w:before="120" w:after="0"/>
        <w:ind w:left="3641" w:right="0" w:hanging="992"/>
        <w:jc w:val="left"/>
        <w:rPr>
          <w:sz w:val="18"/>
        </w:rPr>
      </w:pPr>
      <w:hyperlink w:history="true" w:anchor="_bookmark71">
        <w:r>
          <w:rPr>
            <w:sz w:val="18"/>
          </w:rPr>
          <w:t>Vurdering af anvendelsesmulighederne</w:t>
        </w:r>
        <w:r>
          <w:rPr>
            <w:spacing w:val="-5"/>
            <w:sz w:val="18"/>
          </w:rPr>
          <w:t> </w:t>
        </w:r>
        <w:r>
          <w:rPr>
            <w:sz w:val="18"/>
          </w:rPr>
          <w:t>for</w:t>
        </w:r>
      </w:hyperlink>
    </w:p>
    <w:p>
      <w:pPr>
        <w:tabs>
          <w:tab w:pos="9555" w:val="left" w:leader="none"/>
        </w:tabs>
        <w:spacing w:before="21"/>
        <w:ind w:left="3641" w:right="0" w:firstLine="0"/>
        <w:jc w:val="left"/>
        <w:rPr>
          <w:sz w:val="18"/>
        </w:rPr>
      </w:pPr>
      <w:hyperlink w:history="true" w:anchor="_bookmark71">
        <w:r>
          <w:rPr>
            <w:sz w:val="18"/>
          </w:rPr>
          <w:t>energieffektivisering i forbindelse med</w:t>
        </w:r>
        <w:r>
          <w:rPr>
            <w:spacing w:val="-16"/>
            <w:sz w:val="18"/>
          </w:rPr>
          <w:t> </w:t>
        </w:r>
        <w:r>
          <w:rPr>
            <w:sz w:val="18"/>
          </w:rPr>
          <w:t>indendørs</w:t>
        </w:r>
        <w:r>
          <w:rPr>
            <w:spacing w:val="-6"/>
            <w:sz w:val="18"/>
          </w:rPr>
          <w:t> </w:t>
        </w:r>
        <w:r>
          <w:rPr>
            <w:sz w:val="18"/>
          </w:rPr>
          <w:t>geografi</w:t>
          <w:tab/>
          <w:t>37</w:t>
        </w:r>
      </w:hyperlink>
    </w:p>
    <w:p>
      <w:pPr>
        <w:pStyle w:val="ListParagraph"/>
        <w:numPr>
          <w:ilvl w:val="0"/>
          <w:numId w:val="3"/>
        </w:numPr>
        <w:tabs>
          <w:tab w:pos="3640" w:val="left" w:leader="none"/>
          <w:tab w:pos="3641" w:val="left" w:leader="none"/>
        </w:tabs>
        <w:spacing w:line="240" w:lineRule="auto" w:before="381" w:after="0"/>
        <w:ind w:left="3641" w:right="0" w:hanging="992"/>
        <w:jc w:val="left"/>
        <w:rPr>
          <w:b/>
          <w:sz w:val="18"/>
        </w:rPr>
      </w:pPr>
      <w:hyperlink w:history="true" w:anchor="_bookmark72">
        <w:r>
          <w:rPr>
            <w:b/>
            <w:sz w:val="18"/>
          </w:rPr>
          <w:t>Andre anvendelser for en national</w:t>
        </w:r>
        <w:r>
          <w:rPr>
            <w:b/>
            <w:spacing w:val="-2"/>
            <w:sz w:val="18"/>
          </w:rPr>
          <w:t> </w:t>
        </w:r>
        <w:r>
          <w:rPr>
            <w:b/>
            <w:sz w:val="18"/>
          </w:rPr>
          <w:t>indendørs</w:t>
        </w:r>
      </w:hyperlink>
    </w:p>
    <w:p>
      <w:pPr>
        <w:tabs>
          <w:tab w:pos="9526" w:val="left" w:leader="none"/>
        </w:tabs>
        <w:spacing w:before="22"/>
        <w:ind w:left="3641" w:right="0" w:firstLine="0"/>
        <w:jc w:val="left"/>
        <w:rPr>
          <w:b/>
          <w:sz w:val="18"/>
        </w:rPr>
      </w:pPr>
      <w:hyperlink w:history="true" w:anchor="_bookmark72">
        <w:r>
          <w:rPr>
            <w:b/>
            <w:sz w:val="18"/>
          </w:rPr>
          <w:t>steddatabase</w:t>
          <w:tab/>
          <w:t>38</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73">
        <w:r>
          <w:rPr>
            <w:sz w:val="18"/>
          </w:rPr>
          <w:t>Tværgående</w:t>
        </w:r>
        <w:r>
          <w:rPr>
            <w:spacing w:val="-4"/>
            <w:sz w:val="18"/>
          </w:rPr>
          <w:t> </w:t>
        </w:r>
        <w:r>
          <w:rPr>
            <w:sz w:val="18"/>
          </w:rPr>
          <w:t>egenskaber</w:t>
          <w:tab/>
          <w:t>38</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74">
        <w:r>
          <w:rPr>
            <w:sz w:val="18"/>
          </w:rPr>
          <w:t>Overordnede temaer for</w:t>
        </w:r>
        <w:r>
          <w:rPr>
            <w:spacing w:val="-12"/>
            <w:sz w:val="18"/>
          </w:rPr>
          <w:t> </w:t>
        </w:r>
        <w:r>
          <w:rPr>
            <w:sz w:val="18"/>
          </w:rPr>
          <w:t>andre</w:t>
        </w:r>
        <w:r>
          <w:rPr>
            <w:spacing w:val="-4"/>
            <w:sz w:val="18"/>
          </w:rPr>
          <w:t> </w:t>
        </w:r>
        <w:r>
          <w:rPr>
            <w:sz w:val="18"/>
          </w:rPr>
          <w:t>anvendelser</w:t>
          <w:tab/>
          <w:t>38</w:t>
        </w:r>
      </w:hyperlink>
    </w:p>
    <w:p>
      <w:pPr>
        <w:pStyle w:val="ListParagraph"/>
        <w:numPr>
          <w:ilvl w:val="1"/>
          <w:numId w:val="3"/>
        </w:numPr>
        <w:tabs>
          <w:tab w:pos="3640" w:val="left" w:leader="none"/>
          <w:tab w:pos="3641" w:val="left" w:leader="none"/>
          <w:tab w:pos="9555" w:val="left" w:leader="none"/>
        </w:tabs>
        <w:spacing w:line="240" w:lineRule="auto" w:before="119" w:after="0"/>
        <w:ind w:left="3641" w:right="0" w:hanging="992"/>
        <w:jc w:val="left"/>
        <w:rPr>
          <w:sz w:val="18"/>
        </w:rPr>
      </w:pPr>
      <w:hyperlink w:history="true" w:anchor="_bookmark75">
        <w:r>
          <w:rPr>
            <w:sz w:val="18"/>
          </w:rPr>
          <w:t>indendørs</w:t>
        </w:r>
        <w:r>
          <w:rPr>
            <w:spacing w:val="-5"/>
            <w:sz w:val="18"/>
          </w:rPr>
          <w:t> </w:t>
        </w:r>
        <w:r>
          <w:rPr>
            <w:sz w:val="18"/>
          </w:rPr>
          <w:t>navigation</w:t>
          <w:tab/>
          <w:t>39</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76">
        <w:r>
          <w:rPr>
            <w:sz w:val="18"/>
          </w:rPr>
          <w:t>Wayfinding</w:t>
          <w:tab/>
          <w:t>39</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77">
        <w:r>
          <w:rPr>
            <w:sz w:val="18"/>
          </w:rPr>
          <w:t>Beredskab</w:t>
          <w:tab/>
          <w:t>39</w:t>
        </w:r>
      </w:hyperlink>
    </w:p>
    <w:p>
      <w:pPr>
        <w:pStyle w:val="ListParagraph"/>
        <w:numPr>
          <w:ilvl w:val="2"/>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78">
        <w:r>
          <w:rPr>
            <w:sz w:val="18"/>
          </w:rPr>
          <w:t>Logistik</w:t>
          <w:tab/>
          <w:t>39</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79">
        <w:r>
          <w:rPr>
            <w:sz w:val="18"/>
          </w:rPr>
          <w:t>Robotteknologi</w:t>
          <w:tab/>
          <w:t>40</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80">
        <w:r>
          <w:rPr>
            <w:sz w:val="18"/>
          </w:rPr>
          <w:t>Facility</w:t>
        </w:r>
        <w:r>
          <w:rPr>
            <w:spacing w:val="-4"/>
            <w:sz w:val="18"/>
          </w:rPr>
          <w:t> </w:t>
        </w:r>
        <w:r>
          <w:rPr>
            <w:sz w:val="18"/>
          </w:rPr>
          <w:t>Management</w:t>
          <w:tab/>
          <w:t>40</w:t>
        </w:r>
      </w:hyperlink>
    </w:p>
    <w:p>
      <w:pPr>
        <w:pStyle w:val="ListParagraph"/>
        <w:numPr>
          <w:ilvl w:val="2"/>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81">
        <w:r>
          <w:rPr>
            <w:sz w:val="18"/>
          </w:rPr>
          <w:t>Bygningsdrift – drift,</w:t>
        </w:r>
        <w:r>
          <w:rPr>
            <w:spacing w:val="-8"/>
            <w:sz w:val="18"/>
          </w:rPr>
          <w:t> </w:t>
        </w:r>
        <w:r>
          <w:rPr>
            <w:sz w:val="18"/>
          </w:rPr>
          <w:t>service,</w:t>
        </w:r>
        <w:r>
          <w:rPr>
            <w:spacing w:val="-3"/>
            <w:sz w:val="18"/>
          </w:rPr>
          <w:t> </w:t>
        </w:r>
        <w:r>
          <w:rPr>
            <w:sz w:val="18"/>
          </w:rPr>
          <w:t>vedligehold</w:t>
          <w:tab/>
          <w:t>40</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82">
        <w:r>
          <w:rPr>
            <w:sz w:val="18"/>
          </w:rPr>
          <w:t>Space management</w:t>
        </w:r>
        <w:r>
          <w:rPr>
            <w:spacing w:val="-6"/>
            <w:sz w:val="18"/>
          </w:rPr>
          <w:t> </w:t>
        </w:r>
        <w:r>
          <w:rPr>
            <w:sz w:val="18"/>
          </w:rPr>
          <w:t>–</w:t>
        </w:r>
        <w:r>
          <w:rPr>
            <w:spacing w:val="-3"/>
            <w:sz w:val="18"/>
          </w:rPr>
          <w:t> </w:t>
        </w:r>
        <w:r>
          <w:rPr>
            <w:sz w:val="18"/>
          </w:rPr>
          <w:t>arealoptimering</w:t>
          <w:tab/>
          <w:t>41</w:t>
        </w:r>
      </w:hyperlink>
    </w:p>
    <w:p>
      <w:pPr>
        <w:pStyle w:val="ListParagraph"/>
        <w:numPr>
          <w:ilvl w:val="2"/>
          <w:numId w:val="3"/>
        </w:numPr>
        <w:tabs>
          <w:tab w:pos="3640" w:val="left" w:leader="none"/>
          <w:tab w:pos="3641" w:val="left" w:leader="none"/>
        </w:tabs>
        <w:spacing w:line="240" w:lineRule="auto" w:before="122" w:after="0"/>
        <w:ind w:left="3641" w:right="0" w:hanging="992"/>
        <w:jc w:val="left"/>
        <w:rPr>
          <w:sz w:val="18"/>
        </w:rPr>
      </w:pPr>
      <w:hyperlink w:history="true" w:anchor="_bookmark83">
        <w:r>
          <w:rPr>
            <w:sz w:val="18"/>
          </w:rPr>
          <w:t>Organisationsservice – rengøring,</w:t>
        </w:r>
        <w:r>
          <w:rPr>
            <w:spacing w:val="-4"/>
            <w:sz w:val="18"/>
          </w:rPr>
          <w:t> </w:t>
        </w:r>
        <w:r>
          <w:rPr>
            <w:sz w:val="18"/>
          </w:rPr>
          <w:t>lokaleadministration,</w:t>
        </w:r>
      </w:hyperlink>
    </w:p>
    <w:p>
      <w:pPr>
        <w:tabs>
          <w:tab w:pos="9555" w:val="left" w:leader="none"/>
        </w:tabs>
        <w:spacing w:before="22"/>
        <w:ind w:left="3641" w:right="0" w:firstLine="0"/>
        <w:jc w:val="left"/>
        <w:rPr>
          <w:sz w:val="18"/>
        </w:rPr>
      </w:pPr>
      <w:hyperlink w:history="true" w:anchor="_bookmark83">
        <w:r>
          <w:rPr>
            <w:sz w:val="18"/>
          </w:rPr>
          <w:t>forplejning</w:t>
        </w:r>
        <w:r>
          <w:rPr>
            <w:spacing w:val="-4"/>
            <w:sz w:val="18"/>
          </w:rPr>
          <w:t> </w:t>
        </w:r>
        <w:r>
          <w:rPr>
            <w:sz w:val="18"/>
          </w:rPr>
          <w:t>mv.</w:t>
          <w:tab/>
          <w:t>41</w:t>
        </w:r>
      </w:hyperlink>
    </w:p>
    <w:p>
      <w:pPr>
        <w:pStyle w:val="ListParagraph"/>
        <w:numPr>
          <w:ilvl w:val="1"/>
          <w:numId w:val="3"/>
        </w:numPr>
        <w:tabs>
          <w:tab w:pos="3640" w:val="left" w:leader="none"/>
          <w:tab w:pos="3641" w:val="left" w:leader="none"/>
          <w:tab w:pos="9555" w:val="left" w:leader="none"/>
        </w:tabs>
        <w:spacing w:line="240" w:lineRule="auto" w:before="119" w:after="0"/>
        <w:ind w:left="3641" w:right="0" w:hanging="992"/>
        <w:jc w:val="left"/>
        <w:rPr>
          <w:sz w:val="18"/>
        </w:rPr>
      </w:pPr>
      <w:hyperlink w:history="true" w:anchor="_bookmark84">
        <w:r>
          <w:rPr>
            <w:sz w:val="18"/>
          </w:rPr>
          <w:t>Ledelsesinformation</w:t>
          <w:tab/>
          <w:t>42</w:t>
        </w:r>
      </w:hyperlink>
    </w:p>
    <w:p>
      <w:pPr>
        <w:pStyle w:val="ListParagraph"/>
        <w:numPr>
          <w:ilvl w:val="0"/>
          <w:numId w:val="3"/>
        </w:numPr>
        <w:tabs>
          <w:tab w:pos="3640" w:val="left" w:leader="none"/>
          <w:tab w:pos="3641" w:val="left" w:leader="none"/>
        </w:tabs>
        <w:spacing w:line="240" w:lineRule="auto" w:before="382" w:after="0"/>
        <w:ind w:left="3641" w:right="0" w:hanging="992"/>
        <w:jc w:val="left"/>
        <w:rPr>
          <w:b/>
          <w:sz w:val="18"/>
        </w:rPr>
      </w:pPr>
      <w:hyperlink w:history="true" w:anchor="_bookmark85">
        <w:r>
          <w:rPr>
            <w:b/>
            <w:sz w:val="18"/>
          </w:rPr>
          <w:t>Offentlige bygningsejeres og</w:t>
        </w:r>
        <w:r>
          <w:rPr>
            <w:b/>
            <w:spacing w:val="-1"/>
            <w:sz w:val="18"/>
          </w:rPr>
          <w:t> </w:t>
        </w:r>
        <w:r>
          <w:rPr>
            <w:b/>
            <w:sz w:val="18"/>
          </w:rPr>
          <w:t>tredjepartaktørers</w:t>
        </w:r>
      </w:hyperlink>
    </w:p>
    <w:p>
      <w:pPr>
        <w:tabs>
          <w:tab w:pos="9526" w:val="left" w:leader="none"/>
        </w:tabs>
        <w:spacing w:before="21"/>
        <w:ind w:left="3641" w:right="0" w:firstLine="0"/>
        <w:jc w:val="left"/>
        <w:rPr>
          <w:b/>
          <w:sz w:val="18"/>
        </w:rPr>
      </w:pPr>
      <w:hyperlink w:history="true" w:anchor="_bookmark85">
        <w:r>
          <w:rPr>
            <w:b/>
            <w:sz w:val="18"/>
          </w:rPr>
          <w:t>perspektiv på en national</w:t>
        </w:r>
        <w:r>
          <w:rPr>
            <w:b/>
            <w:spacing w:val="-13"/>
            <w:sz w:val="18"/>
          </w:rPr>
          <w:t> </w:t>
        </w:r>
        <w:r>
          <w:rPr>
            <w:b/>
            <w:sz w:val="18"/>
          </w:rPr>
          <w:t>indendørs</w:t>
        </w:r>
        <w:r>
          <w:rPr>
            <w:b/>
            <w:spacing w:val="-3"/>
            <w:sz w:val="18"/>
          </w:rPr>
          <w:t> </w:t>
        </w:r>
        <w:r>
          <w:rPr>
            <w:b/>
            <w:sz w:val="18"/>
          </w:rPr>
          <w:t>steddatabase</w:t>
          <w:tab/>
          <w:t>43</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86">
        <w:r>
          <w:rPr>
            <w:sz w:val="18"/>
          </w:rPr>
          <w:t>Interview med</w:t>
        </w:r>
        <w:r>
          <w:rPr>
            <w:spacing w:val="-11"/>
            <w:sz w:val="18"/>
          </w:rPr>
          <w:t> </w:t>
        </w:r>
        <w:r>
          <w:rPr>
            <w:sz w:val="18"/>
          </w:rPr>
          <w:t>offentlige</w:t>
        </w:r>
        <w:r>
          <w:rPr>
            <w:spacing w:val="-4"/>
            <w:sz w:val="18"/>
          </w:rPr>
          <w:t> </w:t>
        </w:r>
        <w:r>
          <w:rPr>
            <w:sz w:val="18"/>
          </w:rPr>
          <w:t>bygningsejere</w:t>
          <w:tab/>
          <w:t>43</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87">
        <w:r>
          <w:rPr>
            <w:sz w:val="18"/>
          </w:rPr>
          <w:t>Hovedkonklusioner –</w:t>
        </w:r>
        <w:r>
          <w:rPr>
            <w:spacing w:val="-10"/>
            <w:sz w:val="18"/>
          </w:rPr>
          <w:t> </w:t>
        </w:r>
        <w:r>
          <w:rPr>
            <w:sz w:val="18"/>
          </w:rPr>
          <w:t>bygningsejernes</w:t>
        </w:r>
        <w:r>
          <w:rPr>
            <w:spacing w:val="-4"/>
            <w:sz w:val="18"/>
          </w:rPr>
          <w:t> </w:t>
        </w:r>
        <w:r>
          <w:rPr>
            <w:sz w:val="18"/>
          </w:rPr>
          <w:t>perspektiv</w:t>
          <w:tab/>
          <w:t>44</w:t>
        </w:r>
      </w:hyperlink>
    </w:p>
    <w:p>
      <w:pPr>
        <w:pStyle w:val="ListParagraph"/>
        <w:numPr>
          <w:ilvl w:val="1"/>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88">
        <w:r>
          <w:rPr>
            <w:sz w:val="18"/>
          </w:rPr>
          <w:t>Interview</w:t>
        </w:r>
        <w:r>
          <w:rPr>
            <w:spacing w:val="-6"/>
            <w:sz w:val="18"/>
          </w:rPr>
          <w:t> </w:t>
        </w:r>
        <w:r>
          <w:rPr>
            <w:sz w:val="18"/>
          </w:rPr>
          <w:t>med</w:t>
        </w:r>
        <w:r>
          <w:rPr>
            <w:spacing w:val="-4"/>
            <w:sz w:val="18"/>
          </w:rPr>
          <w:t> </w:t>
        </w:r>
        <w:r>
          <w:rPr>
            <w:sz w:val="18"/>
          </w:rPr>
          <w:t>tredjepartsaktører</w:t>
          <w:tab/>
          <w:t>45</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89">
        <w:r>
          <w:rPr>
            <w:sz w:val="18"/>
          </w:rPr>
          <w:t>Hovedkonklusioner –</w:t>
        </w:r>
        <w:r>
          <w:rPr>
            <w:spacing w:val="-12"/>
            <w:sz w:val="18"/>
          </w:rPr>
          <w:t> </w:t>
        </w:r>
        <w:r>
          <w:rPr>
            <w:sz w:val="18"/>
          </w:rPr>
          <w:t>tredjepartsaktørernes</w:t>
        </w:r>
        <w:r>
          <w:rPr>
            <w:spacing w:val="-6"/>
            <w:sz w:val="18"/>
          </w:rPr>
          <w:t> </w:t>
        </w:r>
        <w:r>
          <w:rPr>
            <w:sz w:val="18"/>
          </w:rPr>
          <w:t>perspektiv</w:t>
          <w:tab/>
          <w:t>45</w:t>
        </w:r>
      </w:hyperlink>
    </w:p>
    <w:p>
      <w:pPr>
        <w:tabs>
          <w:tab w:pos="3640" w:val="left" w:leader="none"/>
          <w:tab w:pos="9555" w:val="left" w:leader="none"/>
        </w:tabs>
        <w:spacing w:line="264" w:lineRule="auto" w:before="122"/>
        <w:ind w:left="3641" w:right="1038" w:hanging="992"/>
        <w:jc w:val="left"/>
        <w:rPr>
          <w:sz w:val="18"/>
        </w:rPr>
      </w:pPr>
      <w:hyperlink w:history="true" w:anchor="_bookmark90">
        <w:r>
          <w:rPr>
            <w:sz w:val="18"/>
          </w:rPr>
          <w:t>6.3</w:t>
          <w:tab/>
          <w:t>Forskelle og sammenfald mellem bygningsejeres og</w:t>
        </w:r>
      </w:hyperlink>
      <w:hyperlink w:history="true" w:anchor="_bookmark90">
        <w:r>
          <w:rPr>
            <w:sz w:val="18"/>
          </w:rPr>
          <w:t> tredjepartsaktørers</w:t>
        </w:r>
        <w:r>
          <w:rPr>
            <w:spacing w:val="-7"/>
            <w:sz w:val="18"/>
          </w:rPr>
          <w:t> </w:t>
        </w:r>
        <w:r>
          <w:rPr>
            <w:sz w:val="18"/>
          </w:rPr>
          <w:t>perspektiv</w:t>
          <w:tab/>
        </w:r>
        <w:r>
          <w:rPr>
            <w:spacing w:val="-8"/>
            <w:sz w:val="18"/>
          </w:rPr>
          <w:t>46</w:t>
        </w:r>
      </w:hyperlink>
    </w:p>
    <w:p>
      <w:pPr>
        <w:spacing w:after="0" w:line="264" w:lineRule="auto"/>
        <w:jc w:val="left"/>
        <w:rPr>
          <w:sz w:val="18"/>
        </w:rPr>
        <w:sectPr>
          <w:type w:val="continuous"/>
          <w:pgSz w:w="11910" w:h="16840"/>
          <w:pgMar w:top="1580" w:bottom="280" w:left="980" w:right="100"/>
        </w:sectPr>
      </w:pPr>
    </w:p>
    <w:p>
      <w:pPr>
        <w:spacing w:line="379" w:lineRule="auto" w:before="765"/>
        <w:ind w:left="2635" w:right="-20" w:firstLine="0"/>
        <w:jc w:val="left"/>
        <w:rPr>
          <w:sz w:val="12"/>
        </w:rPr>
      </w:pPr>
      <w:r>
        <w:rPr/>
        <w:pict>
          <v:line style="position:absolute;mso-position-horizontal-relative:page;mso-position-vertical-relative:paragraph;z-index:1312" from="180.770004pt,34.802219pt" to="291.410004pt,34.802219pt" stroked="true" strokeweight=".48pt" strokecolor="#000000">
            <v:stroke dashstyle="solid"/>
            <w10:wrap type="none"/>
          </v:line>
        </w:pict>
      </w:r>
      <w:r>
        <w:rPr/>
        <w:pict>
          <v:line style="position:absolute;mso-position-horizontal-relative:page;mso-position-vertical-relative:paragraph;z-index:1336" from="304.149994pt,34.802219pt" to="414.669994pt,34.802219pt" stroked="true" strokeweight=".48pt" strokecolor="#000000">
            <v:stroke dashstyle="solid"/>
            <w10:wrap type="none"/>
          </v:line>
        </w:pict>
      </w:r>
      <w:r>
        <w:rPr/>
        <w:pict>
          <v:line style="position:absolute;mso-position-horizontal-relative:page;mso-position-vertical-relative:paragraph;z-index:1360" from="427.420013pt,34.802219pt" to="537.940013pt,34.802219pt" stroked="true" strokeweight=".48pt" strokecolor="#000000">
            <v:stroke dashstyle="solid"/>
            <w10:wrap type="none"/>
          </v:line>
        </w:pict>
      </w:r>
      <w:r>
        <w:rPr>
          <w:sz w:val="12"/>
        </w:rPr>
        <w:t>Styrelsen for Dataforsyning og Ef- fektivisering og Energistyrelsen</w:t>
      </w:r>
    </w:p>
    <w:p>
      <w:pPr>
        <w:tabs>
          <w:tab w:pos="2829" w:val="left" w:leader="none"/>
        </w:tabs>
        <w:spacing w:before="765"/>
        <w:ind w:left="363"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0" w:bottom="960" w:left="980" w:right="100"/>
          <w:cols w:num="2" w:equalWidth="0">
            <w:col w:w="4700" w:space="40"/>
            <w:col w:w="6090"/>
          </w:cols>
        </w:sectPr>
      </w:pPr>
    </w:p>
    <w:p>
      <w:pPr>
        <w:pStyle w:val="ListParagraph"/>
        <w:numPr>
          <w:ilvl w:val="2"/>
          <w:numId w:val="5"/>
        </w:numPr>
        <w:tabs>
          <w:tab w:pos="3640" w:val="left" w:leader="none"/>
          <w:tab w:pos="3641" w:val="left" w:leader="none"/>
          <w:tab w:pos="9555" w:val="left" w:leader="none"/>
        </w:tabs>
        <w:spacing w:line="240" w:lineRule="auto" w:before="718" w:after="0"/>
        <w:ind w:left="3641" w:right="0" w:hanging="992"/>
        <w:jc w:val="left"/>
        <w:rPr>
          <w:sz w:val="18"/>
        </w:rPr>
      </w:pPr>
      <w:r>
        <w:rPr/>
        <w:pict>
          <v:shape style="position:absolute;margin-left:.017151pt;margin-top:-157.190018pt;width:133.65pt;height:997.65pt;mso-position-horizontal-relative:page;mso-position-vertical-relative:page;z-index:-181288" coordorigin="0,-3144" coordsize="2673,19953" path="m3382,16476l3238,16816m3382,16476l3382,16476m3382,16082l3073,16816m3382,15693l2909,16816m3382,15298l2739,16816m3382,14904l2575,16816m3382,14514l2405,16816m3382,14120l2241,16816m3382,13726l2076,16816m3382,13336l1907,16816m3382,12942l1742,16816m3382,12547l1573,16816m3382,12158l1408,16816m3382,11764l1239,16816m3382,11369l1134,16676m3382,10980l1134,16287m3382,10585l1134,15892m3382,10191l1134,15498m3382,9796l1134,15104m3382,9407l1134,14714m3382,9013l1134,14320m3382,8618l1134,13925m3382,8229l1134,13536m3382,7834l1134,13141m3382,7440l1134,12747m3382,7050l1134,12358m3382,6656l1134,11963m3382,6262l1134,11569m3382,5872l1134,11179m3382,5478l1134,10785m3382,5083l1134,10391m3382,4694l1134,10001m3382,4299l1134,9607m3382,3905l1134,9212m3382,3516l1134,8823m3382,3121l1134,8428m3382,2727l1134,8034m3382,2337l1134,7645m3382,1943l1134,7250m3382,1549l1134,6856m3382,1159l1134,6466m3382,1159l3382,1159m3382,765l1134,6072m3382,765l3382,765m3382,370l1134,5677m3372,6l1134,5283m3208,6l1134,4894m3038,6l1134,4499m2874,6l1134,4105m2704,6l1134,3715m2540,6l1134,3321m2375,6l1134,2927m2206,6l1134,2537m2041,6l1134,2143m1872,6l1134,1748m1708,6l1134,1359m1543,6l1134,965m1374,6l1134,570m1209,6l1134,181m1209,6l1209,6e" filled="false" stroked="true" strokeweight=".498857pt" strokecolor="#f0f0f0">
            <v:path arrowok="t"/>
            <v:stroke dashstyle="solid"/>
            <w10:wrap type="none"/>
          </v:shape>
        </w:pict>
      </w:r>
      <w:hyperlink w:history="true" w:anchor="_bookmark91">
        <w:r>
          <w:rPr>
            <w:sz w:val="18"/>
          </w:rPr>
          <w:t>Forskellige</w:t>
        </w:r>
        <w:r>
          <w:rPr>
            <w:spacing w:val="-4"/>
            <w:sz w:val="18"/>
          </w:rPr>
          <w:t> </w:t>
        </w:r>
        <w:r>
          <w:rPr>
            <w:sz w:val="18"/>
          </w:rPr>
          <w:t>perspektiver</w:t>
          <w:tab/>
          <w:t>46</w:t>
        </w:r>
      </w:hyperlink>
    </w:p>
    <w:p>
      <w:pPr>
        <w:pStyle w:val="ListParagraph"/>
        <w:numPr>
          <w:ilvl w:val="2"/>
          <w:numId w:val="5"/>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92">
        <w:r>
          <w:rPr>
            <w:sz w:val="18"/>
          </w:rPr>
          <w:t>Sammenfaldende</w:t>
        </w:r>
        <w:r>
          <w:rPr>
            <w:spacing w:val="-5"/>
            <w:sz w:val="18"/>
          </w:rPr>
          <w:t> </w:t>
        </w:r>
        <w:r>
          <w:rPr>
            <w:sz w:val="18"/>
          </w:rPr>
          <w:t>perspektiver</w:t>
          <w:tab/>
          <w:t>47</w:t>
        </w:r>
      </w:hyperlink>
    </w:p>
    <w:p>
      <w:pPr>
        <w:pStyle w:val="ListParagraph"/>
        <w:numPr>
          <w:ilvl w:val="0"/>
          <w:numId w:val="3"/>
        </w:numPr>
        <w:tabs>
          <w:tab w:pos="3640" w:val="left" w:leader="none"/>
          <w:tab w:pos="3641" w:val="left" w:leader="none"/>
          <w:tab w:pos="9526" w:val="left" w:leader="none"/>
        </w:tabs>
        <w:spacing w:line="240" w:lineRule="auto" w:before="381" w:after="0"/>
        <w:ind w:left="3641" w:right="0" w:hanging="992"/>
        <w:jc w:val="left"/>
        <w:rPr>
          <w:b/>
          <w:sz w:val="18"/>
        </w:rPr>
      </w:pPr>
      <w:hyperlink w:history="true" w:anchor="_bookmark93">
        <w:r>
          <w:rPr>
            <w:b/>
            <w:sz w:val="18"/>
          </w:rPr>
          <w:t>Proof of concept for</w:t>
        </w:r>
        <w:r>
          <w:rPr>
            <w:b/>
            <w:spacing w:val="-13"/>
            <w:sz w:val="18"/>
          </w:rPr>
          <w:t> </w:t>
        </w:r>
        <w:r>
          <w:rPr>
            <w:b/>
            <w:sz w:val="18"/>
          </w:rPr>
          <w:t>indendørs</w:t>
        </w:r>
        <w:r>
          <w:rPr>
            <w:b/>
            <w:spacing w:val="-3"/>
            <w:sz w:val="18"/>
          </w:rPr>
          <w:t> </w:t>
        </w:r>
        <w:r>
          <w:rPr>
            <w:b/>
            <w:sz w:val="18"/>
          </w:rPr>
          <w:t>geografi</w:t>
          <w:tab/>
          <w:t>48</w:t>
        </w:r>
      </w:hyperlink>
    </w:p>
    <w:p>
      <w:pPr>
        <w:pStyle w:val="ListParagraph"/>
        <w:numPr>
          <w:ilvl w:val="1"/>
          <w:numId w:val="3"/>
        </w:numPr>
        <w:tabs>
          <w:tab w:pos="3640" w:val="left" w:leader="none"/>
          <w:tab w:pos="3641" w:val="left" w:leader="none"/>
          <w:tab w:pos="9555" w:val="left" w:leader="none"/>
        </w:tabs>
        <w:spacing w:line="264" w:lineRule="auto" w:before="122" w:after="0"/>
        <w:ind w:left="3641" w:right="1038" w:hanging="992"/>
        <w:jc w:val="left"/>
        <w:rPr>
          <w:sz w:val="18"/>
        </w:rPr>
      </w:pPr>
      <w:hyperlink w:history="true" w:anchor="_bookmark94">
        <w:r>
          <w:rPr>
            <w:sz w:val="18"/>
          </w:rPr>
          <w:t>Teknisk konceptuel model for infrastrukturen for indendørs</w:t>
        </w:r>
      </w:hyperlink>
      <w:r>
        <w:rPr>
          <w:sz w:val="18"/>
        </w:rPr>
        <w:t> </w:t>
      </w:r>
      <w:hyperlink w:history="true" w:anchor="_bookmark94">
        <w:r>
          <w:rPr>
            <w:sz w:val="18"/>
          </w:rPr>
          <w:t> geografi</w:t>
          <w:tab/>
        </w:r>
        <w:r>
          <w:rPr>
            <w:spacing w:val="-8"/>
            <w:sz w:val="18"/>
          </w:rPr>
          <w:t>48</w:t>
        </w:r>
      </w:hyperlink>
    </w:p>
    <w:p>
      <w:pPr>
        <w:pStyle w:val="ListParagraph"/>
        <w:numPr>
          <w:ilvl w:val="2"/>
          <w:numId w:val="3"/>
        </w:numPr>
        <w:tabs>
          <w:tab w:pos="3640" w:val="left" w:leader="none"/>
          <w:tab w:pos="3641" w:val="left" w:leader="none"/>
          <w:tab w:pos="9555" w:val="left" w:leader="none"/>
        </w:tabs>
        <w:spacing w:line="240" w:lineRule="auto" w:before="98" w:after="0"/>
        <w:ind w:left="3641" w:right="0" w:hanging="992"/>
        <w:jc w:val="left"/>
        <w:rPr>
          <w:sz w:val="18"/>
        </w:rPr>
      </w:pPr>
      <w:hyperlink w:history="true" w:anchor="_bookmark96">
        <w:r>
          <w:rPr>
            <w:sz w:val="18"/>
          </w:rPr>
          <w:t>Input</w:t>
          <w:tab/>
          <w:t>48</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97">
        <w:r>
          <w:rPr>
            <w:sz w:val="18"/>
          </w:rPr>
          <w:t>Transformation</w:t>
          <w:tab/>
          <w:t>49</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98">
        <w:r>
          <w:rPr>
            <w:sz w:val="18"/>
          </w:rPr>
          <w:t>Infrastruktur</w:t>
          <w:tab/>
          <w:t>49</w:t>
        </w:r>
      </w:hyperlink>
    </w:p>
    <w:p>
      <w:pPr>
        <w:pStyle w:val="ListParagraph"/>
        <w:numPr>
          <w:ilvl w:val="2"/>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100">
        <w:r>
          <w:rPr>
            <w:sz w:val="18"/>
          </w:rPr>
          <w:t>Anvendelse</w:t>
        </w:r>
        <w:r>
          <w:rPr>
            <w:spacing w:val="-3"/>
            <w:sz w:val="18"/>
          </w:rPr>
          <w:t> </w:t>
        </w:r>
        <w:r>
          <w:rPr>
            <w:sz w:val="18"/>
          </w:rPr>
          <w:t>og</w:t>
        </w:r>
        <w:r>
          <w:rPr>
            <w:spacing w:val="-3"/>
            <w:sz w:val="18"/>
          </w:rPr>
          <w:t> </w:t>
        </w:r>
        <w:r>
          <w:rPr>
            <w:sz w:val="18"/>
          </w:rPr>
          <w:t>visning</w:t>
          <w:tab/>
          <w:t>50</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101">
        <w:r>
          <w:rPr>
            <w:sz w:val="18"/>
          </w:rPr>
          <w:t>Mockup: Visualisering af energi-relevante data</w:t>
        </w:r>
        <w:r>
          <w:rPr>
            <w:spacing w:val="-19"/>
            <w:sz w:val="18"/>
          </w:rPr>
          <w:t> </w:t>
        </w:r>
        <w:r>
          <w:rPr>
            <w:sz w:val="18"/>
          </w:rPr>
          <w:t>på</w:t>
        </w:r>
        <w:r>
          <w:rPr>
            <w:spacing w:val="-3"/>
            <w:sz w:val="18"/>
          </w:rPr>
          <w:t> </w:t>
        </w:r>
        <w:r>
          <w:rPr>
            <w:sz w:val="18"/>
          </w:rPr>
          <w:t>rumniveau</w:t>
          <w:tab/>
          <w:t>50</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107">
        <w:r>
          <w:rPr>
            <w:sz w:val="18"/>
          </w:rPr>
          <w:t>Kvalificering af koncept</w:t>
        </w:r>
        <w:r>
          <w:rPr>
            <w:spacing w:val="-9"/>
            <w:sz w:val="18"/>
          </w:rPr>
          <w:t> </w:t>
        </w:r>
        <w:r>
          <w:rPr>
            <w:sz w:val="18"/>
          </w:rPr>
          <w:t>med</w:t>
        </w:r>
        <w:r>
          <w:rPr>
            <w:spacing w:val="-3"/>
            <w:sz w:val="18"/>
          </w:rPr>
          <w:t> </w:t>
        </w:r>
        <w:r>
          <w:rPr>
            <w:sz w:val="18"/>
          </w:rPr>
          <w:t>tredjepartsaktører</w:t>
          <w:tab/>
          <w:t>52</w:t>
        </w:r>
      </w:hyperlink>
    </w:p>
    <w:p>
      <w:pPr>
        <w:pStyle w:val="ListParagraph"/>
        <w:numPr>
          <w:ilvl w:val="1"/>
          <w:numId w:val="3"/>
        </w:numPr>
        <w:tabs>
          <w:tab w:pos="3640" w:val="left" w:leader="none"/>
          <w:tab w:pos="3641" w:val="left" w:leader="none"/>
        </w:tabs>
        <w:spacing w:line="240" w:lineRule="auto" w:before="120" w:after="0"/>
        <w:ind w:left="3641" w:right="0" w:hanging="992"/>
        <w:jc w:val="left"/>
        <w:rPr>
          <w:sz w:val="18"/>
        </w:rPr>
      </w:pPr>
      <w:hyperlink w:history="true" w:anchor="_bookmark108">
        <w:r>
          <w:rPr>
            <w:sz w:val="18"/>
          </w:rPr>
          <w:t>Teknologiske perspektiver for en indendørs steddatabase</w:t>
        </w:r>
        <w:r>
          <w:rPr>
            <w:spacing w:val="-15"/>
            <w:sz w:val="18"/>
          </w:rPr>
          <w:t> </w:t>
        </w:r>
        <w:r>
          <w:rPr>
            <w:sz w:val="18"/>
          </w:rPr>
          <w:t>med</w:t>
        </w:r>
      </w:hyperlink>
    </w:p>
    <w:p>
      <w:pPr>
        <w:tabs>
          <w:tab w:pos="9555" w:val="left" w:leader="none"/>
        </w:tabs>
        <w:spacing w:before="21"/>
        <w:ind w:left="3641" w:right="0" w:firstLine="0"/>
        <w:jc w:val="left"/>
        <w:rPr>
          <w:sz w:val="18"/>
        </w:rPr>
      </w:pPr>
      <w:hyperlink w:history="true" w:anchor="_bookmark108">
        <w:r>
          <w:rPr>
            <w:sz w:val="18"/>
          </w:rPr>
          <w:t>RDF</w:t>
        </w:r>
        <w:r>
          <w:rPr>
            <w:spacing w:val="-5"/>
            <w:sz w:val="18"/>
          </w:rPr>
          <w:t> </w:t>
        </w:r>
        <w:r>
          <w:rPr>
            <w:sz w:val="18"/>
          </w:rPr>
          <w:t>teknologi</w:t>
          <w:tab/>
          <w:t>54</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110">
        <w:r>
          <w:rPr>
            <w:sz w:val="18"/>
          </w:rPr>
          <w:t>Eksisterende ontologier inden for BIM, GIS</w:t>
        </w:r>
        <w:r>
          <w:rPr>
            <w:spacing w:val="-17"/>
            <w:sz w:val="18"/>
          </w:rPr>
          <w:t> </w:t>
        </w:r>
        <w:r>
          <w:rPr>
            <w:sz w:val="18"/>
          </w:rPr>
          <w:t>og</w:t>
        </w:r>
        <w:r>
          <w:rPr>
            <w:spacing w:val="-3"/>
            <w:sz w:val="18"/>
          </w:rPr>
          <w:t> </w:t>
        </w:r>
        <w:r>
          <w:rPr>
            <w:sz w:val="18"/>
          </w:rPr>
          <w:t>energidata</w:t>
          <w:tab/>
          <w:t>55</w:t>
        </w:r>
      </w:hyperlink>
    </w:p>
    <w:p>
      <w:pPr>
        <w:pStyle w:val="ListParagraph"/>
        <w:numPr>
          <w:ilvl w:val="2"/>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111">
        <w:r>
          <w:rPr>
            <w:sz w:val="18"/>
          </w:rPr>
          <w:t>Dataadgang og implementering</w:t>
        </w:r>
        <w:r>
          <w:rPr>
            <w:spacing w:val="-11"/>
            <w:sz w:val="18"/>
          </w:rPr>
          <w:t> </w:t>
        </w:r>
        <w:r>
          <w:rPr>
            <w:sz w:val="18"/>
          </w:rPr>
          <w:t>af</w:t>
        </w:r>
        <w:r>
          <w:rPr>
            <w:spacing w:val="-5"/>
            <w:sz w:val="18"/>
          </w:rPr>
          <w:t> </w:t>
        </w:r>
        <w:r>
          <w:rPr>
            <w:sz w:val="18"/>
          </w:rPr>
          <w:t>RDF</w:t>
          <w:tab/>
          <w:t>56</w:t>
        </w:r>
      </w:hyperlink>
    </w:p>
    <w:p>
      <w:pPr>
        <w:pStyle w:val="ListParagraph"/>
        <w:numPr>
          <w:ilvl w:val="2"/>
          <w:numId w:val="3"/>
        </w:numPr>
        <w:tabs>
          <w:tab w:pos="3640" w:val="left" w:leader="none"/>
          <w:tab w:pos="3641" w:val="left" w:leader="none"/>
          <w:tab w:pos="9555" w:val="left" w:leader="none"/>
        </w:tabs>
        <w:spacing w:line="240" w:lineRule="auto" w:before="120" w:after="0"/>
        <w:ind w:left="3641" w:right="0" w:hanging="992"/>
        <w:jc w:val="left"/>
        <w:rPr>
          <w:sz w:val="18"/>
        </w:rPr>
      </w:pPr>
      <w:hyperlink w:history="true" w:anchor="_bookmark112">
        <w:r>
          <w:rPr>
            <w:sz w:val="18"/>
          </w:rPr>
          <w:t>Perspektiver for RDF og</w:t>
        </w:r>
        <w:r>
          <w:rPr>
            <w:spacing w:val="-13"/>
            <w:sz w:val="18"/>
          </w:rPr>
          <w:t> </w:t>
        </w:r>
        <w:r>
          <w:rPr>
            <w:sz w:val="18"/>
          </w:rPr>
          <w:t>indendørs</w:t>
        </w:r>
        <w:r>
          <w:rPr>
            <w:spacing w:val="-4"/>
            <w:sz w:val="18"/>
          </w:rPr>
          <w:t> </w:t>
        </w:r>
        <w:r>
          <w:rPr>
            <w:sz w:val="18"/>
          </w:rPr>
          <w:t>geografi</w:t>
          <w:tab/>
          <w:t>56</w:t>
        </w:r>
      </w:hyperlink>
    </w:p>
    <w:p>
      <w:pPr>
        <w:pStyle w:val="ListParagraph"/>
        <w:numPr>
          <w:ilvl w:val="0"/>
          <w:numId w:val="3"/>
        </w:numPr>
        <w:tabs>
          <w:tab w:pos="3640" w:val="left" w:leader="none"/>
          <w:tab w:pos="3641" w:val="left" w:leader="none"/>
          <w:tab w:pos="9526" w:val="left" w:leader="none"/>
        </w:tabs>
        <w:spacing w:line="240" w:lineRule="auto" w:before="381" w:after="0"/>
        <w:ind w:left="3641" w:right="0" w:hanging="992"/>
        <w:jc w:val="left"/>
        <w:rPr>
          <w:b/>
          <w:sz w:val="18"/>
        </w:rPr>
      </w:pPr>
      <w:hyperlink w:history="true" w:anchor="_bookmark113">
        <w:r>
          <w:rPr>
            <w:b/>
            <w:sz w:val="18"/>
          </w:rPr>
          <w:t>Skitser</w:t>
        </w:r>
        <w:r>
          <w:rPr>
            <w:b/>
            <w:spacing w:val="-4"/>
            <w:sz w:val="18"/>
          </w:rPr>
          <w:t> </w:t>
        </w:r>
        <w:r>
          <w:rPr>
            <w:b/>
            <w:sz w:val="18"/>
          </w:rPr>
          <w:t>til</w:t>
        </w:r>
        <w:r>
          <w:rPr>
            <w:b/>
            <w:spacing w:val="-2"/>
            <w:sz w:val="18"/>
          </w:rPr>
          <w:t> </w:t>
        </w:r>
        <w:r>
          <w:rPr>
            <w:b/>
            <w:sz w:val="18"/>
          </w:rPr>
          <w:t>pilotprojekter</w:t>
          <w:tab/>
          <w:t>57</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114">
        <w:r>
          <w:rPr>
            <w:sz w:val="18"/>
          </w:rPr>
          <w:t>Logistik</w:t>
          <w:tab/>
          <w:t>57</w:t>
        </w:r>
      </w:hyperlink>
    </w:p>
    <w:p>
      <w:pPr>
        <w:pStyle w:val="ListParagraph"/>
        <w:numPr>
          <w:ilvl w:val="1"/>
          <w:numId w:val="3"/>
        </w:numPr>
        <w:tabs>
          <w:tab w:pos="3640" w:val="left" w:leader="none"/>
          <w:tab w:pos="3641" w:val="left" w:leader="none"/>
          <w:tab w:pos="9555" w:val="left" w:leader="none"/>
        </w:tabs>
        <w:spacing w:line="240" w:lineRule="auto" w:before="122" w:after="0"/>
        <w:ind w:left="3641" w:right="0" w:hanging="992"/>
        <w:jc w:val="left"/>
        <w:rPr>
          <w:sz w:val="18"/>
        </w:rPr>
      </w:pPr>
      <w:hyperlink w:history="true" w:anchor="_bookmark115">
        <w:r>
          <w:rPr>
            <w:sz w:val="18"/>
          </w:rPr>
          <w:t>Optimering</w:t>
        </w:r>
        <w:r>
          <w:rPr>
            <w:spacing w:val="-4"/>
            <w:sz w:val="18"/>
          </w:rPr>
          <w:t> </w:t>
        </w:r>
        <w:r>
          <w:rPr>
            <w:sz w:val="18"/>
          </w:rPr>
          <w:t>af</w:t>
        </w:r>
        <w:r>
          <w:rPr>
            <w:spacing w:val="-4"/>
            <w:sz w:val="18"/>
          </w:rPr>
          <w:t> </w:t>
        </w:r>
        <w:r>
          <w:rPr>
            <w:sz w:val="18"/>
          </w:rPr>
          <w:t>arealanvendelse</w:t>
          <w:tab/>
          <w:t>58</w:t>
        </w:r>
      </w:hyperlink>
    </w:p>
    <w:p>
      <w:pPr>
        <w:tabs>
          <w:tab w:pos="9526" w:val="left" w:leader="none"/>
        </w:tabs>
        <w:spacing w:line="264" w:lineRule="auto" w:before="381"/>
        <w:ind w:left="3641" w:right="1043" w:hanging="992"/>
        <w:jc w:val="left"/>
        <w:rPr>
          <w:b/>
          <w:sz w:val="18"/>
        </w:rPr>
      </w:pPr>
      <w:hyperlink w:history="true" w:anchor="_bookmark116">
        <w:r>
          <w:rPr>
            <w:b/>
            <w:sz w:val="18"/>
          </w:rPr>
          <w:t>Appendix 1: Forslag til ramme for en IDM med henblik på en</w:t>
        </w:r>
      </w:hyperlink>
      <w:r>
        <w:rPr>
          <w:b/>
          <w:sz w:val="18"/>
        </w:rPr>
        <w:t> </w:t>
      </w:r>
      <w:hyperlink w:history="true" w:anchor="_bookmark116">
        <w:r>
          <w:rPr>
            <w:b/>
            <w:sz w:val="18"/>
          </w:rPr>
          <w:t>steddatabase og</w:t>
        </w:r>
        <w:r>
          <w:rPr>
            <w:b/>
            <w:spacing w:val="-7"/>
            <w:sz w:val="18"/>
          </w:rPr>
          <w:t> </w:t>
        </w:r>
        <w:r>
          <w:rPr>
            <w:b/>
            <w:sz w:val="18"/>
          </w:rPr>
          <w:t>energi-relevante</w:t>
        </w:r>
        <w:r>
          <w:rPr>
            <w:b/>
            <w:spacing w:val="-4"/>
            <w:sz w:val="18"/>
          </w:rPr>
          <w:t> </w:t>
        </w:r>
        <w:r>
          <w:rPr>
            <w:b/>
            <w:sz w:val="18"/>
          </w:rPr>
          <w:t>data</w:t>
          <w:tab/>
        </w:r>
        <w:r>
          <w:rPr>
            <w:b/>
            <w:spacing w:val="-10"/>
            <w:sz w:val="18"/>
          </w:rPr>
          <w:t>59</w:t>
        </w:r>
      </w:hyperlink>
    </w:p>
    <w:p>
      <w:pPr>
        <w:tabs>
          <w:tab w:pos="9526" w:val="left" w:leader="none"/>
        </w:tabs>
        <w:spacing w:before="359"/>
        <w:ind w:left="2649" w:right="0" w:firstLine="0"/>
        <w:jc w:val="left"/>
        <w:rPr>
          <w:b/>
          <w:sz w:val="18"/>
        </w:rPr>
      </w:pPr>
      <w:hyperlink w:history="true" w:anchor="_bookmark117">
        <w:r>
          <w:rPr>
            <w:b/>
            <w:sz w:val="18"/>
          </w:rPr>
          <w:t>Appendix 2: Data med relevans</w:t>
        </w:r>
        <w:r>
          <w:rPr>
            <w:b/>
            <w:spacing w:val="-18"/>
            <w:sz w:val="18"/>
          </w:rPr>
          <w:t> </w:t>
        </w:r>
        <w:r>
          <w:rPr>
            <w:b/>
            <w:sz w:val="18"/>
          </w:rPr>
          <w:t>for</w:t>
        </w:r>
        <w:r>
          <w:rPr>
            <w:b/>
            <w:spacing w:val="-3"/>
            <w:sz w:val="18"/>
          </w:rPr>
          <w:t> </w:t>
        </w:r>
        <w:r>
          <w:rPr>
            <w:b/>
            <w:sz w:val="18"/>
          </w:rPr>
          <w:t>energieffektivisering</w:t>
          <w:tab/>
          <w:t>64</w:t>
        </w:r>
      </w:hyperlink>
    </w:p>
    <w:p>
      <w:pPr>
        <w:tabs>
          <w:tab w:pos="9526" w:val="left" w:leader="none"/>
        </w:tabs>
        <w:spacing w:before="381"/>
        <w:ind w:left="2649" w:right="0" w:firstLine="0"/>
        <w:jc w:val="left"/>
        <w:rPr>
          <w:b/>
          <w:sz w:val="18"/>
        </w:rPr>
      </w:pPr>
      <w:hyperlink w:history="true" w:anchor="_bookmark118">
        <w:r>
          <w:rPr>
            <w:b/>
            <w:sz w:val="18"/>
          </w:rPr>
          <w:t>Appendix 3: Niveauer</w:t>
        </w:r>
        <w:r>
          <w:rPr>
            <w:b/>
            <w:spacing w:val="-8"/>
            <w:sz w:val="18"/>
          </w:rPr>
          <w:t> </w:t>
        </w:r>
        <w:r>
          <w:rPr>
            <w:b/>
            <w:sz w:val="18"/>
          </w:rPr>
          <w:t>for</w:t>
        </w:r>
        <w:r>
          <w:rPr>
            <w:b/>
            <w:spacing w:val="-2"/>
            <w:sz w:val="18"/>
          </w:rPr>
          <w:t> </w:t>
        </w:r>
        <w:r>
          <w:rPr>
            <w:b/>
            <w:sz w:val="18"/>
          </w:rPr>
          <w:t>stedfæstelse</w:t>
          <w:tab/>
          <w:t>66</w:t>
        </w:r>
      </w:hyperlink>
    </w:p>
    <w:p>
      <w:pPr>
        <w:tabs>
          <w:tab w:pos="9526" w:val="left" w:leader="none"/>
        </w:tabs>
        <w:spacing w:line="264" w:lineRule="auto" w:before="382"/>
        <w:ind w:left="3641" w:right="1043" w:hanging="992"/>
        <w:jc w:val="left"/>
        <w:rPr>
          <w:b/>
          <w:sz w:val="18"/>
        </w:rPr>
      </w:pPr>
      <w:hyperlink w:history="true" w:anchor="_bookmark119">
        <w:r>
          <w:rPr>
            <w:b/>
            <w:sz w:val="18"/>
          </w:rPr>
          <w:t>Appendix 4: Tværgående udfordringer for anvendelse af data til</w:t>
        </w:r>
      </w:hyperlink>
      <w:r>
        <w:rPr>
          <w:b/>
          <w:sz w:val="18"/>
        </w:rPr>
        <w:t> </w:t>
      </w:r>
      <w:hyperlink w:history="true" w:anchor="_bookmark119">
        <w:r>
          <w:rPr>
            <w:b/>
            <w:sz w:val="18"/>
          </w:rPr>
          <w:t>energieffektivisering</w:t>
          <w:tab/>
        </w:r>
        <w:r>
          <w:rPr>
            <w:b/>
            <w:spacing w:val="-10"/>
            <w:sz w:val="18"/>
          </w:rPr>
          <w:t>68</w:t>
        </w:r>
      </w:hyperlink>
    </w:p>
    <w:p>
      <w:pPr>
        <w:spacing w:before="359"/>
        <w:ind w:left="2649" w:right="0" w:firstLine="0"/>
        <w:jc w:val="left"/>
        <w:rPr>
          <w:b/>
          <w:sz w:val="18"/>
        </w:rPr>
      </w:pPr>
      <w:hyperlink w:history="true" w:anchor="_bookmark120">
        <w:r>
          <w:rPr>
            <w:b/>
            <w:sz w:val="18"/>
          </w:rPr>
          <w:t>Appendix 5: Datapotentialer og databehov for</w:t>
        </w:r>
      </w:hyperlink>
    </w:p>
    <w:p>
      <w:pPr>
        <w:tabs>
          <w:tab w:pos="9526" w:val="left" w:leader="none"/>
        </w:tabs>
        <w:spacing w:before="21"/>
        <w:ind w:left="3641" w:right="0" w:firstLine="0"/>
        <w:jc w:val="left"/>
        <w:rPr>
          <w:b/>
          <w:sz w:val="18"/>
        </w:rPr>
      </w:pPr>
      <w:hyperlink w:history="true" w:anchor="_bookmark120">
        <w:r>
          <w:rPr>
            <w:b/>
            <w:sz w:val="18"/>
          </w:rPr>
          <w:t>energieffektiviserende</w:t>
        </w:r>
        <w:r>
          <w:rPr>
            <w:b/>
            <w:spacing w:val="-7"/>
            <w:sz w:val="18"/>
          </w:rPr>
          <w:t> </w:t>
        </w:r>
        <w:r>
          <w:rPr>
            <w:b/>
            <w:sz w:val="18"/>
          </w:rPr>
          <w:t>indsatser</w:t>
          <w:tab/>
          <w:t>69</w:t>
        </w:r>
      </w:hyperlink>
    </w:p>
    <w:p>
      <w:pPr>
        <w:tabs>
          <w:tab w:pos="9526" w:val="left" w:leader="none"/>
        </w:tabs>
        <w:spacing w:before="382"/>
        <w:ind w:left="2649" w:right="0" w:firstLine="0"/>
        <w:jc w:val="left"/>
        <w:rPr>
          <w:b/>
          <w:sz w:val="18"/>
        </w:rPr>
      </w:pPr>
      <w:hyperlink w:history="true" w:anchor="_bookmark121">
        <w:r>
          <w:rPr>
            <w:b/>
            <w:sz w:val="18"/>
          </w:rPr>
          <w:t>Appendix 6: One-pager med use-cases</w:t>
        </w:r>
        <w:r>
          <w:rPr>
            <w:b/>
            <w:spacing w:val="-15"/>
            <w:sz w:val="18"/>
          </w:rPr>
          <w:t> </w:t>
        </w:r>
        <w:r>
          <w:rPr>
            <w:b/>
            <w:sz w:val="18"/>
          </w:rPr>
          <w:t>for</w:t>
        </w:r>
        <w:r>
          <w:rPr>
            <w:b/>
            <w:spacing w:val="-4"/>
            <w:sz w:val="18"/>
          </w:rPr>
          <w:t> </w:t>
        </w:r>
        <w:r>
          <w:rPr>
            <w:b/>
            <w:sz w:val="18"/>
          </w:rPr>
          <w:t>bygningstyper</w:t>
          <w:tab/>
          <w:t>70</w:t>
        </w:r>
      </w:hyperlink>
    </w:p>
    <w:p>
      <w:pPr>
        <w:spacing w:before="381"/>
        <w:ind w:left="2649" w:right="0" w:firstLine="0"/>
        <w:jc w:val="left"/>
        <w:rPr>
          <w:b/>
          <w:sz w:val="18"/>
        </w:rPr>
      </w:pPr>
      <w:hyperlink w:history="true" w:anchor="_bookmark122">
        <w:r>
          <w:rPr>
            <w:b/>
            <w:sz w:val="18"/>
          </w:rPr>
          <w:t>Appendix 7: Uddybende resultater fra interview med</w:t>
        </w:r>
      </w:hyperlink>
    </w:p>
    <w:p>
      <w:pPr>
        <w:tabs>
          <w:tab w:pos="9526" w:val="left" w:leader="none"/>
        </w:tabs>
        <w:spacing w:before="21"/>
        <w:ind w:left="3641" w:right="0" w:firstLine="0"/>
        <w:jc w:val="left"/>
        <w:rPr>
          <w:b/>
          <w:sz w:val="18"/>
        </w:rPr>
      </w:pPr>
      <w:hyperlink w:history="true" w:anchor="_bookmark122">
        <w:r>
          <w:rPr>
            <w:b/>
            <w:sz w:val="18"/>
          </w:rPr>
          <w:t>bygningsejere</w:t>
          <w:tab/>
          <w:t>72</w:t>
        </w:r>
      </w:hyperlink>
    </w:p>
    <w:p>
      <w:pPr>
        <w:tabs>
          <w:tab w:pos="9526" w:val="left" w:leader="none"/>
        </w:tabs>
        <w:spacing w:line="264" w:lineRule="auto" w:before="381"/>
        <w:ind w:left="3641" w:right="1043" w:hanging="992"/>
        <w:jc w:val="left"/>
        <w:rPr>
          <w:b/>
          <w:sz w:val="18"/>
        </w:rPr>
      </w:pPr>
      <w:hyperlink w:history="true" w:anchor="_bookmark123">
        <w:r>
          <w:rPr>
            <w:b/>
            <w:sz w:val="18"/>
          </w:rPr>
          <w:t>Appendix 8: Uddybende resultater fra interview med</w:t>
        </w:r>
      </w:hyperlink>
      <w:r>
        <w:rPr>
          <w:b/>
          <w:sz w:val="18"/>
        </w:rPr>
        <w:t> </w:t>
      </w:r>
      <w:hyperlink w:history="true" w:anchor="_bookmark123">
        <w:r>
          <w:rPr>
            <w:b/>
            <w:sz w:val="18"/>
          </w:rPr>
          <w:t>tredjepartsaktører</w:t>
          <w:tab/>
        </w:r>
        <w:r>
          <w:rPr>
            <w:b/>
            <w:spacing w:val="-10"/>
            <w:sz w:val="18"/>
          </w:rPr>
          <w:t>80</w:t>
        </w:r>
      </w:hyperlink>
    </w:p>
    <w:p>
      <w:pPr>
        <w:pStyle w:val="BodyText"/>
        <w:rPr>
          <w:b/>
          <w:sz w:val="20"/>
        </w:rPr>
      </w:pPr>
    </w:p>
    <w:p>
      <w:pPr>
        <w:pStyle w:val="BodyText"/>
        <w:spacing w:before="2"/>
        <w:rPr>
          <w:b/>
          <w:sz w:val="11"/>
        </w:rPr>
      </w:pPr>
      <w:r>
        <w:rPr/>
        <w:pict>
          <v:line style="position:absolute;mso-position-horizontal-relative:page;mso-position-vertical-relative:paragraph;z-index:-760;mso-wrap-distance-left:0;mso-wrap-distance-right:0" from="181.449997pt,9.017969pt" to="538.599997pt,9.017969pt" stroked="true" strokeweight=".5pt" strokecolor="#000000">
            <v:stroke dashstyle="solid"/>
            <w10:wrap type="topAndBottom"/>
          </v:line>
        </w:pict>
      </w:r>
    </w:p>
    <w:p>
      <w:pPr>
        <w:spacing w:after="0"/>
        <w:rPr>
          <w:sz w:val="11"/>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6"/>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119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1"/>
          <w:numId w:val="6"/>
        </w:numPr>
        <w:tabs>
          <w:tab w:pos="2649" w:val="left" w:leader="none"/>
          <w:tab w:pos="2650" w:val="left" w:leader="none"/>
        </w:tabs>
        <w:spacing w:line="240" w:lineRule="auto" w:before="101" w:after="0"/>
        <w:ind w:left="2649" w:right="0" w:hanging="427"/>
        <w:jc w:val="left"/>
      </w:pPr>
      <w:bookmarkStart w:name="_bookmark0" w:id="1"/>
      <w:bookmarkEnd w:id="1"/>
      <w:r>
        <w:rPr/>
        <w:t>In</w:t>
      </w:r>
      <w:r>
        <w:rPr/>
        <w:t>troduktion</w:t>
      </w:r>
    </w:p>
    <w:p>
      <w:pPr>
        <w:pStyle w:val="BodyText"/>
        <w:spacing w:line="278" w:lineRule="auto" w:before="37"/>
        <w:ind w:left="2649" w:right="1089"/>
        <w:jc w:val="both"/>
      </w:pPr>
      <w:r>
        <w:rPr/>
        <w:t>Udvikling af en standardiseret model for etablering, drift og vedligehold af en nati- onal datainfrastruktur for indendørs geografi med en indendørs national steddata- base vil danne et solidt fundament for en lang række anvendelser af data, der kan kobles som stedbestemt information til rum i bygninger.</w:t>
      </w:r>
    </w:p>
    <w:p>
      <w:pPr>
        <w:pStyle w:val="BodyText"/>
        <w:spacing w:before="5"/>
        <w:rPr>
          <w:sz w:val="21"/>
        </w:rPr>
      </w:pPr>
    </w:p>
    <w:p>
      <w:pPr>
        <w:pStyle w:val="BodyText"/>
        <w:spacing w:line="278" w:lineRule="auto"/>
        <w:ind w:left="2649" w:right="1073"/>
      </w:pPr>
      <w:r>
        <w:rPr/>
        <w:t>For at teste og kvalificere denne antagelse, har NIRAS på opdrag af Styrelsen for Dataforsyning og Effektivisering samt Energistyrelsen gennemført en analyse af, hvordan og i hvilket omfang, en indendørs steddatabase kan understøtte energief- fektivisering i offentlige bygninger. Analysens resultater præsenteres i denne rap- port.</w:t>
      </w:r>
    </w:p>
    <w:p>
      <w:pPr>
        <w:pStyle w:val="BodyText"/>
        <w:spacing w:before="9"/>
        <w:rPr>
          <w:sz w:val="21"/>
        </w:rPr>
      </w:pPr>
    </w:p>
    <w:p>
      <w:pPr>
        <w:pStyle w:val="BodyText"/>
        <w:spacing w:line="278" w:lineRule="auto"/>
        <w:ind w:left="2649" w:right="1023"/>
      </w:pPr>
      <w:r>
        <w:rPr/>
        <w:t>Udover at undersøge hvordan – og om – en indendørs steddatabase kan bidrage til at skabe et forbedret datagrundlag, og dermed beslutningsgrundlag, for at gen- nemføre en energieffektiviseringsindsats, præsenteres en skitse til model for, hvordan energirelevante data i bygninger kan sammenstilles med en national in- dendørs steddatabase. Modelskitsen indeholder en visuel eksemplificering, som demonstrerer datakoblinger og beskriver de muligheder, der kan relateres til den skitserede model. Endvidere indeholder rapporten en gennemgang af andre op- lagte anvendelsesmuligheder samt teknologiske perspektiver for en national in- dendørs steddatabase.</w:t>
      </w:r>
    </w:p>
    <w:p>
      <w:pPr>
        <w:pStyle w:val="BodyText"/>
        <w:spacing w:before="7"/>
        <w:rPr>
          <w:sz w:val="21"/>
        </w:rPr>
      </w:pPr>
    </w:p>
    <w:p>
      <w:pPr>
        <w:pStyle w:val="BodyText"/>
        <w:spacing w:line="278" w:lineRule="auto"/>
        <w:ind w:left="2649" w:right="1022"/>
      </w:pPr>
      <w:r>
        <w:rPr/>
        <w:t>Rapporten beskriver resultatet af en konkret undersøgelse af en national indendørs steddatabases potentialer indenfor et afgrænset anvendelsesdomæne – energief- fektivisering. I rapporten zoomes der ind på dette domæne for at undersøge og demonstrere de konkrete (praktiske og datatekniske) løsninger, udfordringer og potentialer, der knytter sig til etablering og anvendelse af en indendørs steddata- base inden for dette domæne. Parallelt hermed, ses også på en bredere anven- delse, hvor netop det multianvendelige perspektiv bliver et væsentligt argument for, at etableringen af en fællesoffentligt indendørs steddatabase vil være værdi- skabende på en lang række områder.</w:t>
      </w:r>
    </w:p>
    <w:p>
      <w:pPr>
        <w:pStyle w:val="BodyText"/>
        <w:spacing w:before="7"/>
        <w:rPr>
          <w:sz w:val="21"/>
        </w:rPr>
      </w:pPr>
    </w:p>
    <w:p>
      <w:pPr>
        <w:pStyle w:val="BodyText"/>
        <w:spacing w:line="278" w:lineRule="auto"/>
        <w:ind w:left="2649" w:right="1040"/>
      </w:pPr>
      <w:r>
        <w:rPr/>
        <w:t>Resultaterne af analysen viser, at på kort sigt kan etablering af en indendørs data- infrastruktur, ikke alene bæres igennem med udgangspunkt i energieffektivisering. Men den kan skabes gennem en bredere tilgang til udnyttelse af potentialerne i helhedsorienteret syn på etableringen af en national indendørs steddatabase.</w:t>
      </w:r>
    </w:p>
    <w:p>
      <w:pPr>
        <w:pStyle w:val="BodyText"/>
        <w:spacing w:before="8"/>
        <w:rPr>
          <w:sz w:val="21"/>
        </w:rPr>
      </w:pPr>
    </w:p>
    <w:p>
      <w:pPr>
        <w:pStyle w:val="BodyText"/>
        <w:spacing w:line="278" w:lineRule="auto"/>
        <w:ind w:left="2649" w:right="1040"/>
      </w:pPr>
      <w:r>
        <w:rPr/>
        <w:t>Selve analysen er udført på grundlag af viden skabt i tæt samspil mellem NIRAS’ fageksperter (indenfor GIS, BIM og energieffektivisering) og repræsentanter for de potentielle, fremtidige brugere af en steddatabase, herunder offentlige bygnings- ejere (kommuner, regioner og stat) samt tredjepartsaktører (private leverandører af softwareydelser). Dette har sikret en velargumenteret og valid beskrivelse af steddatabasens anvendelsespotentiale, og at den beskrevne datainfrastruktur er meningsfuld og relevant.</w:t>
      </w:r>
    </w:p>
    <w:p>
      <w:pPr>
        <w:pStyle w:val="BodyText"/>
        <w:spacing w:before="11"/>
        <w:rPr>
          <w:sz w:val="20"/>
        </w:rPr>
      </w:pPr>
    </w:p>
    <w:p>
      <w:pPr>
        <w:pStyle w:val="Heading2"/>
        <w:numPr>
          <w:ilvl w:val="2"/>
          <w:numId w:val="6"/>
        </w:numPr>
        <w:tabs>
          <w:tab w:pos="2649" w:val="left" w:leader="none"/>
          <w:tab w:pos="2650" w:val="left" w:leader="none"/>
        </w:tabs>
        <w:spacing w:line="240" w:lineRule="auto" w:before="0" w:after="0"/>
        <w:ind w:left="2649" w:right="0" w:hanging="655"/>
        <w:jc w:val="left"/>
      </w:pPr>
      <w:bookmarkStart w:name="_bookmark1" w:id="2"/>
      <w:bookmarkEnd w:id="2"/>
      <w:r>
        <w:rPr/>
        <w:t>H</w:t>
      </w:r>
      <w:r>
        <w:rPr/>
        <w:t>ovedresultater</w:t>
      </w:r>
    </w:p>
    <w:p>
      <w:pPr>
        <w:pStyle w:val="BodyText"/>
        <w:spacing w:before="6"/>
        <w:rPr>
          <w:b/>
          <w:sz w:val="24"/>
        </w:rPr>
      </w:pPr>
    </w:p>
    <w:p>
      <w:pPr>
        <w:pStyle w:val="Heading3"/>
        <w:ind w:firstLine="0"/>
      </w:pPr>
      <w:r>
        <w:rPr/>
        <w:t>Solid datainfrastruktur til en national steddatabase</w:t>
      </w:r>
    </w:p>
    <w:p>
      <w:pPr>
        <w:pStyle w:val="BodyText"/>
        <w:spacing w:line="278" w:lineRule="auto" w:before="35"/>
        <w:ind w:left="2933" w:right="1054"/>
      </w:pPr>
      <w:r>
        <w:rPr/>
        <w:t>Der er gode forudsætninger for at skabe en solid datainfrastruktur for en natio- nal indendørs steddatabase opbygget af standardiserede elementer fra grund- dataprogrammet samt BIM-data. Dette giver mulighed for at skabe en standar- diseret struktur, som kan opretholde og vedligeholde unikke nøgler og entydig identifikation af rum i bygninger. Dermed skaber den indendørs steddatabase grundlag for at understøtte etablering af fælles sprog, struktur og standarder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109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933" w:right="1116"/>
      </w:pPr>
      <w:r>
        <w:rPr/>
        <w:t>for data, og stiller ejendomsorganisationer bedre ift. valg af systemer/leveran- dører.</w:t>
      </w:r>
    </w:p>
    <w:p>
      <w:pPr>
        <w:pStyle w:val="BodyText"/>
        <w:spacing w:before="4"/>
        <w:rPr>
          <w:sz w:val="21"/>
        </w:rPr>
      </w:pPr>
    </w:p>
    <w:p>
      <w:pPr>
        <w:pStyle w:val="BodyText"/>
        <w:spacing w:line="278" w:lineRule="auto"/>
        <w:ind w:left="2933" w:right="1062"/>
      </w:pPr>
      <w:r>
        <w:rPr/>
        <w:t>BIM-data til indendørs infrastruktur bør specificeres som Information Delivery Manuals (IDM), der er et effektivt værktøj til at sikre gode processer for BIM som datagrundlag. Det skal her samtidig fremhæves, at der ikke er noget klart overblik over ”modenheden” af inputdata samlet set på landsplan, hvilket skal forstås som i hvor stor udstrækning ejendomsejere kan levere data i en kvali- tet, der er anvendelig til etableringen af en indendørs steddatabase. Der vil na- turligvis være tale om en længere implementeringsperiode før den indendørs steddatabase er tilstrækkeligt udbygget til bredere anvendelse.</w:t>
      </w:r>
    </w:p>
    <w:p>
      <w:pPr>
        <w:pStyle w:val="BodyText"/>
        <w:spacing w:before="11"/>
        <w:rPr>
          <w:sz w:val="21"/>
        </w:rPr>
      </w:pPr>
    </w:p>
    <w:p>
      <w:pPr>
        <w:pStyle w:val="BodyText"/>
        <w:spacing w:line="278" w:lineRule="auto"/>
        <w:ind w:left="2933" w:right="1132" w:hanging="284"/>
      </w:pPr>
      <w:r>
        <w:rPr>
          <w:b/>
          <w:sz w:val="20"/>
        </w:rPr>
        <w:t>Begrænset understøttelse af data til energieffektivisering </w:t>
      </w:r>
      <w:r>
        <w:rPr/>
        <w:t>Analysen viser, at en steddatabases primære potentialer ift. energieffektivise- ring handler om detaljeret visualisering af energiforbrug i bygninger, forbedret grundlag for produktion af aktivitetsdata samt generel standardisering af data på området.</w:t>
      </w:r>
    </w:p>
    <w:p>
      <w:pPr>
        <w:pStyle w:val="BodyText"/>
        <w:spacing w:before="3"/>
        <w:rPr>
          <w:sz w:val="21"/>
        </w:rPr>
      </w:pPr>
    </w:p>
    <w:p>
      <w:pPr>
        <w:pStyle w:val="BodyText"/>
        <w:spacing w:line="278" w:lineRule="auto"/>
        <w:ind w:left="2933" w:right="1075"/>
      </w:pPr>
      <w:r>
        <w:rPr/>
        <w:t>Analysen viser dog også, at der pt. er mange udfordringer med at knytte ener- girelevante data til steddata, og at en steddatabase derfor kun i begrænset omfang kan understøtte energieffektivisering. Aktuelt foregår energieffektivise- ringsindsatser primært på bygningsniveau, og kan derfor fint realiseres uden en steddatabase. Den teknologiske udvikling kan dog betyde, at dette ændres, og at en steddatabase på sigt kan komme til at understøtte energieffektivise- ring.</w:t>
      </w:r>
    </w:p>
    <w:p>
      <w:pPr>
        <w:pStyle w:val="BodyText"/>
        <w:spacing w:before="7"/>
        <w:rPr>
          <w:sz w:val="21"/>
        </w:rPr>
      </w:pPr>
    </w:p>
    <w:p>
      <w:pPr>
        <w:pStyle w:val="BodyText"/>
        <w:spacing w:line="278" w:lineRule="auto"/>
        <w:ind w:left="2933" w:right="1046"/>
      </w:pPr>
      <w:r>
        <w:rPr/>
        <w:t>Analyse af anvendelsen af energirelevante data i forbindelse med en steddata- base har vist, at det har begrænset relevans, at undersøge use cases for for- skellige bygningstyper. Det skyldes at der ikke er stor variation i anvendelsen og potentialet for de forskellige bygningstyper. Til at teste anvendeligheden af en national steddatabase har energieffektivisering været yderst velegnet. Ener- gieffektiviseringsindsatser trækker på en lang række forskellige datatyper med varierende geografisk og tidslig detaljeringsgrad (fra overordnede bygnings- og forsyningsdata til detaljerede indeklima- og driftsdata fra sensorer). Dette ele- ment i undersøgelsen har skabt vigtig viden om, hvordan en steddatabase skal struktureres og om muligheder og begrænsninger for sammenstilling og kob- ling mellem en steddatabase og de domænespecifikke data.</w:t>
      </w:r>
    </w:p>
    <w:p>
      <w:pPr>
        <w:pStyle w:val="BodyText"/>
        <w:spacing w:before="11"/>
        <w:rPr>
          <w:sz w:val="21"/>
        </w:rPr>
      </w:pPr>
    </w:p>
    <w:p>
      <w:pPr>
        <w:pStyle w:val="Heading3"/>
        <w:ind w:firstLine="0"/>
      </w:pPr>
      <w:r>
        <w:rPr/>
        <w:t>Betydeligt potentiale for andre anvendelser</w:t>
      </w:r>
    </w:p>
    <w:p>
      <w:pPr>
        <w:pStyle w:val="BodyText"/>
        <w:spacing w:line="278" w:lineRule="auto" w:before="35"/>
        <w:ind w:left="2933" w:right="1045"/>
      </w:pPr>
      <w:r>
        <w:rPr/>
        <w:t>En nationale steddatabase har et stort anvendelsespotentiale inden for en lang række andre områder, herunder eksempelvis indendørs navigation og positi- onsbestemmelse, facility management, arealoptimering, bygningsvedligehold, styring og ledelsesinformation. For hver anvendelse vurderes domænespeci- fikke egenskaber, potentiale og efterspørgsel, tidshorisont, drivere, barrierer samt virkemidler. Potentialet er generelt set vurderet medium-stort, mens flere af de mere markedsdrevne anvendelser har tidshorisonter, der kan realiseres inden for kort tid, eller som allerede pågår i form af lokale løsninger.</w:t>
      </w:r>
    </w:p>
    <w:p>
      <w:pPr>
        <w:pStyle w:val="BodyText"/>
        <w:spacing w:before="7"/>
        <w:rPr>
          <w:sz w:val="21"/>
        </w:rPr>
      </w:pPr>
    </w:p>
    <w:p>
      <w:pPr>
        <w:pStyle w:val="BodyText"/>
        <w:spacing w:line="278" w:lineRule="auto"/>
        <w:ind w:left="2933" w:right="1063"/>
      </w:pPr>
      <w:r>
        <w:rPr/>
        <w:t>En national steddatabase vurderes i de fleste tilfælde som værende et godt vir- kemiddel for forløsning af potentialet, mens det ofte er mere organisatoriske hindringer, der er barrierer for udviklingen.</w:t>
      </w:r>
    </w:p>
    <w:p>
      <w:pPr>
        <w:pStyle w:val="BodyText"/>
        <w:spacing w:before="8"/>
        <w:rPr>
          <w:sz w:val="21"/>
        </w:rPr>
      </w:pPr>
    </w:p>
    <w:p>
      <w:pPr>
        <w:pStyle w:val="Heading3"/>
        <w:ind w:firstLine="0"/>
      </w:pPr>
      <w:r>
        <w:rPr/>
        <w:t>Interesse fra brugere og markedsaktører</w:t>
      </w:r>
    </w:p>
    <w:p>
      <w:pPr>
        <w:pStyle w:val="BodyText"/>
        <w:spacing w:line="278" w:lineRule="auto" w:before="35"/>
        <w:ind w:left="2933" w:right="1030"/>
      </w:pPr>
      <w:r>
        <w:rPr/>
        <w:t>En infrastruktur for en national steddatabase vurderes at være et ambitiøst og ressourcekrævende projekt, hvor de interviewede brugere har meget forskellig- artede perspektiver på steddatabasens potentiale og relevans. Eksempelvis</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100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933" w:right="1098"/>
      </w:pPr>
      <w:r>
        <w:rPr/>
        <w:t>vurderer de interviewede potentielle brugere, at mulighederne har lidt længere perspektiver end de markedsdrevne kræfter gør. Det vil sige, at leverandører af løsninger og ydelser har et meget positivt blik for mulighederne, der kan danne basis for yderligere forretningsudvikling.</w:t>
      </w:r>
    </w:p>
    <w:p>
      <w:pPr>
        <w:pStyle w:val="BodyText"/>
        <w:spacing w:before="5"/>
        <w:rPr>
          <w:sz w:val="21"/>
        </w:rPr>
      </w:pPr>
    </w:p>
    <w:p>
      <w:pPr>
        <w:pStyle w:val="BodyText"/>
        <w:spacing w:line="278" w:lineRule="auto"/>
        <w:ind w:left="2933" w:right="1100"/>
      </w:pPr>
      <w:r>
        <w:rPr/>
        <w:t>Fælles for de interviewede er, at andre anvendelser end energieffektivisering har et større potentiale og at data vil få stadig større betydning i bygningsdrif- ten. Især datamedarbejdere og markedsaktører har generelt udvist stor inte- resse for projektet og med en klar opbakning til en national standardiseret løs- ning, hvor de forventer at data skaber værdi på mange uforudsete måder og områder i fremtiden. Markedsaktørerne ser ikke etablering af steddatabasen som et konkurrerende element, men supplerende til deres forretning.</w:t>
      </w:r>
    </w:p>
    <w:p>
      <w:pPr>
        <w:pStyle w:val="BodyText"/>
        <w:spacing w:before="10"/>
        <w:rPr>
          <w:sz w:val="21"/>
        </w:rPr>
      </w:pPr>
    </w:p>
    <w:p>
      <w:pPr>
        <w:pStyle w:val="Heading3"/>
        <w:spacing w:before="1"/>
        <w:ind w:firstLine="0"/>
      </w:pPr>
      <w:r>
        <w:rPr/>
        <w:t>Et validt koncept for en steddatabase</w:t>
      </w:r>
    </w:p>
    <w:p>
      <w:pPr>
        <w:pStyle w:val="BodyText"/>
        <w:spacing w:line="276" w:lineRule="auto"/>
        <w:ind w:left="2933" w:right="1020"/>
      </w:pPr>
      <w:r>
        <w:rPr/>
        <w:t>Det tekniske koncept for en national steddatabase består af inputdata, trans- formation, infrastruktur og visning af data. I projektet er infrastrukturen valide- ret ved at specificere og stille krav til inputdata, samt en vurdering af den tek- nisk infrastruktur med meget velegnede komponenter til håndtering af BIM- data. I tillæg ses der i forskningen spændende og effektive muligheder for en steddatabase med RDF teknologi, hvor data er struktureret efter deres sam- menhænge (linked data). I rapportens kapitel om RDF er vist et eksempel på, hvordan data i en steddatabase kan visualiseres og bidrage til at skabe overblik over rums energiforbrug.</w:t>
      </w:r>
    </w:p>
    <w:p>
      <w:pPr>
        <w:pStyle w:val="BodyText"/>
        <w:spacing w:before="7"/>
        <w:rPr>
          <w:sz w:val="19"/>
        </w:rPr>
      </w:pPr>
    </w:p>
    <w:p>
      <w:pPr>
        <w:pStyle w:val="BodyText"/>
        <w:spacing w:line="276" w:lineRule="auto"/>
        <w:ind w:left="2933" w:right="1033"/>
      </w:pPr>
      <w:r>
        <w:rPr/>
        <w:t>Konceptet er kvalificeret af tredjepartsaktører i form af to af de førende sy- stemleverandører på markedet for facility management og energistyring. De vurderer, at det tekniske koncept er meningsfuldt struktureret. Særligt under- streger de vigtigheden af, at datainfrastrukturen kan arbejde generisk med data fra forskellige domæner, da de forventer at udbyttet af en steddatabase vil bestå af en række mindre gevinster fordelt på forskellige anvendelsesdomæ- ner.</w:t>
      </w:r>
    </w:p>
    <w:p>
      <w:pPr>
        <w:pStyle w:val="BodyText"/>
        <w:spacing w:before="8"/>
        <w:rPr>
          <w:sz w:val="23"/>
        </w:rPr>
      </w:pPr>
    </w:p>
    <w:p>
      <w:pPr>
        <w:pStyle w:val="Heading2"/>
        <w:numPr>
          <w:ilvl w:val="2"/>
          <w:numId w:val="6"/>
        </w:numPr>
        <w:tabs>
          <w:tab w:pos="2649" w:val="left" w:leader="none"/>
          <w:tab w:pos="2650" w:val="left" w:leader="none"/>
        </w:tabs>
        <w:spacing w:line="240" w:lineRule="auto" w:before="0" w:after="0"/>
        <w:ind w:left="2649" w:right="0" w:hanging="655"/>
        <w:jc w:val="left"/>
      </w:pPr>
      <w:bookmarkStart w:name="_bookmark2" w:id="3"/>
      <w:bookmarkEnd w:id="3"/>
      <w:r>
        <w:rPr/>
        <w:t>Rapp</w:t>
      </w:r>
      <w:r>
        <w:rPr/>
        <w:t>ortens</w:t>
      </w:r>
      <w:r>
        <w:rPr>
          <w:spacing w:val="-2"/>
        </w:rPr>
        <w:t> </w:t>
      </w:r>
      <w:r>
        <w:rPr/>
        <w:t>opbygning</w:t>
      </w:r>
    </w:p>
    <w:p>
      <w:pPr>
        <w:pStyle w:val="BodyText"/>
        <w:spacing w:line="278" w:lineRule="auto" w:before="36"/>
        <w:ind w:left="2649" w:right="1031"/>
      </w:pPr>
      <w:r>
        <w:rPr/>
        <w:t>Rapporten er struktureret i 8 kapitler samt 8 appendikser, der tilsammen beskriver analysens resultater:</w:t>
      </w:r>
    </w:p>
    <w:p>
      <w:pPr>
        <w:pStyle w:val="BodyText"/>
        <w:spacing w:before="7"/>
        <w:rPr>
          <w:sz w:val="18"/>
        </w:rPr>
      </w:pPr>
    </w:p>
    <w:p>
      <w:pPr>
        <w:pStyle w:val="Heading4"/>
        <w:numPr>
          <w:ilvl w:val="3"/>
          <w:numId w:val="6"/>
        </w:numPr>
        <w:tabs>
          <w:tab w:pos="3501" w:val="left" w:leader="none"/>
          <w:tab w:pos="3502" w:val="left" w:leader="none"/>
        </w:tabs>
        <w:spacing w:line="207" w:lineRule="exact" w:before="0" w:after="0"/>
        <w:ind w:left="3501" w:right="0" w:hanging="283"/>
        <w:jc w:val="left"/>
      </w:pPr>
      <w:r>
        <w:rPr/>
        <w:t>Kapitel </w:t>
      </w:r>
      <w:hyperlink w:history="true" w:anchor="_bookmark3">
        <w:r>
          <w:rPr/>
          <w:t>2</w:t>
        </w:r>
      </w:hyperlink>
      <w:r>
        <w:rPr/>
        <w:t>: </w:t>
      </w:r>
      <w:hyperlink w:history="true" w:anchor="_bookmark3">
        <w:r>
          <w:rPr/>
          <w:t>Datainfrastruktur for indendørs</w:t>
        </w:r>
        <w:r>
          <w:rPr>
            <w:spacing w:val="-7"/>
          </w:rPr>
          <w:t> </w:t>
        </w:r>
        <w:r>
          <w:rPr/>
          <w:t>geografi</w:t>
        </w:r>
      </w:hyperlink>
    </w:p>
    <w:p>
      <w:pPr>
        <w:pStyle w:val="BodyText"/>
        <w:spacing w:line="276" w:lineRule="auto"/>
        <w:ind w:left="3501" w:right="1021"/>
      </w:pPr>
      <w:r>
        <w:rPr/>
        <w:t>Kapitlet beskriver den grundlæggende terminologi og begrebsverden for en datainfrastruktur for indendørs geografi herunder et udkast til en da- tamodel. Desuden beskrives hvordan bygningsdata kan transformeres og indgå i en datainfrastruktur for indendørs geografi. Dette fungerer også som et baggrundskapitel for projektet, med sammenfatning af konklusi- onerne fra foranalysen vedrørende indendørs infrastruktur.</w:t>
      </w:r>
    </w:p>
    <w:p>
      <w:pPr>
        <w:pStyle w:val="BodyText"/>
        <w:spacing w:before="12"/>
        <w:rPr>
          <w:sz w:val="16"/>
        </w:rPr>
      </w:pPr>
    </w:p>
    <w:p>
      <w:pPr>
        <w:pStyle w:val="Heading4"/>
        <w:numPr>
          <w:ilvl w:val="3"/>
          <w:numId w:val="6"/>
        </w:numPr>
        <w:tabs>
          <w:tab w:pos="3501" w:val="left" w:leader="none"/>
          <w:tab w:pos="3502" w:val="left" w:leader="none"/>
        </w:tabs>
        <w:spacing w:line="207" w:lineRule="exact" w:before="0" w:after="0"/>
        <w:ind w:left="3501" w:right="0" w:hanging="283"/>
        <w:jc w:val="left"/>
      </w:pPr>
      <w:r>
        <w:rPr/>
        <w:t>Kapitel </w:t>
      </w:r>
      <w:hyperlink w:history="true" w:anchor="_bookmark38">
        <w:r>
          <w:rPr/>
          <w:t>3</w:t>
        </w:r>
      </w:hyperlink>
      <w:r>
        <w:rPr/>
        <w:t>: </w:t>
      </w:r>
      <w:hyperlink w:history="true" w:anchor="_bookmark38">
        <w:r>
          <w:rPr/>
          <w:t>Data til brug for</w:t>
        </w:r>
        <w:r>
          <w:rPr>
            <w:spacing w:val="-9"/>
          </w:rPr>
          <w:t> </w:t>
        </w:r>
        <w:r>
          <w:rPr/>
          <w:t>energieffektivisering</w:t>
        </w:r>
      </w:hyperlink>
    </w:p>
    <w:p>
      <w:pPr>
        <w:pStyle w:val="BodyText"/>
        <w:spacing w:line="276" w:lineRule="auto"/>
        <w:ind w:left="3501" w:right="1062"/>
      </w:pPr>
      <w:r>
        <w:rPr/>
        <w:t>Kapitlet beskriver data der kan bruges til energieffektivisering af bygnin- ger med særligt fokus på energieffektiviserende indsatser, datakilder og dataudfordringer. Herunder specificeres også hvordan input data kan modelleres og opbygges samt, hvordan bygningers indre geografi kan kobles med og referere til energi-relevante data</w:t>
      </w:r>
    </w:p>
    <w:p>
      <w:pPr>
        <w:pStyle w:val="BodyText"/>
        <w:spacing w:before="1"/>
      </w:pPr>
    </w:p>
    <w:p>
      <w:pPr>
        <w:pStyle w:val="Heading4"/>
        <w:numPr>
          <w:ilvl w:val="3"/>
          <w:numId w:val="6"/>
        </w:numPr>
        <w:tabs>
          <w:tab w:pos="3501" w:val="left" w:leader="none"/>
          <w:tab w:pos="3502" w:val="left" w:leader="none"/>
        </w:tabs>
        <w:spacing w:line="240" w:lineRule="auto" w:before="0" w:after="0"/>
        <w:ind w:left="3501" w:right="1033" w:hanging="283"/>
        <w:jc w:val="left"/>
        <w:rPr>
          <w:b w:val="0"/>
        </w:rPr>
      </w:pPr>
      <w:r>
        <w:rPr/>
        <w:t>Kapitel </w:t>
      </w:r>
      <w:hyperlink w:history="true" w:anchor="_bookmark58">
        <w:r>
          <w:rPr/>
          <w:t>4</w:t>
        </w:r>
      </w:hyperlink>
      <w:r>
        <w:rPr/>
        <w:t>: </w:t>
      </w:r>
      <w:hyperlink w:history="true" w:anchor="_bookmark58">
        <w:r>
          <w:rPr/>
          <w:t>Anvendelsesmuligheder for en national indendørs sted-</w:t>
        </w:r>
      </w:hyperlink>
      <w:hyperlink w:history="true" w:anchor="_bookmark58">
        <w:r>
          <w:rPr/>
          <w:t> database i forbindelse med energi-relevante</w:t>
        </w:r>
        <w:r>
          <w:rPr>
            <w:spacing w:val="-6"/>
          </w:rPr>
          <w:t> </w:t>
        </w:r>
        <w:r>
          <w:rPr>
            <w:b w:val="0"/>
          </w:rPr>
          <w:t>data</w:t>
        </w:r>
      </w:hyperlink>
    </w:p>
    <w:p>
      <w:pPr>
        <w:pStyle w:val="BodyText"/>
        <w:spacing w:line="276" w:lineRule="auto"/>
        <w:ind w:left="3501" w:right="1159"/>
      </w:pPr>
      <w:r>
        <w:rPr/>
        <w:t>Kapitlet beskriver hvordan en indendørs steddatabase i praksis ville kunne understøtte energieffektivisering, samt beskriver en række over- ordnede anvendelsesområder og use cases for en steddatabase.</w:t>
      </w:r>
    </w:p>
    <w:p>
      <w:pPr>
        <w:spacing w:after="0" w:line="276"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7"/>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90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2"/>
        <w:rPr>
          <w:sz w:val="20"/>
        </w:rPr>
      </w:pPr>
    </w:p>
    <w:p>
      <w:pPr>
        <w:pStyle w:val="Heading4"/>
        <w:numPr>
          <w:ilvl w:val="1"/>
          <w:numId w:val="7"/>
        </w:numPr>
        <w:tabs>
          <w:tab w:pos="3501" w:val="left" w:leader="none"/>
          <w:tab w:pos="3502" w:val="left" w:leader="none"/>
        </w:tabs>
        <w:spacing w:line="240" w:lineRule="auto" w:before="101" w:after="0"/>
        <w:ind w:left="3501" w:right="1105" w:hanging="283"/>
        <w:jc w:val="left"/>
      </w:pPr>
      <w:r>
        <w:rPr/>
        <w:t>Kapitel </w:t>
      </w:r>
      <w:hyperlink w:history="true" w:anchor="_bookmark72">
        <w:r>
          <w:rPr/>
          <w:t>5</w:t>
        </w:r>
      </w:hyperlink>
      <w:r>
        <w:rPr/>
        <w:t>: </w:t>
      </w:r>
      <w:hyperlink w:history="true" w:anchor="_bookmark72">
        <w:r>
          <w:rPr/>
          <w:t>Andre anvendelser for en national indendørs steddata-</w:t>
        </w:r>
      </w:hyperlink>
      <w:hyperlink w:history="true" w:anchor="_bookmark72">
        <w:r>
          <w:rPr/>
          <w:t> base</w:t>
        </w:r>
      </w:hyperlink>
    </w:p>
    <w:p>
      <w:pPr>
        <w:pStyle w:val="BodyText"/>
        <w:spacing w:line="276" w:lineRule="auto"/>
        <w:ind w:left="3501" w:right="1184"/>
        <w:jc w:val="both"/>
      </w:pPr>
      <w:r>
        <w:rPr/>
        <w:t>Kapitlet beskriver de primære supplerende anvendelsesdomæner, samt en række perspektiver og mulige veje at gå i den videre udviklingspro- ces for disse anvendelser.</w:t>
      </w:r>
    </w:p>
    <w:p>
      <w:pPr>
        <w:pStyle w:val="BodyText"/>
        <w:spacing w:before="9"/>
        <w:rPr>
          <w:sz w:val="16"/>
        </w:rPr>
      </w:pPr>
    </w:p>
    <w:p>
      <w:pPr>
        <w:pStyle w:val="Heading4"/>
        <w:numPr>
          <w:ilvl w:val="1"/>
          <w:numId w:val="7"/>
        </w:numPr>
        <w:tabs>
          <w:tab w:pos="3501" w:val="left" w:leader="none"/>
          <w:tab w:pos="3502" w:val="left" w:leader="none"/>
        </w:tabs>
        <w:spacing w:line="240" w:lineRule="auto" w:before="0" w:after="0"/>
        <w:ind w:left="3501" w:right="1299" w:hanging="283"/>
        <w:jc w:val="left"/>
      </w:pPr>
      <w:r>
        <w:rPr/>
        <w:t>Kapitel </w:t>
      </w:r>
      <w:hyperlink w:history="true" w:anchor="_bookmark85">
        <w:r>
          <w:rPr/>
          <w:t>6</w:t>
        </w:r>
      </w:hyperlink>
      <w:r>
        <w:rPr/>
        <w:t>: </w:t>
      </w:r>
      <w:hyperlink w:history="true" w:anchor="_bookmark85">
        <w:r>
          <w:rPr/>
          <w:t>Offentlige bygningsejeres og tredjepartaktørers per-</w:t>
        </w:r>
      </w:hyperlink>
      <w:hyperlink w:history="true" w:anchor="_bookmark85">
        <w:r>
          <w:rPr/>
          <w:t> spektiv på en national indendørs</w:t>
        </w:r>
        <w:r>
          <w:rPr>
            <w:spacing w:val="-8"/>
          </w:rPr>
          <w:t> </w:t>
        </w:r>
        <w:r>
          <w:rPr/>
          <w:t>steddatabase</w:t>
        </w:r>
      </w:hyperlink>
    </w:p>
    <w:p>
      <w:pPr>
        <w:pStyle w:val="BodyText"/>
        <w:spacing w:line="276" w:lineRule="auto"/>
        <w:ind w:left="3501" w:right="1054"/>
      </w:pPr>
      <w:r>
        <w:rPr/>
        <w:t>Kapitlet beskriver bygningsejeres og tredjepartsaktørers perspektiver for en national steddatabase baseret på en række interviews og workshops.</w:t>
      </w:r>
    </w:p>
    <w:p>
      <w:pPr>
        <w:pStyle w:val="BodyText"/>
        <w:spacing w:before="10"/>
        <w:rPr>
          <w:sz w:val="16"/>
        </w:rPr>
      </w:pPr>
    </w:p>
    <w:p>
      <w:pPr>
        <w:pStyle w:val="Heading4"/>
        <w:numPr>
          <w:ilvl w:val="1"/>
          <w:numId w:val="7"/>
        </w:numPr>
        <w:tabs>
          <w:tab w:pos="3501" w:val="left" w:leader="none"/>
          <w:tab w:pos="3502" w:val="left" w:leader="none"/>
        </w:tabs>
        <w:spacing w:line="240" w:lineRule="auto" w:before="0" w:after="0"/>
        <w:ind w:left="3501" w:right="0" w:hanging="283"/>
        <w:jc w:val="left"/>
      </w:pPr>
      <w:r>
        <w:rPr/>
        <w:t>Kapitel </w:t>
      </w:r>
      <w:hyperlink w:history="true" w:anchor="_bookmark93">
        <w:r>
          <w:rPr/>
          <w:t>7</w:t>
        </w:r>
      </w:hyperlink>
      <w:r>
        <w:rPr/>
        <w:t>: </w:t>
      </w:r>
      <w:hyperlink w:history="true" w:anchor="_bookmark93">
        <w:r>
          <w:rPr/>
          <w:t>Proof of concept for indendørs</w:t>
        </w:r>
        <w:r>
          <w:rPr>
            <w:spacing w:val="-8"/>
          </w:rPr>
          <w:t> </w:t>
        </w:r>
        <w:r>
          <w:rPr/>
          <w:t>geografi</w:t>
        </w:r>
      </w:hyperlink>
    </w:p>
    <w:p>
      <w:pPr>
        <w:pStyle w:val="BodyText"/>
        <w:spacing w:line="276" w:lineRule="auto" w:before="1"/>
        <w:ind w:left="3501" w:right="1198"/>
      </w:pPr>
      <w:r>
        <w:rPr/>
        <w:t>Kapitlet beskriver en valideringen af det teknisk koncept for infra- strukturen for en indendørs steddatabase, ved at sammenstille de en- kelte lag af infrastrukturen. Konceptet kvalificeres ved en visning af hvordan data kan visualiseres, samt kvalificeres af forskellige aktører. Endeligt perspektiveres der over inddragelse af moderne RDF teknologi som et fremtidig løsningsscenarie.</w:t>
      </w:r>
    </w:p>
    <w:p>
      <w:pPr>
        <w:pStyle w:val="BodyText"/>
      </w:pPr>
    </w:p>
    <w:p>
      <w:pPr>
        <w:pStyle w:val="Heading4"/>
        <w:numPr>
          <w:ilvl w:val="1"/>
          <w:numId w:val="7"/>
        </w:numPr>
        <w:tabs>
          <w:tab w:pos="3501" w:val="left" w:leader="none"/>
          <w:tab w:pos="3502" w:val="left" w:leader="none"/>
        </w:tabs>
        <w:spacing w:line="207" w:lineRule="exact" w:before="0" w:after="0"/>
        <w:ind w:left="3501" w:right="0" w:hanging="283"/>
        <w:jc w:val="left"/>
      </w:pPr>
      <w:r>
        <w:rPr/>
        <w:t>Kapitel </w:t>
      </w:r>
      <w:hyperlink w:history="true" w:anchor="_bookmark113">
        <w:r>
          <w:rPr/>
          <w:t>8</w:t>
        </w:r>
      </w:hyperlink>
      <w:r>
        <w:rPr/>
        <w:t>: </w:t>
      </w:r>
      <w:hyperlink w:history="true" w:anchor="_bookmark113">
        <w:r>
          <w:rPr/>
          <w:t>Skitser til</w:t>
        </w:r>
        <w:r>
          <w:rPr>
            <w:spacing w:val="-4"/>
          </w:rPr>
          <w:t> </w:t>
        </w:r>
        <w:r>
          <w:rPr/>
          <w:t>pilotprojekter</w:t>
        </w:r>
      </w:hyperlink>
    </w:p>
    <w:p>
      <w:pPr>
        <w:pStyle w:val="BodyText"/>
        <w:spacing w:line="276" w:lineRule="auto"/>
        <w:ind w:left="3501" w:right="1230"/>
      </w:pPr>
      <w:r>
        <w:rPr/>
        <w:t>Kapitlet beskriver perspektiverne for de mulige pilotprojekter som bør følge nærværende projekt, ift. videreudviklingen af en infrastruktur for indendørs geografi.</w:t>
      </w:r>
    </w:p>
    <w:p>
      <w:pPr>
        <w:spacing w:after="0" w:line="276"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76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1"/>
          <w:numId w:val="6"/>
        </w:numPr>
        <w:tabs>
          <w:tab w:pos="2649" w:val="left" w:leader="none"/>
          <w:tab w:pos="2650" w:val="left" w:leader="none"/>
        </w:tabs>
        <w:spacing w:line="240" w:lineRule="auto" w:before="101" w:after="0"/>
        <w:ind w:left="2649" w:right="0" w:hanging="427"/>
        <w:jc w:val="left"/>
      </w:pPr>
      <w:bookmarkStart w:name="_bookmark3" w:id="4"/>
      <w:bookmarkEnd w:id="4"/>
      <w:r>
        <w:rPr/>
        <w:t>Da</w:t>
      </w:r>
      <w:r>
        <w:rPr/>
        <w:t>tainfrastruktur for indendørs</w:t>
      </w:r>
      <w:r>
        <w:rPr>
          <w:spacing w:val="-4"/>
        </w:rPr>
        <w:t> </w:t>
      </w:r>
      <w:r>
        <w:rPr/>
        <w:t>geografi</w:t>
      </w:r>
    </w:p>
    <w:p>
      <w:pPr>
        <w:pStyle w:val="BodyText"/>
        <w:spacing w:line="278" w:lineRule="auto" w:before="37"/>
        <w:ind w:left="2649" w:right="1032"/>
        <w:rPr>
          <w:sz w:val="11"/>
        </w:rPr>
      </w:pPr>
      <w:r>
        <w:rPr/>
        <w:t>En datainfrastruktur for indendørs geografi er en kombination af standarder, sy- stemer og aftaler, der skal sikre, at grundlæggende informationer om bygningers indre geografi kan gøres tilgængelige for andre end den enkelte bygningsejer på en struktureret og standardiseret måde. Datainfrastrukturen for indendørs geografi er fælles på nationalt niveau, og er primært tiltænkt større (i første omgang of- fentlige) bygningskomplekser. ”indendørs geografi” er en generel betegnelse for steder inde i bygninger så som rum og gange. Centralt for datainfrastrukturen for indendørs geografi er etableringen af autoritative og globalt unikke referencer til lokaliteter, som kan være et fælles referencegrundlag for alle aktører. En standar- disering af datainfrastrukturen for indendørs geografi vil betyde, at der kan ske en effektiv opbygning, vedligeholdelse og ajourføring af den indendørs datainfrastruk- tur.</w:t>
      </w:r>
      <w:r>
        <w:rPr>
          <w:position w:val="6"/>
          <w:sz w:val="11"/>
        </w:rPr>
        <w:t>1</w:t>
      </w:r>
    </w:p>
    <w:p>
      <w:pPr>
        <w:pStyle w:val="BodyText"/>
        <w:spacing w:before="8"/>
        <w:rPr>
          <w:sz w:val="21"/>
        </w:rPr>
      </w:pPr>
    </w:p>
    <w:p>
      <w:pPr>
        <w:pStyle w:val="BodyText"/>
        <w:spacing w:line="278" w:lineRule="auto"/>
        <w:ind w:left="2649" w:right="1063"/>
      </w:pPr>
      <w:r>
        <w:rPr/>
        <w:t>Datainfrastrukturen for den indendørs geografi kan således på mange måder for- stås som ækvivalent til de udendørs adresser (Danmarks Adresser, DAR</w:t>
      </w:r>
      <w:r>
        <w:rPr>
          <w:position w:val="6"/>
          <w:sz w:val="11"/>
        </w:rPr>
        <w:t>2</w:t>
      </w:r>
      <w:r>
        <w:rPr/>
        <w:t>). Her er der under Grunddataprogrammet etableret en fælles begrebsmodel og navngiv- ningsparadigme og en fælles database – Danmarks Adresseregister – som kom- munerne indberetter oprettelser, nedlæggelser og ændringer af adresser til. Der- ved er der et sted, som der er enighed om, kan være kilde til autoritative adresse- data, der altid er opdaterede.</w:t>
      </w:r>
    </w:p>
    <w:p>
      <w:pPr>
        <w:pStyle w:val="BodyText"/>
        <w:spacing w:before="9"/>
        <w:rPr>
          <w:sz w:val="21"/>
        </w:rPr>
      </w:pPr>
    </w:p>
    <w:p>
      <w:pPr>
        <w:pStyle w:val="BodyText"/>
        <w:spacing w:line="278" w:lineRule="auto"/>
        <w:ind w:left="2649" w:right="1026"/>
      </w:pPr>
      <w:r>
        <w:rPr/>
        <w:drawing>
          <wp:anchor distT="0" distB="0" distL="0" distR="0" allowOverlap="1" layoutInCell="1" locked="0" behindDoc="0" simplePos="0" relativeHeight="35">
            <wp:simplePos x="0" y="0"/>
            <wp:positionH relativeFrom="page">
              <wp:posOffset>2371344</wp:posOffset>
            </wp:positionH>
            <wp:positionV relativeFrom="paragraph">
              <wp:posOffset>967430</wp:posOffset>
            </wp:positionV>
            <wp:extent cx="4436995" cy="2858262"/>
            <wp:effectExtent l="0" t="0" r="0" b="0"/>
            <wp:wrapTopAndBottom/>
            <wp:docPr id="1" name="image5.jpeg" descr=""/>
            <wp:cNvGraphicFramePr>
              <a:graphicFrameLocks noChangeAspect="1"/>
            </wp:cNvGraphicFramePr>
            <a:graphic>
              <a:graphicData uri="http://schemas.openxmlformats.org/drawingml/2006/picture">
                <pic:pic>
                  <pic:nvPicPr>
                    <pic:cNvPr id="2" name="image5.jpeg"/>
                    <pic:cNvPicPr/>
                  </pic:nvPicPr>
                  <pic:blipFill>
                    <a:blip r:embed="rId11" cstate="print"/>
                    <a:stretch>
                      <a:fillRect/>
                    </a:stretch>
                  </pic:blipFill>
                  <pic:spPr>
                    <a:xfrm>
                      <a:off x="0" y="0"/>
                      <a:ext cx="4436995" cy="2858262"/>
                    </a:xfrm>
                    <a:prstGeom prst="rect">
                      <a:avLst/>
                    </a:prstGeom>
                  </pic:spPr>
                </pic:pic>
              </a:graphicData>
            </a:graphic>
          </wp:anchor>
        </w:drawing>
      </w:r>
      <w:r>
        <w:rPr/>
        <w:t>Datainfrastrukturen for indendørs geografi består som grundelement af koordinat- sæt for rum i bygninger, der her betegnes som ”punkter”. Hvis vi kender koordina- terne for et unikt punkt i det enkelte rum, er vi også i stand til at skille dem fra hinanden og identificere dem entydigt og adressere dem individuelt.. Dette skaber en entydig global, koordinatsat identifikation af rummet. Det er illustreret på </w:t>
      </w:r>
      <w:hyperlink w:history="true" w:anchor="_bookmark4">
        <w:r>
          <w:rPr/>
          <w:t>Figur</w:t>
        </w:r>
      </w:hyperlink>
      <w:r>
        <w:rPr/>
        <w:t> </w:t>
      </w:r>
      <w:hyperlink w:history="true" w:anchor="_bookmark4">
        <w:r>
          <w:rPr/>
          <w:t>2.1</w:t>
        </w:r>
      </w:hyperlink>
    </w:p>
    <w:p>
      <w:pPr>
        <w:pStyle w:val="BodyText"/>
        <w:spacing w:before="6"/>
        <w:rPr>
          <w:sz w:val="16"/>
        </w:rPr>
      </w:pPr>
    </w:p>
    <w:p>
      <w:pPr>
        <w:spacing w:before="0"/>
        <w:ind w:left="4080" w:right="0" w:firstLine="0"/>
        <w:jc w:val="left"/>
        <w:rPr>
          <w:i/>
          <w:sz w:val="14"/>
        </w:rPr>
      </w:pPr>
      <w:bookmarkStart w:name="_bookmark4" w:id="5"/>
      <w:bookmarkEnd w:id="5"/>
      <w:r>
        <w:rPr/>
      </w:r>
      <w:r>
        <w:rPr>
          <w:i/>
          <w:sz w:val="14"/>
        </w:rPr>
        <w:t>Figur 2.1: Georefererede rum-punkter i en eksempelbygning</w:t>
      </w:r>
    </w:p>
    <w:p>
      <w:pPr>
        <w:pStyle w:val="BodyText"/>
        <w:rPr>
          <w:i/>
          <w:sz w:val="20"/>
        </w:rPr>
      </w:pPr>
    </w:p>
    <w:p>
      <w:pPr>
        <w:pStyle w:val="BodyText"/>
        <w:spacing w:before="6"/>
        <w:rPr>
          <w:i/>
          <w:sz w:val="22"/>
        </w:rPr>
      </w:pPr>
      <w:r>
        <w:rPr/>
        <w:pict>
          <v:line style="position:absolute;mso-position-horizontal-relative:page;mso-position-vertical-relative:paragraph;z-index:-160;mso-wrap-distance-left:0;mso-wrap-distance-right:0" from="181.490005pt,15.90671pt" to="325.510005pt,15.90671pt" stroked="true" strokeweight=".47998pt" strokecolor="#000000">
            <v:stroke dashstyle="solid"/>
            <w10:wrap type="topAndBottom"/>
          </v:line>
        </w:pict>
      </w:r>
    </w:p>
    <w:p>
      <w:pPr>
        <w:pStyle w:val="BodyText"/>
        <w:spacing w:before="4"/>
        <w:rPr>
          <w:i/>
        </w:rPr>
      </w:pPr>
    </w:p>
    <w:p>
      <w:pPr>
        <w:spacing w:before="101"/>
        <w:ind w:left="2649" w:right="1052" w:firstLine="0"/>
        <w:jc w:val="left"/>
        <w:rPr>
          <w:sz w:val="15"/>
        </w:rPr>
      </w:pPr>
      <w:r>
        <w:rPr>
          <w:position w:val="5"/>
          <w:sz w:val="10"/>
        </w:rPr>
        <w:t>1 </w:t>
      </w:r>
      <w:r>
        <w:rPr>
          <w:sz w:val="15"/>
        </w:rPr>
        <w:t>Kapitlet bygger på rapporten ”Datamodel og specifikation for data til indendørs navigation og positionsbestemmelse” (Februar, 2018), som NIRAS har udarbejdet for Styrelsen for Data- forsyning og</w:t>
      </w:r>
      <w:r>
        <w:rPr>
          <w:spacing w:val="-3"/>
          <w:sz w:val="15"/>
        </w:rPr>
        <w:t> </w:t>
      </w:r>
      <w:r>
        <w:rPr>
          <w:sz w:val="15"/>
        </w:rPr>
        <w:t>Effektivisering.</w:t>
      </w:r>
    </w:p>
    <w:p>
      <w:pPr>
        <w:spacing w:before="1"/>
        <w:ind w:left="2649" w:right="1038" w:firstLine="0"/>
        <w:jc w:val="left"/>
        <w:rPr>
          <w:sz w:val="15"/>
        </w:rPr>
      </w:pPr>
      <w:r>
        <w:rPr>
          <w:position w:val="5"/>
          <w:sz w:val="10"/>
        </w:rPr>
        <w:t>2 </w:t>
      </w:r>
      <w:r>
        <w:rPr>
          <w:sz w:val="15"/>
        </w:rPr>
        <w:t>Danmarks Adresseregister er det autoritative register for adresser og vejnavne, og er en del af Grunddataprogrammet.</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61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46"/>
      </w:pPr>
      <w:r>
        <w:rPr/>
        <w:t>Denne identifikation kan dermed være referencepunktet for kobling til andre data- kilder om det enkelte rum. Derved skabes mulighed for at koble mange forskellige anvendelser på punktet. I en energieffektiviseringssammenhæng kunne der ek- sempelvis kobles målere, sensorer og dataloggere og øvrige relevante data til det definerede punkt eller andre relevante data til det definerede punkt. En sammen- hæng mellem energidata og en national standard for indendørs geografi kan på den måde skabe grundlag for en kobling mellem forskelligartede datatyper med en entydig reference, herunder til visualisering af energieffektiviseringsmuligheder.</w:t>
      </w:r>
    </w:p>
    <w:p>
      <w:pPr>
        <w:pStyle w:val="BodyText"/>
        <w:spacing w:before="3"/>
        <w:ind w:left="2649"/>
      </w:pPr>
      <w:r>
        <w:rPr/>
        <w:t>Se et eksempel på dette i </w:t>
      </w:r>
      <w:hyperlink w:history="true" w:anchor="_bookmark5">
        <w:r>
          <w:rPr/>
          <w:t>Figur 2.2</w:t>
        </w:r>
      </w:hyperlink>
      <w:r>
        <w:rPr/>
        <w:t>.</w:t>
      </w:r>
    </w:p>
    <w:p>
      <w:pPr>
        <w:pStyle w:val="BodyText"/>
        <w:ind w:left="4051"/>
        <w:rPr>
          <w:sz w:val="20"/>
        </w:rPr>
      </w:pPr>
      <w:r>
        <w:rPr>
          <w:sz w:val="20"/>
        </w:rPr>
        <w:drawing>
          <wp:inline distT="0" distB="0" distL="0" distR="0">
            <wp:extent cx="2778367" cy="2267712"/>
            <wp:effectExtent l="0" t="0" r="0" b="0"/>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2778367" cy="2267712"/>
                    </a:xfrm>
                    <a:prstGeom prst="rect">
                      <a:avLst/>
                    </a:prstGeom>
                  </pic:spPr>
                </pic:pic>
              </a:graphicData>
            </a:graphic>
          </wp:inline>
        </w:drawing>
      </w:r>
      <w:r>
        <w:rPr>
          <w:sz w:val="20"/>
        </w:rPr>
      </w:r>
    </w:p>
    <w:p>
      <w:pPr>
        <w:pStyle w:val="BodyText"/>
        <w:spacing w:before="6"/>
        <w:rPr>
          <w:sz w:val="23"/>
        </w:rPr>
      </w:pPr>
    </w:p>
    <w:p>
      <w:pPr>
        <w:spacing w:before="1"/>
        <w:ind w:left="4231" w:right="0" w:firstLine="0"/>
        <w:jc w:val="left"/>
        <w:rPr>
          <w:i/>
          <w:sz w:val="14"/>
        </w:rPr>
      </w:pPr>
      <w:bookmarkStart w:name="_bookmark5" w:id="6"/>
      <w:bookmarkEnd w:id="6"/>
      <w:r>
        <w:rPr/>
      </w:r>
      <w:r>
        <w:rPr>
          <w:i/>
          <w:sz w:val="14"/>
        </w:rPr>
        <w:t>Figur 2.2: 3D visualisering af varmeforbrug i en bygning</w:t>
      </w:r>
    </w:p>
    <w:p>
      <w:pPr>
        <w:pStyle w:val="BodyText"/>
        <w:spacing w:before="3"/>
        <w:rPr>
          <w:i/>
          <w:sz w:val="19"/>
        </w:rPr>
      </w:pPr>
    </w:p>
    <w:p>
      <w:pPr>
        <w:pStyle w:val="BodyText"/>
        <w:spacing w:line="278" w:lineRule="auto"/>
        <w:ind w:left="2649" w:right="1096"/>
      </w:pPr>
      <w:r>
        <w:rPr/>
        <w:drawing>
          <wp:anchor distT="0" distB="0" distL="0" distR="0" allowOverlap="1" layoutInCell="1" locked="0" behindDoc="0" simplePos="0" relativeHeight="41">
            <wp:simplePos x="0" y="0"/>
            <wp:positionH relativeFrom="page">
              <wp:posOffset>3704125</wp:posOffset>
            </wp:positionH>
            <wp:positionV relativeFrom="paragraph">
              <wp:posOffset>988228</wp:posOffset>
            </wp:positionV>
            <wp:extent cx="1748305" cy="666083"/>
            <wp:effectExtent l="0" t="0" r="0" b="0"/>
            <wp:wrapTopAndBottom/>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3" cstate="print"/>
                    <a:stretch>
                      <a:fillRect/>
                    </a:stretch>
                  </pic:blipFill>
                  <pic:spPr>
                    <a:xfrm>
                      <a:off x="0" y="0"/>
                      <a:ext cx="1748305" cy="666083"/>
                    </a:xfrm>
                    <a:prstGeom prst="rect">
                      <a:avLst/>
                    </a:prstGeom>
                  </pic:spPr>
                </pic:pic>
              </a:graphicData>
            </a:graphic>
          </wp:anchor>
        </w:drawing>
      </w:r>
      <w:r>
        <w:rPr/>
        <w:t>Geometrier, der repræsenterer objekterne kan både være i form af punkter, eller forbundne punkter der danner linjer eller flader (se </w:t>
      </w:r>
      <w:hyperlink w:history="true" w:anchor="_bookmark6">
        <w:r>
          <w:rPr/>
          <w:t>Figur 2.3</w:t>
        </w:r>
      </w:hyperlink>
      <w:r>
        <w:rPr/>
        <w:t>). Et punktdatasæt er f.eks. grundlaget for at kunne navigere i bygninger. Punkterne ville her være grundlaget for at skabe linjedata imellem kendte punkter, som netværks-infra- struktur snappet til hinanden i punktet. Polygoner kan skabe en simpel repræsen- tation af rummenes form og størrelse.</w:t>
      </w:r>
    </w:p>
    <w:p>
      <w:pPr>
        <w:pStyle w:val="BodyText"/>
        <w:rPr>
          <w:sz w:val="27"/>
        </w:rPr>
      </w:pPr>
    </w:p>
    <w:p>
      <w:pPr>
        <w:spacing w:before="0"/>
        <w:ind w:left="4512" w:right="0" w:firstLine="0"/>
        <w:jc w:val="left"/>
        <w:rPr>
          <w:i/>
          <w:sz w:val="14"/>
        </w:rPr>
      </w:pPr>
      <w:bookmarkStart w:name="_bookmark6" w:id="7"/>
      <w:bookmarkEnd w:id="7"/>
      <w:r>
        <w:rPr/>
      </w:r>
      <w:r>
        <w:rPr>
          <w:i/>
          <w:sz w:val="14"/>
        </w:rPr>
        <w:t>Figur 2.3: Fra punkt til linje, til polygon objekter</w:t>
      </w:r>
    </w:p>
    <w:p>
      <w:pPr>
        <w:pStyle w:val="BodyText"/>
        <w:spacing w:before="4"/>
        <w:rPr>
          <w:i/>
          <w:sz w:val="19"/>
        </w:rPr>
      </w:pPr>
    </w:p>
    <w:p>
      <w:pPr>
        <w:pStyle w:val="BodyText"/>
        <w:spacing w:line="278" w:lineRule="auto"/>
        <w:ind w:left="2649" w:right="1037"/>
      </w:pPr>
      <w:r>
        <w:rPr/>
        <w:t>Implementering af en fælles model for indendørs geografi kræver dels en overord- net organisation, som kan varetage koordinering og videreudvikling af specifikatio- nen, dels lokale driftsorganisationer på de enkelte bygningskomplekser, der skal stå for den daglige drift og vedligeholdelse af data.</w:t>
      </w:r>
    </w:p>
    <w:p>
      <w:pPr>
        <w:pStyle w:val="BodyText"/>
        <w:spacing w:before="9"/>
        <w:rPr>
          <w:sz w:val="20"/>
        </w:rPr>
      </w:pPr>
    </w:p>
    <w:p>
      <w:pPr>
        <w:pStyle w:val="Heading2"/>
        <w:tabs>
          <w:tab w:pos="2649" w:val="left" w:leader="none"/>
        </w:tabs>
        <w:spacing w:line="261" w:lineRule="auto" w:before="1"/>
        <w:ind w:right="1746" w:hanging="656"/>
      </w:pPr>
      <w:r>
        <w:rPr/>
        <w:t>2.1</w:t>
        <w:tab/>
      </w:r>
      <w:bookmarkStart w:name="_bookmark7" w:id="8"/>
      <w:bookmarkEnd w:id="8"/>
      <w:r>
        <w:rPr/>
        <w:t>Kobl</w:t>
      </w:r>
      <w:r>
        <w:rPr/>
        <w:t>ingen mellem digitale bygningsmodeller og geodata</w:t>
      </w:r>
    </w:p>
    <w:p>
      <w:pPr>
        <w:pStyle w:val="BodyText"/>
        <w:spacing w:line="278" w:lineRule="auto" w:before="13"/>
        <w:ind w:left="2649" w:right="1032"/>
      </w:pPr>
      <w:r>
        <w:rPr/>
        <w:t>Udvekslingen af informationer mellem digitale bygningsmodeller og geodata er et grundlæggende element for indendørs geografi, men er også et område, hvor to forskelligartede datainfrastrukturer skal samles. Digitale bygningsmodeller beteg- nes i branchen som BIM</w:t>
      </w:r>
      <w:r>
        <w:rPr>
          <w:position w:val="6"/>
          <w:sz w:val="11"/>
        </w:rPr>
        <w:t>3</w:t>
      </w:r>
      <w:r>
        <w:rPr/>
        <w:t>, mens geodata betegnes og behandles ofte i GIS</w:t>
      </w:r>
      <w:r>
        <w:rPr>
          <w:position w:val="6"/>
          <w:sz w:val="11"/>
        </w:rPr>
        <w:t>4</w:t>
      </w:r>
      <w:r>
        <w:rPr/>
        <w:t>. En da-</w:t>
      </w:r>
    </w:p>
    <w:p>
      <w:pPr>
        <w:pStyle w:val="BodyText"/>
        <w:spacing w:before="1"/>
        <w:rPr>
          <w:sz w:val="29"/>
        </w:rPr>
      </w:pPr>
      <w:r>
        <w:rPr/>
        <w:pict>
          <v:line style="position:absolute;mso-position-horizontal-relative:page;mso-position-vertical-relative:paragraph;z-index:-16;mso-wrap-distance-left:0;mso-wrap-distance-right:0" from="181.490005pt,19.903105pt" to="325.510005pt,19.903105pt" stroked="true" strokeweight=".47998pt" strokecolor="#000000">
            <v:stroke dashstyle="solid"/>
            <w10:wrap type="topAndBottom"/>
          </v:line>
        </w:pict>
      </w:r>
    </w:p>
    <w:p>
      <w:pPr>
        <w:pStyle w:val="BodyText"/>
        <w:spacing w:before="4"/>
      </w:pPr>
    </w:p>
    <w:p>
      <w:pPr>
        <w:spacing w:before="101"/>
        <w:ind w:left="2649" w:right="0" w:firstLine="0"/>
        <w:jc w:val="left"/>
        <w:rPr>
          <w:sz w:val="15"/>
        </w:rPr>
      </w:pPr>
      <w:r>
        <w:rPr>
          <w:position w:val="5"/>
          <w:sz w:val="10"/>
        </w:rPr>
        <w:t>3 </w:t>
      </w:r>
      <w:r>
        <w:rPr>
          <w:sz w:val="15"/>
        </w:rPr>
        <w:t>BIM: Bygnings Informations Modellering</w:t>
      </w:r>
    </w:p>
    <w:p>
      <w:pPr>
        <w:spacing w:before="0"/>
        <w:ind w:left="2649" w:right="0" w:firstLine="0"/>
        <w:jc w:val="left"/>
        <w:rPr>
          <w:sz w:val="15"/>
        </w:rPr>
      </w:pPr>
      <w:r>
        <w:rPr>
          <w:position w:val="5"/>
          <w:sz w:val="10"/>
        </w:rPr>
        <w:t>4 </w:t>
      </w:r>
      <w:r>
        <w:rPr>
          <w:sz w:val="15"/>
        </w:rPr>
        <w:t>GIS: Geografiske Informations Systemer</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47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69"/>
      </w:pPr>
      <w:r>
        <w:rPr/>
        <w:t>tainfrastruktur for indendørs geografi kan opbygges på flere måder, men som ud- gangspunkt skal den understøtte udveksling af data imellem GIS og BIM. Samspil- let mellem BIM og GIS data kan ses i </w:t>
      </w:r>
      <w:hyperlink w:history="true" w:anchor="_bookmark8">
        <w:r>
          <w:rPr/>
          <w:t>Figur 2.4</w:t>
        </w:r>
      </w:hyperlink>
      <w:r>
        <w:rPr/>
        <w:t>.</w:t>
      </w:r>
    </w:p>
    <w:p>
      <w:pPr>
        <w:pStyle w:val="BodyText"/>
        <w:spacing w:before="5"/>
        <w:rPr>
          <w:sz w:val="21"/>
        </w:rPr>
      </w:pPr>
    </w:p>
    <w:p>
      <w:pPr>
        <w:pStyle w:val="BodyText"/>
        <w:spacing w:line="278" w:lineRule="auto"/>
        <w:ind w:left="2649" w:right="1059"/>
      </w:pPr>
      <w:r>
        <w:rPr/>
        <w:t>BIM-data kan levere grundlæggende informationer om opbygningen af rum i byg- ninger. BIM-data er som udgangspunkt ikke standardiserede, og BIM-data skal have et vist informationsniveau for at kunne være anvendeligt til udveksling med geodata og dermed til etablering af en grundlæggende datainfrastruktur for inden- dørs</w:t>
      </w:r>
      <w:r>
        <w:rPr>
          <w:spacing w:val="-1"/>
        </w:rPr>
        <w:t> </w:t>
      </w:r>
      <w:r>
        <w:rPr/>
        <w:t>geografi.</w:t>
      </w:r>
    </w:p>
    <w:p>
      <w:pPr>
        <w:pStyle w:val="BodyText"/>
        <w:spacing w:before="8"/>
        <w:rPr>
          <w:sz w:val="21"/>
        </w:rPr>
      </w:pPr>
    </w:p>
    <w:p>
      <w:pPr>
        <w:pStyle w:val="BodyText"/>
        <w:spacing w:line="278" w:lineRule="auto"/>
        <w:ind w:left="2649" w:right="1100"/>
        <w:jc w:val="both"/>
      </w:pPr>
      <w:r>
        <w:rPr/>
        <w:t>GIS-verdenen arbejder i udpræget grad med standardiserede dataformater og da- tabaser, der giver bred mulighed for udveksling af data på tværs af sektorer. GIS- programmer har stærke analyse- og visualiseringsværktøjer, som kernefunktioner i</w:t>
      </w:r>
      <w:r>
        <w:rPr>
          <w:spacing w:val="-2"/>
        </w:rPr>
        <w:t> </w:t>
      </w:r>
      <w:r>
        <w:rPr/>
        <w:t>systemerne.</w:t>
      </w:r>
    </w:p>
    <w:p>
      <w:pPr>
        <w:pStyle w:val="BodyText"/>
        <w:spacing w:before="3"/>
        <w:rPr>
          <w:sz w:val="15"/>
        </w:rPr>
      </w:pPr>
      <w:r>
        <w:rPr/>
        <w:drawing>
          <wp:anchor distT="0" distB="0" distL="0" distR="0" allowOverlap="1" layoutInCell="1" locked="0" behindDoc="0" simplePos="0" relativeHeight="47">
            <wp:simplePos x="0" y="0"/>
            <wp:positionH relativeFrom="page">
              <wp:posOffset>3257803</wp:posOffset>
            </wp:positionH>
            <wp:positionV relativeFrom="paragraph">
              <wp:posOffset>142784</wp:posOffset>
            </wp:positionV>
            <wp:extent cx="2605877" cy="1847183"/>
            <wp:effectExtent l="0" t="0" r="0" b="0"/>
            <wp:wrapTopAndBottom/>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2605877" cy="1847183"/>
                    </a:xfrm>
                    <a:prstGeom prst="rect">
                      <a:avLst/>
                    </a:prstGeom>
                  </pic:spPr>
                </pic:pic>
              </a:graphicData>
            </a:graphic>
          </wp:anchor>
        </w:drawing>
      </w:r>
    </w:p>
    <w:p>
      <w:pPr>
        <w:pStyle w:val="BodyText"/>
        <w:spacing w:before="8"/>
        <w:rPr>
          <w:sz w:val="21"/>
        </w:rPr>
      </w:pPr>
    </w:p>
    <w:p>
      <w:pPr>
        <w:spacing w:before="0"/>
        <w:ind w:left="2649" w:right="0" w:firstLine="0"/>
        <w:jc w:val="left"/>
        <w:rPr>
          <w:i/>
          <w:sz w:val="9"/>
        </w:rPr>
      </w:pPr>
      <w:bookmarkStart w:name="_bookmark8" w:id="9"/>
      <w:bookmarkEnd w:id="9"/>
      <w:r>
        <w:rPr/>
      </w:r>
      <w:r>
        <w:rPr>
          <w:i/>
          <w:sz w:val="14"/>
        </w:rPr>
        <w:t>Figur 2.4: Samspillet imellem GIS og BIM, fra planlægning og styring til design og opbygning</w:t>
      </w:r>
      <w:r>
        <w:rPr>
          <w:i/>
          <w:position w:val="5"/>
          <w:sz w:val="9"/>
        </w:rPr>
        <w:t>5</w:t>
      </w:r>
    </w:p>
    <w:p>
      <w:pPr>
        <w:pStyle w:val="BodyText"/>
        <w:spacing w:before="3"/>
        <w:rPr>
          <w:i/>
          <w:sz w:val="19"/>
        </w:rPr>
      </w:pPr>
    </w:p>
    <w:p>
      <w:pPr>
        <w:pStyle w:val="BodyText"/>
        <w:spacing w:line="278" w:lineRule="auto"/>
        <w:ind w:left="2649" w:right="1029"/>
      </w:pPr>
      <w:r>
        <w:rPr/>
        <w:t>Grundlæggende er der behov for et punkt til at identificere hvert rum. Rummene skal kunne gøres unikt identificérbare med en global stedfæstelse (x, y, z), hvor koordinatet fungerer som et ID. BIM-modeller kan levere punkter for et rum både i form af et rum-centroidpunkt, et indgangspunkt (døren) samt andre påkrævede informationer (f.eks. nødudgange og vinduer). Der anvendes ofte lokale koordinat- systemer i BIM, og det er derfor nødvendigt, at punkterne fra BIM-kilder transfor- meres til (som minimum) et landsdækkende koordinatsystem. Med rum-punkterne sat i et koordinatsystem, kan der skabes unikke referencer for rummene (altså et ID for rummet) og skabes en sammenhæng til Danmarks Adresseregister og andre georefererede objekter. Det er nødvendigt at skabe unikke og globale referencer (koordinater) for rum, da de teoretisk set (og også i den virkelige verden), kan have den samme lokale rumnummerering i to forskellige bygninger, f.eks. kan der findes et rum nummer 2A i både bygning X og bygning Y.</w:t>
      </w:r>
    </w:p>
    <w:p>
      <w:pPr>
        <w:pStyle w:val="BodyText"/>
        <w:spacing w:before="11"/>
        <w:rPr>
          <w:sz w:val="21"/>
        </w:rPr>
      </w:pPr>
    </w:p>
    <w:p>
      <w:pPr>
        <w:pStyle w:val="BodyText"/>
        <w:spacing w:line="278" w:lineRule="auto" w:before="1"/>
        <w:ind w:left="2649" w:right="1057"/>
      </w:pPr>
      <w:r>
        <w:rPr/>
        <w:t>For at en BIM-model kan give værdi i en GIS-kontekst, og dermed udveksles, bør BIM-modellen derfor indeholde en række egenskaber (attributter) om objektet for- uden en global stedfæstelse. Information om de enkelte punkter bestemmes som attributter, herunder koordinatet for det enkelte punkt.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128;mso-wrap-distance-left:0;mso-wrap-distance-right:0" from="181.490005pt,11.230323pt" to="325.510005pt,11.230323pt" stroked="true" strokeweight=".47998pt" strokecolor="#000000">
            <v:stroke dashstyle="solid"/>
            <w10:wrap type="topAndBottom"/>
          </v:line>
        </w:pict>
      </w:r>
    </w:p>
    <w:p>
      <w:pPr>
        <w:pStyle w:val="BodyText"/>
        <w:spacing w:before="4"/>
      </w:pPr>
    </w:p>
    <w:p>
      <w:pPr>
        <w:spacing w:before="101"/>
        <w:ind w:left="2649" w:right="1198" w:firstLine="0"/>
        <w:jc w:val="left"/>
        <w:rPr>
          <w:sz w:val="15"/>
        </w:rPr>
      </w:pPr>
      <w:r>
        <w:rPr>
          <w:position w:val="5"/>
          <w:sz w:val="10"/>
        </w:rPr>
        <w:t>5 </w:t>
      </w:r>
      <w:r>
        <w:rPr>
          <w:sz w:val="15"/>
        </w:rPr>
        <w:t>Kilde: ESRI ved </w:t>
      </w:r>
      <w:hyperlink r:id="rId15">
        <w:r>
          <w:rPr>
            <w:color w:val="008EBA"/>
            <w:sz w:val="15"/>
            <w:u w:val="single" w:color="008EBA"/>
          </w:rPr>
          <w:t>http://www.esri.com/esri-news/arcuser/spring-2018/gis-and-bim-integra-</w:t>
        </w:r>
      </w:hyperlink>
      <w:r>
        <w:rPr>
          <w:color w:val="008EBA"/>
          <w:sz w:val="15"/>
        </w:rPr>
        <w:t> </w:t>
      </w:r>
      <w:hyperlink r:id="rId15">
        <w:r>
          <w:rPr>
            <w:color w:val="008EBA"/>
            <w:sz w:val="15"/>
            <w:u w:val="single" w:color="008EBA"/>
          </w:rPr>
          <w:t>tion-leads-to-smart-communities</w:t>
        </w:r>
      </w:hyperlink>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30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53"/>
      </w:pPr>
      <w:r>
        <w:rPr/>
        <w:t>I den sammenhæng skal det nævnes, at langt fra alle offentlige bygninger er til- gængelige som digitale bygningsmodeller. Med det offentliges krav til private byg- herrer i forbindelse med nye offentlige byggerier (inkl. om- og tilbygninger)</w:t>
      </w:r>
      <w:r>
        <w:rPr>
          <w:position w:val="6"/>
          <w:sz w:val="11"/>
        </w:rPr>
        <w:t>6 </w:t>
      </w:r>
      <w:r>
        <w:rPr/>
        <w:t>frem- mes implementeringen af digitale bygningsmodeller, og dette kan dermed være et vigtigt element i såvel etableringen af infrastrukturen for indendørs geografi, som den fremtidige vedligeholdelse af data. Endelig skal det fremhæves, at koblingen mellem den indendørs adressering og Danmarks Adresseregister er essentiel for at få en sammenhæng imellem grunddatasæt.</w:t>
      </w:r>
    </w:p>
    <w:p>
      <w:pPr>
        <w:pStyle w:val="BodyText"/>
        <w:spacing w:before="10"/>
        <w:rPr>
          <w:sz w:val="21"/>
        </w:rPr>
      </w:pPr>
    </w:p>
    <w:p>
      <w:pPr>
        <w:pStyle w:val="Heading3"/>
        <w:tabs>
          <w:tab w:pos="2649" w:val="left" w:leader="none"/>
        </w:tabs>
        <w:ind w:left="1850" w:firstLine="0"/>
      </w:pPr>
      <w:r>
        <w:rPr/>
        <w:t>2.1.1</w:t>
        <w:tab/>
      </w:r>
      <w:bookmarkStart w:name="_bookmark9" w:id="10"/>
      <w:bookmarkEnd w:id="10"/>
      <w:r>
        <w:rPr/>
        <w:t>Udve</w:t>
      </w:r>
      <w:r>
        <w:rPr/>
        <w:t>kslingsformater</w:t>
      </w:r>
    </w:p>
    <w:p>
      <w:pPr>
        <w:pStyle w:val="BodyText"/>
        <w:spacing w:line="278" w:lineRule="auto" w:before="34"/>
        <w:ind w:left="2649" w:right="1048"/>
      </w:pPr>
      <w:r>
        <w:rPr/>
        <w:t>Udvekslingen af informationer mellem BIM og geodata kan ske på flere måder, men bør leve op til standardiserede udvekslingsformater. Indtil nyere og bedre teknologi(er) bliver bredt forankret, er IFC</w:t>
      </w:r>
      <w:r>
        <w:rPr>
          <w:position w:val="6"/>
          <w:sz w:val="11"/>
        </w:rPr>
        <w:t>7 </w:t>
      </w:r>
      <w:r>
        <w:rPr/>
        <w:t>det globale de facto standard udveks- lingsformat (bl.a. ved, at flere nationer har indskrevet IFC i deres bekendtgørel- ser). Der findes flere forskellige stærke og proprietære BIM formater, men IFC for- matet er åbent og udvikles af buildingSMART</w:t>
      </w:r>
      <w:r>
        <w:rPr>
          <w:position w:val="6"/>
          <w:sz w:val="11"/>
        </w:rPr>
        <w:t>8</w:t>
      </w:r>
      <w:r>
        <w:rPr/>
        <w:t>. Set både i national og international sammenhæng er der en forståelse af og opbakning til IFC, som en de-facto stan- dard til udveksling af BIM-data. Med udgivelsen af IFC4 i 2013, er der etableret en udvekslingsstandard, som også er en ISO standard</w:t>
      </w:r>
      <w:r>
        <w:rPr>
          <w:position w:val="6"/>
          <w:sz w:val="11"/>
        </w:rPr>
        <w:t>9</w:t>
      </w:r>
      <w:r>
        <w:rPr/>
        <w:t>.</w:t>
      </w:r>
    </w:p>
    <w:p>
      <w:pPr>
        <w:pStyle w:val="BodyText"/>
        <w:spacing w:before="8"/>
        <w:rPr>
          <w:sz w:val="21"/>
        </w:rPr>
      </w:pPr>
    </w:p>
    <w:p>
      <w:pPr>
        <w:pStyle w:val="BodyText"/>
        <w:spacing w:line="278" w:lineRule="auto"/>
        <w:ind w:left="2649" w:right="1038"/>
      </w:pPr>
      <w:r>
        <w:rPr/>
        <w:t>Inden for GIS er der mange forskellige udvekslingsformater</w:t>
      </w:r>
      <w:r>
        <w:rPr>
          <w:position w:val="6"/>
          <w:sz w:val="11"/>
        </w:rPr>
        <w:t>10</w:t>
      </w:r>
      <w:r>
        <w:rPr/>
        <w:t>, hvor OGC</w:t>
      </w:r>
      <w:r>
        <w:rPr>
          <w:position w:val="6"/>
          <w:sz w:val="11"/>
        </w:rPr>
        <w:t>11 </w:t>
      </w:r>
      <w:r>
        <w:rPr/>
        <w:t>arbejder med en standard for modellering af indendørs rum til brug for navigation.</w:t>
      </w:r>
    </w:p>
    <w:p>
      <w:pPr>
        <w:pStyle w:val="BodyText"/>
        <w:spacing w:before="7"/>
        <w:rPr>
          <w:sz w:val="21"/>
        </w:rPr>
      </w:pPr>
    </w:p>
    <w:p>
      <w:pPr>
        <w:pStyle w:val="BodyText"/>
        <w:spacing w:line="278" w:lineRule="auto"/>
        <w:ind w:left="2649" w:right="1031"/>
      </w:pPr>
      <w:r>
        <w:rPr/>
        <w:t>buildingSMART og OGC (se </w:t>
      </w:r>
      <w:hyperlink w:history="true" w:anchor="_bookmark10">
        <w:r>
          <w:rPr/>
          <w:t>Figur 2.5</w:t>
        </w:r>
      </w:hyperlink>
      <w:r>
        <w:rPr/>
        <w:t>) har i 2013 underskrevet en hensigtserklæ- ring om et samarbejde i relation til indendørs navigation. Umiddelbart er der ikke væsentlige tilgængelige resultater af samarbejdet, men det bør følges som inspira- tion for udviklingen af en mulig dansk model for indendørs geografi.</w:t>
      </w:r>
    </w:p>
    <w:p>
      <w:pPr>
        <w:pStyle w:val="BodyText"/>
        <w:spacing w:before="2"/>
        <w:rPr>
          <w:sz w:val="15"/>
        </w:rPr>
      </w:pPr>
      <w:r>
        <w:rPr/>
        <w:drawing>
          <wp:anchor distT="0" distB="0" distL="0" distR="0" allowOverlap="1" layoutInCell="1" locked="0" behindDoc="0" simplePos="0" relativeHeight="53">
            <wp:simplePos x="0" y="0"/>
            <wp:positionH relativeFrom="page">
              <wp:posOffset>2951344</wp:posOffset>
            </wp:positionH>
            <wp:positionV relativeFrom="paragraph">
              <wp:posOffset>142286</wp:posOffset>
            </wp:positionV>
            <wp:extent cx="2242062" cy="437388"/>
            <wp:effectExtent l="0" t="0" r="0" b="0"/>
            <wp:wrapTopAndBottom/>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6" cstate="print"/>
                    <a:stretch>
                      <a:fillRect/>
                    </a:stretch>
                  </pic:blipFill>
                  <pic:spPr>
                    <a:xfrm>
                      <a:off x="0" y="0"/>
                      <a:ext cx="2242062" cy="437388"/>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5372100</wp:posOffset>
            </wp:positionH>
            <wp:positionV relativeFrom="paragraph">
              <wp:posOffset>167572</wp:posOffset>
            </wp:positionV>
            <wp:extent cx="892092" cy="437388"/>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7" cstate="print"/>
                    <a:stretch>
                      <a:fillRect/>
                    </a:stretch>
                  </pic:blipFill>
                  <pic:spPr>
                    <a:xfrm>
                      <a:off x="0" y="0"/>
                      <a:ext cx="892092" cy="437388"/>
                    </a:xfrm>
                    <a:prstGeom prst="rect">
                      <a:avLst/>
                    </a:prstGeom>
                  </pic:spPr>
                </pic:pic>
              </a:graphicData>
            </a:graphic>
          </wp:anchor>
        </w:drawing>
      </w:r>
    </w:p>
    <w:p>
      <w:pPr>
        <w:pStyle w:val="BodyText"/>
        <w:spacing w:before="2"/>
        <w:rPr>
          <w:sz w:val="19"/>
        </w:rPr>
      </w:pPr>
    </w:p>
    <w:p>
      <w:pPr>
        <w:spacing w:before="0"/>
        <w:ind w:left="4207" w:right="0" w:firstLine="0"/>
        <w:jc w:val="left"/>
        <w:rPr>
          <w:i/>
          <w:sz w:val="14"/>
        </w:rPr>
      </w:pPr>
      <w:bookmarkStart w:name="_bookmark10" w:id="11"/>
      <w:bookmarkEnd w:id="11"/>
      <w:r>
        <w:rPr/>
      </w:r>
      <w:r>
        <w:rPr>
          <w:i/>
          <w:sz w:val="14"/>
        </w:rPr>
        <w:t>Figur 2.5: Logoer for henholdsvis buildingSMART og OGC</w:t>
      </w:r>
    </w:p>
    <w:p>
      <w:pPr>
        <w:pStyle w:val="BodyText"/>
        <w:spacing w:before="9"/>
        <w:rPr>
          <w:i/>
          <w:sz w:val="23"/>
        </w:rPr>
      </w:pPr>
    </w:p>
    <w:p>
      <w:pPr>
        <w:pStyle w:val="Heading2"/>
        <w:tabs>
          <w:tab w:pos="2649" w:val="left" w:leader="none"/>
        </w:tabs>
        <w:spacing w:line="261" w:lineRule="auto"/>
        <w:ind w:right="1353" w:hanging="656"/>
      </w:pPr>
      <w:r>
        <w:rPr/>
        <w:t>2.2</w:t>
        <w:tab/>
      </w:r>
      <w:bookmarkStart w:name="_bookmark11" w:id="12"/>
      <w:bookmarkEnd w:id="12"/>
      <w:r>
        <w:rPr/>
        <w:t>Specif</w:t>
      </w:r>
      <w:r>
        <w:rPr/>
        <w:t>icering af infrastrukturen for indendørs geo- grafi</w:t>
      </w:r>
    </w:p>
    <w:p>
      <w:pPr>
        <w:pStyle w:val="BodyText"/>
        <w:spacing w:line="278" w:lineRule="auto" w:before="11"/>
        <w:ind w:left="2649" w:right="1053"/>
      </w:pPr>
      <w:r>
        <w:rPr/>
        <w:t>Grundlaget for specifikationen er en forståelse af at infrastrukturen for indendørs geografi skabes som en steddatabase på baggrund af geometrier og egenskaber fra BIM-data, samt kobles til Danmarks Adresser, evt. i kombination med GeoDan- mark Bygnings polygoner og BBR. BIM kan levere ”locations”, som er koordinater defineret lokalt eller globalt. Adgangspunkter leveres fra Danmarks Adresseregi- ster, og der defineres indgangspunkter til hver etage fra BIM. Alle data skal place-</w:t>
      </w: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296;mso-wrap-distance-left:0;mso-wrap-distance-right:0" from="181.490005pt,13.267623pt" to="325.510005pt,13.267623pt" stroked="true" strokeweight=".47998pt" strokecolor="#000000">
            <v:stroke dashstyle="solid"/>
            <w10:wrap type="topAndBottom"/>
          </v:line>
        </w:pict>
      </w:r>
    </w:p>
    <w:p>
      <w:pPr>
        <w:pStyle w:val="BodyText"/>
        <w:spacing w:before="6"/>
      </w:pPr>
    </w:p>
    <w:p>
      <w:pPr>
        <w:spacing w:before="101"/>
        <w:ind w:left="2649" w:right="1023" w:firstLine="0"/>
        <w:jc w:val="left"/>
        <w:rPr>
          <w:sz w:val="15"/>
        </w:rPr>
      </w:pPr>
      <w:r>
        <w:rPr>
          <w:position w:val="5"/>
          <w:sz w:val="10"/>
        </w:rPr>
        <w:t>6 </w:t>
      </w:r>
      <w:r>
        <w:rPr>
          <w:sz w:val="15"/>
        </w:rPr>
        <w:t>De statslige Bygherrekrav, Bekendtgørelse om anvendelse af informations- og kommunikati- onsteknologi (IKT) i alment byggeri: </w:t>
      </w:r>
      <w:hyperlink r:id="rId18">
        <w:r>
          <w:rPr>
            <w:color w:val="008EBA"/>
            <w:sz w:val="15"/>
            <w:u w:val="single" w:color="008EBA"/>
          </w:rPr>
          <w:t>https://www.retsinforma-</w:t>
        </w:r>
      </w:hyperlink>
      <w:r>
        <w:rPr>
          <w:color w:val="008EBA"/>
          <w:sz w:val="15"/>
        </w:rPr>
        <w:t> </w:t>
      </w:r>
      <w:hyperlink r:id="rId18">
        <w:r>
          <w:rPr>
            <w:color w:val="008EBA"/>
            <w:sz w:val="15"/>
            <w:u w:val="single" w:color="008EBA"/>
          </w:rPr>
          <w:t>tion.dk/Forms/R0710.aspx?id=144517</w:t>
        </w:r>
      </w:hyperlink>
    </w:p>
    <w:p>
      <w:pPr>
        <w:spacing w:line="180" w:lineRule="exact" w:before="0"/>
        <w:ind w:left="2649" w:right="0" w:firstLine="0"/>
        <w:jc w:val="left"/>
        <w:rPr>
          <w:sz w:val="15"/>
        </w:rPr>
      </w:pPr>
      <w:r>
        <w:rPr>
          <w:position w:val="5"/>
          <w:sz w:val="10"/>
        </w:rPr>
        <w:t>7 </w:t>
      </w:r>
      <w:r>
        <w:rPr>
          <w:sz w:val="15"/>
        </w:rPr>
        <w:t>IFC: Industry Foundation Classes</w:t>
      </w:r>
    </w:p>
    <w:p>
      <w:pPr>
        <w:spacing w:before="1"/>
        <w:ind w:left="2649" w:right="1054" w:firstLine="0"/>
        <w:jc w:val="left"/>
        <w:rPr>
          <w:sz w:val="15"/>
        </w:rPr>
      </w:pPr>
      <w:r>
        <w:rPr>
          <w:position w:val="5"/>
          <w:sz w:val="10"/>
        </w:rPr>
        <w:t>8 </w:t>
      </w:r>
      <w:r>
        <w:rPr>
          <w:sz w:val="15"/>
        </w:rPr>
        <w:t>buildingSMART er en international myndighed som opretter og vedtager åbne internationale standarder, herunder OPEN BIM. OPEN BIM er den internationale tilgang til samarbejde, reali- sering og drift af bygningsmodeller baseret på åbne standarder og arbejdsgange. OPEN BIM er initieret af flere førende BIM</w:t>
      </w:r>
      <w:r>
        <w:rPr>
          <w:spacing w:val="-8"/>
          <w:sz w:val="15"/>
        </w:rPr>
        <w:t> </w:t>
      </w:r>
      <w:r>
        <w:rPr>
          <w:sz w:val="15"/>
        </w:rPr>
        <w:t>leverandører.</w:t>
      </w:r>
    </w:p>
    <w:p>
      <w:pPr>
        <w:spacing w:before="0"/>
        <w:ind w:left="2649" w:right="0" w:firstLine="0"/>
        <w:jc w:val="left"/>
        <w:rPr>
          <w:sz w:val="15"/>
        </w:rPr>
      </w:pPr>
      <w:r>
        <w:rPr>
          <w:position w:val="5"/>
          <w:sz w:val="10"/>
        </w:rPr>
        <w:t>9 </w:t>
      </w:r>
      <w:r>
        <w:rPr>
          <w:sz w:val="15"/>
        </w:rPr>
        <w:t>ISO 16739:2013</w:t>
      </w:r>
    </w:p>
    <w:p>
      <w:pPr>
        <w:spacing w:before="0"/>
        <w:ind w:left="2649" w:right="0" w:firstLine="0"/>
        <w:jc w:val="left"/>
        <w:rPr>
          <w:sz w:val="15"/>
        </w:rPr>
      </w:pPr>
      <w:r>
        <w:rPr>
          <w:position w:val="5"/>
          <w:sz w:val="10"/>
        </w:rPr>
        <w:t>10 </w:t>
      </w:r>
      <w:r>
        <w:rPr>
          <w:sz w:val="15"/>
        </w:rPr>
        <w:t>Bl.a. GML: Geographic Markup Language</w:t>
      </w:r>
    </w:p>
    <w:p>
      <w:pPr>
        <w:spacing w:before="1"/>
        <w:ind w:left="2649" w:right="0" w:firstLine="0"/>
        <w:jc w:val="left"/>
        <w:rPr>
          <w:sz w:val="15"/>
        </w:rPr>
      </w:pPr>
      <w:r>
        <w:rPr>
          <w:position w:val="5"/>
          <w:sz w:val="10"/>
        </w:rPr>
        <w:t>11 </w:t>
      </w:r>
      <w:r>
        <w:rPr>
          <w:sz w:val="15"/>
        </w:rPr>
        <w:t>OGC: Open Geospatial Consortium</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18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37"/>
      </w:pPr>
      <w:r>
        <w:rPr/>
        <w:t>res i, og leveres med et koordinatsystem. Med disse forudsætninger kan der ska- bes en ensartet, standardiseret måde at definere Indendørs Geografi på i Danmark</w:t>
      </w:r>
    </w:p>
    <w:p>
      <w:pPr>
        <w:pStyle w:val="BodyText"/>
        <w:spacing w:before="1"/>
        <w:ind w:left="2649"/>
      </w:pPr>
      <w:r>
        <w:rPr/>
        <w:t>– som samles i den nationale indendørs steddatabase.</w:t>
      </w:r>
    </w:p>
    <w:p>
      <w:pPr>
        <w:pStyle w:val="BodyText"/>
        <w:spacing w:before="4"/>
        <w:rPr>
          <w:sz w:val="24"/>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12" w:id="13"/>
      <w:bookmarkEnd w:id="13"/>
      <w:r>
        <w:rPr/>
        <w:t>Løs</w:t>
      </w:r>
      <w:r>
        <w:rPr/>
        <w:t>ningsinfrastruktur</w:t>
      </w:r>
    </w:p>
    <w:p>
      <w:pPr>
        <w:pStyle w:val="BodyText"/>
        <w:spacing w:line="278" w:lineRule="auto" w:before="34"/>
        <w:ind w:left="2649" w:right="1311"/>
      </w:pPr>
      <w:r>
        <w:rPr/>
        <w:t>Grundlaget for at skabe indendørs datainfrastruktur udgøres af de følgende ele- menter nævnt. Opbygningen af infrastrukturen er skitseret i </w:t>
      </w:r>
      <w:hyperlink w:history="true" w:anchor="_bookmark13">
        <w:r>
          <w:rPr/>
          <w:t>Figur 2.6</w:t>
        </w:r>
      </w:hyperlink>
      <w:r>
        <w:rPr/>
        <w:t>.</w:t>
      </w:r>
    </w:p>
    <w:p>
      <w:pPr>
        <w:pStyle w:val="BodyText"/>
        <w:spacing w:before="3"/>
        <w:rPr>
          <w:sz w:val="15"/>
        </w:rPr>
      </w:pPr>
      <w:r>
        <w:rPr/>
        <w:drawing>
          <wp:anchor distT="0" distB="0" distL="0" distR="0" allowOverlap="1" layoutInCell="1" locked="0" behindDoc="0" simplePos="0" relativeHeight="60">
            <wp:simplePos x="0" y="0"/>
            <wp:positionH relativeFrom="page">
              <wp:posOffset>2857754</wp:posOffset>
            </wp:positionH>
            <wp:positionV relativeFrom="paragraph">
              <wp:posOffset>142908</wp:posOffset>
            </wp:positionV>
            <wp:extent cx="3462427" cy="1885950"/>
            <wp:effectExtent l="0" t="0" r="0" b="0"/>
            <wp:wrapTopAndBottom/>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19" cstate="print"/>
                    <a:stretch>
                      <a:fillRect/>
                    </a:stretch>
                  </pic:blipFill>
                  <pic:spPr>
                    <a:xfrm>
                      <a:off x="0" y="0"/>
                      <a:ext cx="3462427" cy="1885950"/>
                    </a:xfrm>
                    <a:prstGeom prst="rect">
                      <a:avLst/>
                    </a:prstGeom>
                  </pic:spPr>
                </pic:pic>
              </a:graphicData>
            </a:graphic>
          </wp:anchor>
        </w:drawing>
      </w:r>
    </w:p>
    <w:p>
      <w:pPr>
        <w:pStyle w:val="BodyText"/>
        <w:spacing w:before="9"/>
        <w:rPr>
          <w:sz w:val="16"/>
        </w:rPr>
      </w:pPr>
    </w:p>
    <w:p>
      <w:pPr>
        <w:spacing w:before="0"/>
        <w:ind w:left="3369" w:right="0" w:firstLine="0"/>
        <w:jc w:val="left"/>
        <w:rPr>
          <w:i/>
          <w:sz w:val="14"/>
        </w:rPr>
      </w:pPr>
      <w:bookmarkStart w:name="_bookmark13" w:id="14"/>
      <w:bookmarkEnd w:id="14"/>
      <w:r>
        <w:rPr/>
      </w:r>
      <w:r>
        <w:rPr>
          <w:i/>
          <w:sz w:val="14"/>
        </w:rPr>
        <w:t>Figur 2.6: Infrastruktur og organisering af den nationale indendørs steddatabase</w:t>
      </w:r>
    </w:p>
    <w:p>
      <w:pPr>
        <w:pStyle w:val="BodyText"/>
        <w:spacing w:before="3"/>
        <w:rPr>
          <w:i/>
          <w:sz w:val="19"/>
        </w:rPr>
      </w:pPr>
    </w:p>
    <w:p>
      <w:pPr>
        <w:pStyle w:val="Heading4"/>
      </w:pPr>
      <w:r>
        <w:rPr/>
        <w:t>Den nationale indendørs steddatabase</w:t>
      </w:r>
    </w:p>
    <w:p>
      <w:pPr>
        <w:pStyle w:val="BodyText"/>
        <w:spacing w:line="278" w:lineRule="auto" w:before="34"/>
        <w:ind w:left="2649" w:right="1024"/>
      </w:pPr>
      <w:r>
        <w:rPr/>
        <w:t>Databasen er en form for pendant til Danmarks Adresseregister, hvor de autorita- tive indendørs geografiers data dannes (de unikke referencer), opbevares, revide- res og distribueres fra. I sin fysiske form er det en database, som vedligeholdes, sikres og ejes af staten. Data vedligeholdes af dataejerne. Ved oprettelse eller re- vision af databasen kan der her oprettes og tildeles ID til alle geometrier. Data kan herfra distribueres i flere forskellige formater, afhængig af de behov der vurderes at være. Det antages, at der skal aftales rammer for bygherres faste leveracer af data om bygninger, til den nationale indendørs steddatabase. Faste data leveran- cer kan sikre korrekte entydige nøgler, som der kan krydsrefereres til.</w:t>
      </w:r>
    </w:p>
    <w:p>
      <w:pPr>
        <w:pStyle w:val="BodyText"/>
        <w:spacing w:before="9"/>
        <w:rPr>
          <w:sz w:val="21"/>
        </w:rPr>
      </w:pPr>
    </w:p>
    <w:p>
      <w:pPr>
        <w:pStyle w:val="Heading4"/>
      </w:pPr>
      <w:r>
        <w:rPr/>
        <w:t>DAR - Danmarks Adresseregister</w:t>
      </w:r>
    </w:p>
    <w:p>
      <w:pPr>
        <w:pStyle w:val="BodyText"/>
        <w:spacing w:line="278" w:lineRule="auto" w:before="34"/>
        <w:ind w:left="2649" w:right="1047"/>
      </w:pPr>
      <w:r>
        <w:rPr/>
        <w:t>Danmarks Adresser indgår i datastrukturen for indendørs geografi gennem Dan- marks Adresseregister. For hver adresse er placeret et adgangspunkt, som repræ- senterer beliggenheden af den udefra kommende adgangsvej (indgangsdøren, ind- kørsel eller lignende som husnummeret hører til) til bygningen. Data identificeres som en entydig kombination af vejnavn, husnummer samt evt. etagebetegnelse og dørbetegnelse. Dermed er det muligt at identificere hver adresse unikt og geo- grafisk, samt angive adgangsvejen frem til en</w:t>
      </w:r>
      <w:r>
        <w:rPr>
          <w:spacing w:val="-7"/>
        </w:rPr>
        <w:t> </w:t>
      </w:r>
      <w:r>
        <w:rPr/>
        <w:t>bygning.</w:t>
      </w:r>
    </w:p>
    <w:p>
      <w:pPr>
        <w:pStyle w:val="BodyText"/>
        <w:spacing w:before="7"/>
        <w:rPr>
          <w:sz w:val="21"/>
        </w:rPr>
      </w:pPr>
    </w:p>
    <w:p>
      <w:pPr>
        <w:pStyle w:val="Heading4"/>
      </w:pPr>
      <w:r>
        <w:rPr/>
        <w:t>GeoDanmark Bygning</w:t>
      </w:r>
    </w:p>
    <w:p>
      <w:pPr>
        <w:pStyle w:val="BodyText"/>
        <w:spacing w:line="278" w:lineRule="auto" w:before="33"/>
        <w:ind w:left="2649" w:right="1036"/>
      </w:pPr>
      <w:r>
        <w:rPr/>
        <w:t>Det kan eventuelt være relevant at inddrage geokodede bygningspolygoner til en sammenstilling med en steddatabase, for at sikre konsistens til BBR-informationer. Dette kan være særligt relevant i forbindelse med at sammenstille BBR-nøgleinfor- mationer med relevante informationer på de enkelte anvendelsesområder.</w:t>
      </w:r>
    </w:p>
    <w:p>
      <w:pPr>
        <w:pStyle w:val="BodyText"/>
        <w:spacing w:before="5"/>
        <w:rPr>
          <w:sz w:val="21"/>
        </w:rPr>
      </w:pPr>
    </w:p>
    <w:p>
      <w:pPr>
        <w:pStyle w:val="Heading4"/>
        <w:spacing w:before="1"/>
      </w:pPr>
      <w:r>
        <w:rPr/>
        <w:t>BIM IFC</w:t>
      </w:r>
    </w:p>
    <w:p>
      <w:pPr>
        <w:pStyle w:val="BodyText"/>
        <w:spacing w:line="278" w:lineRule="auto" w:before="33"/>
        <w:ind w:left="2649" w:right="1087"/>
      </w:pPr>
      <w:r>
        <w:rPr/>
        <w:t>BIM leverer den geometriske infrastruktur for den indendørs steddatabase. Fra BIM kan ekstraheres rum, zoner eller andre geometriske data om bygningsele- menter (døre, vinduer, eller interessepunkter kan være relevante). Herudover kan der i mere eller mindre modne BIM modeller være tilknytte andre domæne-rele-</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8004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43"/>
      </w:pPr>
      <w:r>
        <w:rPr/>
        <w:t>vante egenskaber om geometrierne. BIM, IFC og den øvrige specificering af hvor- dan data udveksles med en national indendørs steddatabase beskrives i kapitel </w:t>
      </w:r>
      <w:hyperlink w:history="true" w:anchor="_bookmark31">
        <w:r>
          <w:rPr/>
          <w:t>2.4</w:t>
        </w:r>
      </w:hyperlink>
      <w:r>
        <w:rPr/>
        <w:t>: </w:t>
      </w:r>
      <w:hyperlink w:history="true" w:anchor="_bookmark31">
        <w:r>
          <w:rPr/>
          <w:t>Udveksling af BIM-data</w:t>
        </w:r>
      </w:hyperlink>
      <w:r>
        <w:rPr/>
        <w:t>.</w:t>
      </w:r>
    </w:p>
    <w:p>
      <w:pPr>
        <w:pStyle w:val="BodyText"/>
        <w:spacing w:before="8"/>
        <w:rPr>
          <w:sz w:val="21"/>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14" w:id="15"/>
      <w:bookmarkEnd w:id="15"/>
      <w:r>
        <w:rPr/>
        <w:t>Da</w:t>
      </w:r>
      <w:r>
        <w:rPr/>
        <w:t>tamodel for en indendørs</w:t>
      </w:r>
      <w:r>
        <w:rPr>
          <w:spacing w:val="-2"/>
        </w:rPr>
        <w:t> </w:t>
      </w:r>
      <w:r>
        <w:rPr/>
        <w:t>steddatabase</w:t>
      </w:r>
    </w:p>
    <w:p>
      <w:pPr>
        <w:pStyle w:val="BodyText"/>
        <w:spacing w:line="278" w:lineRule="auto" w:before="35"/>
        <w:ind w:left="2649" w:right="1102"/>
      </w:pPr>
      <w:r>
        <w:rPr/>
        <w:t>Med udgangspunkt i Grunddataprogrammets datamodeller har Styrelsen for Data- forsyning og Effektivisering udarbejdet</w:t>
      </w:r>
      <w:r>
        <w:rPr>
          <w:position w:val="6"/>
          <w:sz w:val="11"/>
        </w:rPr>
        <w:t>12 </w:t>
      </w:r>
      <w:r>
        <w:rPr/>
        <w:t>et udkast til en logisk datamodel for dansk indendørs geografi. Der dannes hermed et grundlag for en datamodel som kan favne både BIM og GIS branchen og passer ind i de etablerede datamodeller som er etableret i Grunddataprogrammet. Dermed er der ikke taget stilling til, hvordan den fysiske datamodel skal opbygges i en database. Det er dog vigtigt ved opbygning af den fysiske datamodel, at data kan konverteres mellem forskel- lige databasesystemer uden tab af information. Nedenfor angives elementer som kan være grundlag for datamodellen til viderebehandling.</w:t>
      </w:r>
    </w:p>
    <w:p>
      <w:pPr>
        <w:pStyle w:val="BodyText"/>
        <w:spacing w:before="7"/>
        <w:rPr>
          <w:sz w:val="21"/>
        </w:rPr>
      </w:pPr>
    </w:p>
    <w:p>
      <w:pPr>
        <w:pStyle w:val="Heading4"/>
      </w:pPr>
      <w:r>
        <w:rPr/>
        <w:t>Grunddataprogrammet</w:t>
      </w:r>
    </w:p>
    <w:p>
      <w:pPr>
        <w:pStyle w:val="BodyText"/>
        <w:spacing w:line="278" w:lineRule="auto" w:before="34"/>
        <w:ind w:left="2649" w:right="1116"/>
      </w:pPr>
      <w:r>
        <w:rPr/>
        <w:t>Da data til indendørs geografi i offentlige bygninger er af samfundsmæssig inte- resse, er det naturligt at klargøre disse til Grunddataprogrammet og stille dem til rådighed i en samlet database. Derfor tager forslaget til datamodellen udgangs- punkt i de datamodeller, som er udarbejdet under Grunddataprogrammet. Grund- dataprogrammets datamodeller kan være med til at sikre et solidt grundlag med valide og autoritative data, governance samt adgangsrettigheder. Den generelle tilgængelighed for forskellige aktørers adgang til data skal afklares.</w:t>
      </w:r>
    </w:p>
    <w:p>
      <w:pPr>
        <w:pStyle w:val="BodyText"/>
        <w:spacing w:before="8"/>
        <w:rPr>
          <w:sz w:val="21"/>
        </w:rPr>
      </w:pPr>
    </w:p>
    <w:p>
      <w:pPr>
        <w:pStyle w:val="Heading4"/>
      </w:pPr>
      <w:r>
        <w:rPr/>
        <w:t>Sammenhæng til Danmarks Adresseregister</w:t>
      </w:r>
    </w:p>
    <w:p>
      <w:pPr>
        <w:pStyle w:val="BodyText"/>
        <w:spacing w:line="278" w:lineRule="auto" w:before="34"/>
        <w:ind w:left="2649" w:right="1101"/>
      </w:pPr>
      <w:r>
        <w:rPr/>
        <w:t>Den Indendørs Geografi skal have en sammenhæng til Danmarks Adresseregister, som omhandler de udendørs adresser – herunder adgangspunkter til bygninger. Dermed kan sikres en sammenhæng til Danmarks Adresseregister. Et fysisk ek- sempel på dette kan ses i </w:t>
      </w:r>
      <w:hyperlink w:history="true" w:anchor="_bookmark15">
        <w:r>
          <w:rPr/>
          <w:t>Figur 2.7</w:t>
        </w:r>
      </w:hyperlink>
      <w:r>
        <w:rPr/>
        <w:t>.</w:t>
      </w:r>
    </w:p>
    <w:p>
      <w:pPr>
        <w:pStyle w:val="BodyText"/>
        <w:spacing w:before="2"/>
        <w:rPr>
          <w:sz w:val="15"/>
        </w:rPr>
      </w:pPr>
      <w:r>
        <w:rPr/>
        <w:drawing>
          <wp:anchor distT="0" distB="0" distL="0" distR="0" allowOverlap="1" layoutInCell="1" locked="0" behindDoc="0" simplePos="0" relativeHeight="65">
            <wp:simplePos x="0" y="0"/>
            <wp:positionH relativeFrom="page">
              <wp:posOffset>2699627</wp:posOffset>
            </wp:positionH>
            <wp:positionV relativeFrom="paragraph">
              <wp:posOffset>142278</wp:posOffset>
            </wp:positionV>
            <wp:extent cx="3762778" cy="1796795"/>
            <wp:effectExtent l="0" t="0" r="0" b="0"/>
            <wp:wrapTopAndBottom/>
            <wp:docPr id="15" name="image12.jpeg" descr=""/>
            <wp:cNvGraphicFramePr>
              <a:graphicFrameLocks noChangeAspect="1"/>
            </wp:cNvGraphicFramePr>
            <a:graphic>
              <a:graphicData uri="http://schemas.openxmlformats.org/drawingml/2006/picture">
                <pic:pic>
                  <pic:nvPicPr>
                    <pic:cNvPr id="16" name="image12.jpeg"/>
                    <pic:cNvPicPr/>
                  </pic:nvPicPr>
                  <pic:blipFill>
                    <a:blip r:embed="rId20" cstate="print"/>
                    <a:stretch>
                      <a:fillRect/>
                    </a:stretch>
                  </pic:blipFill>
                  <pic:spPr>
                    <a:xfrm>
                      <a:off x="0" y="0"/>
                      <a:ext cx="3762778" cy="1796795"/>
                    </a:xfrm>
                    <a:prstGeom prst="rect">
                      <a:avLst/>
                    </a:prstGeom>
                  </pic:spPr>
                </pic:pic>
              </a:graphicData>
            </a:graphic>
          </wp:anchor>
        </w:drawing>
      </w:r>
    </w:p>
    <w:p>
      <w:pPr>
        <w:pStyle w:val="BodyText"/>
        <w:spacing w:before="11"/>
        <w:rPr>
          <w:sz w:val="20"/>
        </w:rPr>
      </w:pPr>
    </w:p>
    <w:p>
      <w:pPr>
        <w:spacing w:before="0"/>
        <w:ind w:left="2954" w:right="0" w:firstLine="0"/>
        <w:jc w:val="left"/>
        <w:rPr>
          <w:i/>
          <w:sz w:val="14"/>
        </w:rPr>
      </w:pPr>
      <w:bookmarkStart w:name="_bookmark15" w:id="16"/>
      <w:bookmarkEnd w:id="16"/>
      <w:r>
        <w:rPr/>
      </w:r>
      <w:r>
        <w:rPr>
          <w:i/>
          <w:sz w:val="14"/>
        </w:rPr>
        <w:t>Figur 2.7: Den fysiske sammenhæng imellem Danmarks Adresser og den indendørs geografi</w:t>
      </w:r>
    </w:p>
    <w:p>
      <w:pPr>
        <w:pStyle w:val="BodyText"/>
        <w:spacing w:before="3"/>
        <w:rPr>
          <w:i/>
          <w:sz w:val="19"/>
        </w:rPr>
      </w:pPr>
    </w:p>
    <w:p>
      <w:pPr>
        <w:pStyle w:val="Heading4"/>
      </w:pPr>
      <w:r>
        <w:rPr/>
        <w:t>Sammenhæng til internationale standarder</w:t>
      </w:r>
    </w:p>
    <w:p>
      <w:pPr>
        <w:pStyle w:val="BodyText"/>
        <w:spacing w:line="278" w:lineRule="auto" w:before="34"/>
        <w:ind w:left="2649" w:right="1170"/>
        <w:jc w:val="both"/>
      </w:pPr>
      <w:r>
        <w:rPr/>
        <w:t>Der findes endnu ikke beskrevet en international standard for indendørs geografi. Derimod har Grunddataprogrammet sammenhæng til de internationale ISO-stan- darder, og ved at koble indendørs geografi til Grunddataprogrammet sikres sam- menhængen hertil.</w:t>
      </w: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560;mso-wrap-distance-left:0;mso-wrap-distance-right:0" from="181.490005pt,12.260733pt" to="325.510005pt,12.260733pt" stroked="true" strokeweight=".47998pt" strokecolor="#000000">
            <v:stroke dashstyle="solid"/>
            <w10:wrap type="topAndBottom"/>
          </v:line>
        </w:pict>
      </w:r>
    </w:p>
    <w:p>
      <w:pPr>
        <w:pStyle w:val="BodyText"/>
        <w:spacing w:before="4"/>
      </w:pPr>
    </w:p>
    <w:p>
      <w:pPr>
        <w:spacing w:before="101"/>
        <w:ind w:left="2649" w:right="1038" w:firstLine="0"/>
        <w:jc w:val="left"/>
        <w:rPr>
          <w:sz w:val="15"/>
        </w:rPr>
      </w:pPr>
      <w:r>
        <w:rPr>
          <w:position w:val="5"/>
          <w:sz w:val="10"/>
        </w:rPr>
        <w:t>12 </w:t>
      </w:r>
      <w:r>
        <w:rPr>
          <w:sz w:val="15"/>
        </w:rPr>
        <w:t>Et viderebearbejdning af konklusionerne fra rapporten: Foranalyse - Datamodel og specifi- kation for data til indendørs navigation og positionsbestemmelse, v. NIRAS</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94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Heading4"/>
        <w:spacing w:before="101"/>
      </w:pPr>
      <w:r>
        <w:rPr/>
        <w:t>Databaseinformationer fra BIM</w:t>
      </w:r>
    </w:p>
    <w:p>
      <w:pPr>
        <w:pStyle w:val="BodyText"/>
        <w:spacing w:line="278" w:lineRule="auto" w:before="33"/>
        <w:ind w:left="2649" w:right="1101"/>
      </w:pPr>
      <w:r>
        <w:rPr/>
        <w:drawing>
          <wp:anchor distT="0" distB="0" distL="0" distR="0" allowOverlap="1" layoutInCell="1" locked="0" behindDoc="1" simplePos="0" relativeHeight="268255535">
            <wp:simplePos x="0" y="0"/>
            <wp:positionH relativeFrom="page">
              <wp:posOffset>3362578</wp:posOffset>
            </wp:positionH>
            <wp:positionV relativeFrom="paragraph">
              <wp:posOffset>1217366</wp:posOffset>
            </wp:positionV>
            <wp:extent cx="2418461" cy="1339723"/>
            <wp:effectExtent l="0" t="0" r="0" b="0"/>
            <wp:wrapNone/>
            <wp:docPr id="17" name="image13.jpeg" descr=""/>
            <wp:cNvGraphicFramePr>
              <a:graphicFrameLocks noChangeAspect="1"/>
            </wp:cNvGraphicFramePr>
            <a:graphic>
              <a:graphicData uri="http://schemas.openxmlformats.org/drawingml/2006/picture">
                <pic:pic>
                  <pic:nvPicPr>
                    <pic:cNvPr id="18" name="image13.jpeg"/>
                    <pic:cNvPicPr/>
                  </pic:nvPicPr>
                  <pic:blipFill>
                    <a:blip r:embed="rId21" cstate="print"/>
                    <a:stretch>
                      <a:fillRect/>
                    </a:stretch>
                  </pic:blipFill>
                  <pic:spPr>
                    <a:xfrm>
                      <a:off x="0" y="0"/>
                      <a:ext cx="2418461" cy="1339723"/>
                    </a:xfrm>
                    <a:prstGeom prst="rect">
                      <a:avLst/>
                    </a:prstGeom>
                  </pic:spPr>
                </pic:pic>
              </a:graphicData>
            </a:graphic>
          </wp:anchor>
        </w:drawing>
      </w:r>
      <w:r>
        <w:rPr/>
        <w:t>Datamodellen tager sit udgangspunkt i GIS-baserede datamodeller, men de egen- skabsdata, som skal indgå i datamodellen, skal være til stede i de BIM modeller, hvorfra de fleste attributter skal hentes fra (eksempler på egenskaber for byg- ningsdele i IFC format kan ses på </w:t>
      </w:r>
      <w:hyperlink w:history="true" w:anchor="_bookmark16">
        <w:r>
          <w:rPr/>
          <w:t>Figur 2.8</w:t>
        </w:r>
      </w:hyperlink>
      <w:r>
        <w:rPr/>
        <w:t>). Dette kan ske f.eks. via IFC udveks- lingsformatet, som kræver en tilbageføring af unikke ID’er imellem BIM og GIS data. En datamodel i BIM indeholder i sin grundkerne en lang række egenskaber om bygningen og andre relevante data herom. I kontekst af en indendørs datain- frastruktur, vil kun enkelte data-elementer anvendes til en steddatabase.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50"/>
        <w:ind w:left="3749" w:right="0" w:firstLine="0"/>
        <w:jc w:val="left"/>
        <w:rPr>
          <w:i/>
          <w:sz w:val="14"/>
        </w:rPr>
      </w:pPr>
      <w:bookmarkStart w:name="_bookmark16" w:id="17"/>
      <w:bookmarkEnd w:id="17"/>
      <w:r>
        <w:rPr/>
      </w:r>
      <w:r>
        <w:rPr>
          <w:i/>
          <w:sz w:val="14"/>
        </w:rPr>
        <w:t>Figur 2.8: Eksempler på attributter fra en BIM model i IFC formaterne</w:t>
      </w:r>
    </w:p>
    <w:p>
      <w:pPr>
        <w:pStyle w:val="BodyText"/>
        <w:spacing w:before="5"/>
        <w:rPr>
          <w:i/>
          <w:sz w:val="19"/>
        </w:rPr>
      </w:pPr>
    </w:p>
    <w:p>
      <w:pPr>
        <w:pStyle w:val="Heading4"/>
        <w:spacing w:before="1"/>
      </w:pPr>
      <w:r>
        <w:rPr/>
        <w:t>Enkelthed og tværfaglige fagdomæner</w:t>
      </w:r>
    </w:p>
    <w:p>
      <w:pPr>
        <w:pStyle w:val="BodyText"/>
        <w:spacing w:line="278" w:lineRule="auto" w:before="33"/>
        <w:ind w:left="2649" w:right="1052"/>
      </w:pPr>
      <w:r>
        <w:rPr/>
        <w:t>Som udgangspunkt skal datamodellen være opbygget af relevante attributter for at sikre, at det kan anvendes på tværs af fagdomæner, og samtidig er nemt at op- bygge fyldestgørende datasæt for. Dermed kan sikres en omkostningseffektiv op- bygning af infrastruktur for indendørs</w:t>
      </w:r>
      <w:r>
        <w:rPr>
          <w:spacing w:val="-3"/>
        </w:rPr>
        <w:t> </w:t>
      </w:r>
      <w:r>
        <w:rPr/>
        <w:t>geografi.</w:t>
      </w:r>
    </w:p>
    <w:p>
      <w:pPr>
        <w:pStyle w:val="BodyText"/>
        <w:spacing w:before="9"/>
        <w:rPr>
          <w:sz w:val="21"/>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17" w:id="18"/>
      <w:bookmarkEnd w:id="18"/>
      <w:r>
        <w:rPr/>
        <w:t>Ud</w:t>
      </w:r>
      <w:r>
        <w:rPr/>
        <w:t>kast til tværgående</w:t>
      </w:r>
      <w:r>
        <w:rPr>
          <w:spacing w:val="-5"/>
        </w:rPr>
        <w:t> </w:t>
      </w:r>
      <w:r>
        <w:rPr/>
        <w:t>standardegenskaber</w:t>
      </w:r>
    </w:p>
    <w:p>
      <w:pPr>
        <w:pStyle w:val="BodyText"/>
        <w:spacing w:line="278" w:lineRule="auto" w:before="35"/>
        <w:ind w:left="2649" w:right="1116"/>
      </w:pPr>
      <w:r>
        <w:rPr/>
        <w:t>Den generaliserede datamodel for en national indendørs steddatabase indeholder en række felter, som er fælles og obligatoriske for alle domæner. Modellen inde- holder både system og database-genererede værdier, mens andre værdier kan forud defineres vha. f.eks. BIM. En færdig datamodel, for en given anvendelse, vil konceptuelt bestå af en generaliseret datamodel samt standardiserede felter i do- mænespecifikke datamodeller. I en tværgående standardiseret datamodel for en national steddatabase bør der registreres oplysninger om de egenskaber nævnt i</w:t>
      </w:r>
      <w:hyperlink w:history="true" w:anchor="_bookmark18">
        <w:r>
          <w:rPr/>
          <w:t> Tabel 2.1</w:t>
        </w:r>
      </w:hyperlink>
      <w:r>
        <w:rPr/>
        <w:t>.</w:t>
      </w:r>
    </w:p>
    <w:p>
      <w:pPr>
        <w:pStyle w:val="BodyText"/>
        <w:spacing w:before="7"/>
        <w:rPr>
          <w:sz w:val="18"/>
        </w:rPr>
      </w:pPr>
    </w:p>
    <w:tbl>
      <w:tblPr>
        <w:tblW w:w="0" w:type="auto"/>
        <w:jc w:val="left"/>
        <w:tblInd w:w="1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995"/>
        <w:gridCol w:w="1287"/>
        <w:gridCol w:w="1143"/>
        <w:gridCol w:w="1669"/>
        <w:gridCol w:w="3904"/>
      </w:tblGrid>
      <w:tr>
        <w:trPr>
          <w:trHeight w:val="412" w:hRule="atLeast"/>
        </w:trPr>
        <w:tc>
          <w:tcPr>
            <w:tcW w:w="1995" w:type="dxa"/>
            <w:tcBorders>
              <w:left w:val="nil"/>
            </w:tcBorders>
            <w:shd w:val="clear" w:color="auto" w:fill="2C647C"/>
          </w:tcPr>
          <w:p>
            <w:pPr>
              <w:pStyle w:val="TableParagraph"/>
              <w:spacing w:before="105"/>
              <w:ind w:left="103"/>
              <w:rPr>
                <w:b/>
                <w:sz w:val="17"/>
              </w:rPr>
            </w:pPr>
            <w:r>
              <w:rPr>
                <w:b/>
                <w:color w:val="FFFFFF"/>
                <w:sz w:val="17"/>
              </w:rPr>
              <w:t>Datatype</w:t>
            </w:r>
          </w:p>
        </w:tc>
        <w:tc>
          <w:tcPr>
            <w:tcW w:w="1287" w:type="dxa"/>
            <w:shd w:val="clear" w:color="auto" w:fill="2C647C"/>
          </w:tcPr>
          <w:p>
            <w:pPr>
              <w:pStyle w:val="TableParagraph"/>
              <w:spacing w:line="206" w:lineRule="exact" w:before="7"/>
              <w:ind w:left="102" w:right="263"/>
              <w:rPr>
                <w:b/>
                <w:sz w:val="17"/>
              </w:rPr>
            </w:pPr>
            <w:r>
              <w:rPr>
                <w:b/>
                <w:color w:val="FFFFFF"/>
                <w:sz w:val="17"/>
              </w:rPr>
              <w:t>Database variabel</w:t>
            </w:r>
          </w:p>
        </w:tc>
        <w:tc>
          <w:tcPr>
            <w:tcW w:w="1143" w:type="dxa"/>
            <w:tcBorders>
              <w:top w:val="nil"/>
              <w:bottom w:val="nil"/>
            </w:tcBorders>
            <w:shd w:val="clear" w:color="auto" w:fill="2C647C"/>
          </w:tcPr>
          <w:p>
            <w:pPr>
              <w:pStyle w:val="TableParagraph"/>
              <w:spacing w:before="105"/>
              <w:ind w:left="102"/>
              <w:rPr>
                <w:b/>
                <w:sz w:val="17"/>
              </w:rPr>
            </w:pPr>
            <w:r>
              <w:rPr>
                <w:b/>
                <w:color w:val="FFFFFF"/>
                <w:sz w:val="17"/>
              </w:rPr>
              <w:t>Datatype</w:t>
            </w:r>
          </w:p>
        </w:tc>
        <w:tc>
          <w:tcPr>
            <w:tcW w:w="1669" w:type="dxa"/>
            <w:tcBorders>
              <w:top w:val="nil"/>
              <w:bottom w:val="nil"/>
            </w:tcBorders>
            <w:shd w:val="clear" w:color="auto" w:fill="2C647C"/>
          </w:tcPr>
          <w:p>
            <w:pPr>
              <w:pStyle w:val="TableParagraph"/>
              <w:spacing w:before="105"/>
              <w:ind w:left="102"/>
              <w:rPr>
                <w:b/>
                <w:sz w:val="17"/>
              </w:rPr>
            </w:pPr>
            <w:r>
              <w:rPr>
                <w:b/>
                <w:color w:val="FFFFFF"/>
                <w:sz w:val="17"/>
              </w:rPr>
              <w:t>Værdisæt</w:t>
            </w:r>
          </w:p>
        </w:tc>
        <w:tc>
          <w:tcPr>
            <w:tcW w:w="3904" w:type="dxa"/>
            <w:tcBorders>
              <w:top w:val="nil"/>
              <w:bottom w:val="nil"/>
              <w:right w:val="nil"/>
            </w:tcBorders>
            <w:shd w:val="clear" w:color="auto" w:fill="2C647C"/>
          </w:tcPr>
          <w:p>
            <w:pPr>
              <w:pStyle w:val="TableParagraph"/>
              <w:spacing w:before="105"/>
              <w:ind w:left="101"/>
              <w:rPr>
                <w:b/>
                <w:sz w:val="17"/>
              </w:rPr>
            </w:pPr>
            <w:r>
              <w:rPr>
                <w:b/>
                <w:color w:val="FFFFFF"/>
                <w:sz w:val="17"/>
              </w:rPr>
              <w:t>Beskrivelse</w:t>
            </w:r>
          </w:p>
        </w:tc>
      </w:tr>
      <w:tr>
        <w:trPr>
          <w:trHeight w:val="614" w:hRule="atLeast"/>
        </w:trPr>
        <w:tc>
          <w:tcPr>
            <w:tcW w:w="1995" w:type="dxa"/>
            <w:tcBorders>
              <w:left w:val="nil"/>
            </w:tcBorders>
            <w:shd w:val="clear" w:color="auto" w:fill="C8E9E6"/>
          </w:tcPr>
          <w:p>
            <w:pPr>
              <w:pStyle w:val="TableParagraph"/>
              <w:spacing w:before="9"/>
              <w:rPr>
                <w:sz w:val="16"/>
              </w:rPr>
            </w:pPr>
          </w:p>
          <w:p>
            <w:pPr>
              <w:pStyle w:val="TableParagraph"/>
              <w:ind w:left="103"/>
              <w:rPr>
                <w:b/>
                <w:sz w:val="17"/>
              </w:rPr>
            </w:pPr>
            <w:r>
              <w:rPr>
                <w:b/>
                <w:sz w:val="17"/>
              </w:rPr>
              <w:t>Rum ID</w:t>
            </w:r>
          </w:p>
        </w:tc>
        <w:tc>
          <w:tcPr>
            <w:tcW w:w="1287" w:type="dxa"/>
            <w:shd w:val="clear" w:color="auto" w:fill="C8E9E6"/>
          </w:tcPr>
          <w:p>
            <w:pPr>
              <w:pStyle w:val="TableParagraph"/>
              <w:spacing w:before="9"/>
              <w:rPr>
                <w:sz w:val="16"/>
              </w:rPr>
            </w:pPr>
          </w:p>
          <w:p>
            <w:pPr>
              <w:pStyle w:val="TableParagraph"/>
              <w:ind w:left="102"/>
              <w:rPr>
                <w:sz w:val="17"/>
              </w:rPr>
            </w:pPr>
            <w:r>
              <w:rPr>
                <w:sz w:val="17"/>
              </w:rPr>
              <w:t>rum_id</w:t>
            </w:r>
          </w:p>
        </w:tc>
        <w:tc>
          <w:tcPr>
            <w:tcW w:w="1143" w:type="dxa"/>
            <w:tcBorders>
              <w:top w:val="nil"/>
              <w:bottom w:val="nil"/>
            </w:tcBorders>
            <w:shd w:val="clear" w:color="auto" w:fill="C8E9E6"/>
          </w:tcPr>
          <w:p>
            <w:pPr>
              <w:pStyle w:val="TableParagraph"/>
              <w:spacing w:before="9"/>
              <w:rPr>
                <w:sz w:val="16"/>
              </w:rPr>
            </w:pPr>
          </w:p>
          <w:p>
            <w:pPr>
              <w:pStyle w:val="TableParagraph"/>
              <w:ind w:left="102"/>
              <w:rPr>
                <w:sz w:val="17"/>
              </w:rPr>
            </w:pPr>
            <w:r>
              <w:rPr>
                <w:sz w:val="17"/>
              </w:rPr>
              <w:t>URI</w:t>
            </w:r>
          </w:p>
        </w:tc>
        <w:tc>
          <w:tcPr>
            <w:tcW w:w="1669" w:type="dxa"/>
            <w:tcBorders>
              <w:top w:val="nil"/>
              <w:bottom w:val="nil"/>
            </w:tcBorders>
            <w:shd w:val="clear" w:color="auto" w:fill="C8E9E6"/>
          </w:tcPr>
          <w:p>
            <w:pPr>
              <w:pStyle w:val="TableParagraph"/>
              <w:spacing w:before="100"/>
              <w:ind w:left="102" w:right="236"/>
              <w:rPr>
                <w:sz w:val="17"/>
              </w:rPr>
            </w:pPr>
            <w:r>
              <w:rPr>
                <w:sz w:val="17"/>
              </w:rPr>
              <w:t>Unik identifika- tion</w:t>
            </w:r>
          </w:p>
        </w:tc>
        <w:tc>
          <w:tcPr>
            <w:tcW w:w="3904" w:type="dxa"/>
            <w:tcBorders>
              <w:top w:val="nil"/>
              <w:bottom w:val="nil"/>
              <w:right w:val="nil"/>
            </w:tcBorders>
            <w:shd w:val="clear" w:color="auto" w:fill="C8E9E6"/>
          </w:tcPr>
          <w:p>
            <w:pPr>
              <w:pStyle w:val="TableParagraph"/>
              <w:spacing w:line="202" w:lineRule="exact"/>
              <w:ind w:left="101"/>
              <w:rPr>
                <w:sz w:val="17"/>
              </w:rPr>
            </w:pPr>
            <w:r>
              <w:rPr>
                <w:sz w:val="17"/>
              </w:rPr>
              <w:t>Unikt identifikation af rummet, kodificeres</w:t>
            </w:r>
          </w:p>
          <w:p>
            <w:pPr>
              <w:pStyle w:val="TableParagraph"/>
              <w:spacing w:line="200" w:lineRule="atLeast" w:before="2"/>
              <w:ind w:left="101" w:right="436"/>
              <w:rPr>
                <w:sz w:val="17"/>
              </w:rPr>
            </w:pPr>
            <w:r>
              <w:rPr>
                <w:sz w:val="17"/>
              </w:rPr>
              <w:t>ved hjælp af rumcentroiderne. Vil også fungere som nøglen i data.</w:t>
            </w:r>
          </w:p>
        </w:tc>
      </w:tr>
      <w:tr>
        <w:trPr>
          <w:trHeight w:val="616" w:hRule="atLeast"/>
        </w:trPr>
        <w:tc>
          <w:tcPr>
            <w:tcW w:w="1995" w:type="dxa"/>
            <w:tcBorders>
              <w:left w:val="nil"/>
            </w:tcBorders>
            <w:shd w:val="clear" w:color="auto" w:fill="E2F3F0"/>
          </w:tcPr>
          <w:p>
            <w:pPr>
              <w:pStyle w:val="TableParagraph"/>
              <w:spacing w:before="11"/>
              <w:rPr>
                <w:sz w:val="16"/>
              </w:rPr>
            </w:pPr>
          </w:p>
          <w:p>
            <w:pPr>
              <w:pStyle w:val="TableParagraph"/>
              <w:spacing w:before="1"/>
              <w:ind w:left="103"/>
              <w:rPr>
                <w:b/>
                <w:sz w:val="17"/>
              </w:rPr>
            </w:pPr>
            <w:r>
              <w:rPr>
                <w:b/>
                <w:sz w:val="17"/>
              </w:rPr>
              <w:t>Zone ID</w:t>
            </w:r>
          </w:p>
        </w:tc>
        <w:tc>
          <w:tcPr>
            <w:tcW w:w="1287" w:type="dxa"/>
            <w:shd w:val="clear" w:color="auto" w:fill="E2F3F0"/>
          </w:tcPr>
          <w:p>
            <w:pPr>
              <w:pStyle w:val="TableParagraph"/>
              <w:spacing w:before="11"/>
              <w:rPr>
                <w:sz w:val="16"/>
              </w:rPr>
            </w:pPr>
          </w:p>
          <w:p>
            <w:pPr>
              <w:pStyle w:val="TableParagraph"/>
              <w:spacing w:before="1"/>
              <w:ind w:left="102"/>
              <w:rPr>
                <w:sz w:val="17"/>
              </w:rPr>
            </w:pPr>
            <w:r>
              <w:rPr>
                <w:sz w:val="17"/>
              </w:rPr>
              <w:t>zone_id</w:t>
            </w:r>
          </w:p>
        </w:tc>
        <w:tc>
          <w:tcPr>
            <w:tcW w:w="1143" w:type="dxa"/>
            <w:tcBorders>
              <w:top w:val="nil"/>
              <w:bottom w:val="nil"/>
            </w:tcBorders>
            <w:shd w:val="clear" w:color="auto" w:fill="E2F3F0"/>
          </w:tcPr>
          <w:p>
            <w:pPr>
              <w:pStyle w:val="TableParagraph"/>
              <w:spacing w:before="11"/>
              <w:rPr>
                <w:sz w:val="16"/>
              </w:rPr>
            </w:pPr>
          </w:p>
          <w:p>
            <w:pPr>
              <w:pStyle w:val="TableParagraph"/>
              <w:spacing w:before="1"/>
              <w:ind w:left="102"/>
              <w:rPr>
                <w:sz w:val="17"/>
              </w:rPr>
            </w:pPr>
            <w:r>
              <w:rPr>
                <w:sz w:val="17"/>
              </w:rPr>
              <w:t>Tekst</w:t>
            </w:r>
          </w:p>
        </w:tc>
        <w:tc>
          <w:tcPr>
            <w:tcW w:w="1669" w:type="dxa"/>
            <w:tcBorders>
              <w:top w:val="nil"/>
              <w:bottom w:val="nil"/>
            </w:tcBorders>
            <w:shd w:val="clear" w:color="auto" w:fill="E2F3F0"/>
          </w:tcPr>
          <w:p>
            <w:pPr>
              <w:pStyle w:val="TableParagraph"/>
              <w:spacing w:before="11"/>
              <w:rPr>
                <w:sz w:val="16"/>
              </w:rPr>
            </w:pPr>
          </w:p>
          <w:p>
            <w:pPr>
              <w:pStyle w:val="TableParagraph"/>
              <w:spacing w:before="1"/>
              <w:ind w:left="102"/>
              <w:rPr>
                <w:sz w:val="17"/>
              </w:rPr>
            </w:pPr>
            <w:r>
              <w:rPr>
                <w:sz w:val="17"/>
              </w:rPr>
              <w:t>Fritekst</w:t>
            </w:r>
          </w:p>
        </w:tc>
        <w:tc>
          <w:tcPr>
            <w:tcW w:w="3904" w:type="dxa"/>
            <w:tcBorders>
              <w:top w:val="nil"/>
              <w:bottom w:val="nil"/>
              <w:right w:val="nil"/>
            </w:tcBorders>
            <w:shd w:val="clear" w:color="auto" w:fill="E2F3F0"/>
          </w:tcPr>
          <w:p>
            <w:pPr>
              <w:pStyle w:val="TableParagraph"/>
              <w:spacing w:line="206" w:lineRule="exact" w:before="6"/>
              <w:ind w:left="101" w:right="155"/>
              <w:jc w:val="both"/>
              <w:rPr>
                <w:sz w:val="17"/>
              </w:rPr>
            </w:pPr>
            <w:r>
              <w:rPr>
                <w:sz w:val="17"/>
              </w:rPr>
              <w:t>Identifikation af den fællesmængde af zo- ner som registreringen tilhører. F.eks. for- syningszonen i en bygning.</w:t>
            </w:r>
          </w:p>
        </w:tc>
      </w:tr>
      <w:tr>
        <w:trPr>
          <w:trHeight w:val="614" w:hRule="atLeast"/>
        </w:trPr>
        <w:tc>
          <w:tcPr>
            <w:tcW w:w="1995" w:type="dxa"/>
            <w:tcBorders>
              <w:left w:val="nil"/>
            </w:tcBorders>
            <w:shd w:val="clear" w:color="auto" w:fill="C8E9E6"/>
          </w:tcPr>
          <w:p>
            <w:pPr>
              <w:pStyle w:val="TableParagraph"/>
              <w:spacing w:before="6"/>
              <w:rPr>
                <w:sz w:val="16"/>
              </w:rPr>
            </w:pPr>
          </w:p>
          <w:p>
            <w:pPr>
              <w:pStyle w:val="TableParagraph"/>
              <w:ind w:left="103"/>
              <w:rPr>
                <w:b/>
                <w:sz w:val="17"/>
              </w:rPr>
            </w:pPr>
            <w:r>
              <w:rPr>
                <w:b/>
                <w:sz w:val="17"/>
              </w:rPr>
              <w:t>Lokalt rum ID</w:t>
            </w:r>
          </w:p>
        </w:tc>
        <w:tc>
          <w:tcPr>
            <w:tcW w:w="1287" w:type="dxa"/>
            <w:shd w:val="clear" w:color="auto" w:fill="C8E9E6"/>
          </w:tcPr>
          <w:p>
            <w:pPr>
              <w:pStyle w:val="TableParagraph"/>
              <w:spacing w:before="6"/>
              <w:rPr>
                <w:sz w:val="16"/>
              </w:rPr>
            </w:pPr>
          </w:p>
          <w:p>
            <w:pPr>
              <w:pStyle w:val="TableParagraph"/>
              <w:ind w:left="102"/>
              <w:rPr>
                <w:sz w:val="17"/>
              </w:rPr>
            </w:pPr>
            <w:r>
              <w:rPr>
                <w:sz w:val="17"/>
              </w:rPr>
              <w:t>lokal_id</w:t>
            </w:r>
          </w:p>
        </w:tc>
        <w:tc>
          <w:tcPr>
            <w:tcW w:w="1143" w:type="dxa"/>
            <w:tcBorders>
              <w:top w:val="nil"/>
              <w:bottom w:val="nil"/>
            </w:tcBorders>
            <w:shd w:val="clear" w:color="auto" w:fill="C8E9E6"/>
          </w:tcPr>
          <w:p>
            <w:pPr>
              <w:pStyle w:val="TableParagraph"/>
              <w:spacing w:before="6"/>
              <w:rPr>
                <w:sz w:val="16"/>
              </w:rPr>
            </w:pPr>
          </w:p>
          <w:p>
            <w:pPr>
              <w:pStyle w:val="TableParagraph"/>
              <w:ind w:left="102"/>
              <w:rPr>
                <w:sz w:val="17"/>
              </w:rPr>
            </w:pPr>
            <w:r>
              <w:rPr>
                <w:sz w:val="17"/>
              </w:rPr>
              <w:t>Tekst</w:t>
            </w:r>
          </w:p>
        </w:tc>
        <w:tc>
          <w:tcPr>
            <w:tcW w:w="1669" w:type="dxa"/>
            <w:tcBorders>
              <w:top w:val="nil"/>
              <w:bottom w:val="nil"/>
            </w:tcBorders>
            <w:shd w:val="clear" w:color="auto" w:fill="C8E9E6"/>
          </w:tcPr>
          <w:p>
            <w:pPr>
              <w:pStyle w:val="TableParagraph"/>
              <w:spacing w:before="6"/>
              <w:rPr>
                <w:sz w:val="16"/>
              </w:rPr>
            </w:pPr>
          </w:p>
          <w:p>
            <w:pPr>
              <w:pStyle w:val="TableParagraph"/>
              <w:ind w:left="102"/>
              <w:rPr>
                <w:sz w:val="17"/>
              </w:rPr>
            </w:pPr>
            <w:r>
              <w:rPr>
                <w:sz w:val="17"/>
              </w:rPr>
              <w:t>Fritekst</w:t>
            </w:r>
          </w:p>
        </w:tc>
        <w:tc>
          <w:tcPr>
            <w:tcW w:w="3904" w:type="dxa"/>
            <w:tcBorders>
              <w:top w:val="nil"/>
              <w:bottom w:val="nil"/>
              <w:right w:val="nil"/>
            </w:tcBorders>
            <w:shd w:val="clear" w:color="auto" w:fill="C8E9E6"/>
          </w:tcPr>
          <w:p>
            <w:pPr>
              <w:pStyle w:val="TableParagraph"/>
              <w:ind w:left="101" w:right="124"/>
              <w:rPr>
                <w:sz w:val="17"/>
              </w:rPr>
            </w:pPr>
            <w:r>
              <w:rPr>
                <w:sz w:val="17"/>
              </w:rPr>
              <w:t>Angivelse af den lokale identifikation eller nummerering af rum. Der bør være mulig-</w:t>
            </w:r>
          </w:p>
          <w:p>
            <w:pPr>
              <w:pStyle w:val="TableParagraph"/>
              <w:spacing w:line="184" w:lineRule="exact"/>
              <w:ind w:left="101"/>
              <w:rPr>
                <w:sz w:val="17"/>
              </w:rPr>
            </w:pPr>
            <w:r>
              <w:rPr>
                <w:sz w:val="17"/>
              </w:rPr>
              <w:t>hed for at tilknytte flere lokale ID’er.</w:t>
            </w:r>
          </w:p>
        </w:tc>
      </w:tr>
      <w:tr>
        <w:trPr>
          <w:trHeight w:val="412" w:hRule="atLeast"/>
        </w:trPr>
        <w:tc>
          <w:tcPr>
            <w:tcW w:w="1995" w:type="dxa"/>
            <w:tcBorders>
              <w:left w:val="nil"/>
            </w:tcBorders>
            <w:shd w:val="clear" w:color="auto" w:fill="E2F3F0"/>
          </w:tcPr>
          <w:p>
            <w:pPr>
              <w:pStyle w:val="TableParagraph"/>
              <w:spacing w:before="105"/>
              <w:ind w:left="103"/>
              <w:rPr>
                <w:b/>
                <w:sz w:val="17"/>
              </w:rPr>
            </w:pPr>
            <w:r>
              <w:rPr>
                <w:b/>
                <w:sz w:val="17"/>
              </w:rPr>
              <w:t>Oprindelse</w:t>
            </w:r>
          </w:p>
        </w:tc>
        <w:tc>
          <w:tcPr>
            <w:tcW w:w="1287" w:type="dxa"/>
            <w:shd w:val="clear" w:color="auto" w:fill="E2F3F0"/>
          </w:tcPr>
          <w:p>
            <w:pPr>
              <w:pStyle w:val="TableParagraph"/>
              <w:spacing w:before="105"/>
              <w:ind w:left="102"/>
              <w:rPr>
                <w:sz w:val="17"/>
              </w:rPr>
            </w:pPr>
            <w:r>
              <w:rPr>
                <w:sz w:val="17"/>
              </w:rPr>
              <w:t>oprindelse</w:t>
            </w:r>
          </w:p>
        </w:tc>
        <w:tc>
          <w:tcPr>
            <w:tcW w:w="1143" w:type="dxa"/>
            <w:tcBorders>
              <w:top w:val="nil"/>
              <w:bottom w:val="nil"/>
            </w:tcBorders>
            <w:shd w:val="clear" w:color="auto" w:fill="E2F3F0"/>
          </w:tcPr>
          <w:p>
            <w:pPr>
              <w:pStyle w:val="TableParagraph"/>
              <w:spacing w:before="105"/>
              <w:ind w:left="102"/>
              <w:rPr>
                <w:sz w:val="17"/>
              </w:rPr>
            </w:pPr>
            <w:r>
              <w:rPr>
                <w:sz w:val="17"/>
              </w:rPr>
              <w:t>Tekst</w:t>
            </w:r>
          </w:p>
        </w:tc>
        <w:tc>
          <w:tcPr>
            <w:tcW w:w="1669" w:type="dxa"/>
            <w:tcBorders>
              <w:top w:val="nil"/>
              <w:bottom w:val="nil"/>
            </w:tcBorders>
            <w:shd w:val="clear" w:color="auto" w:fill="E2F3F0"/>
          </w:tcPr>
          <w:p>
            <w:pPr>
              <w:pStyle w:val="TableParagraph"/>
              <w:spacing w:line="206" w:lineRule="exact" w:before="7"/>
              <w:ind w:left="102" w:right="117"/>
              <w:rPr>
                <w:sz w:val="17"/>
              </w:rPr>
            </w:pPr>
            <w:r>
              <w:rPr>
                <w:sz w:val="17"/>
              </w:rPr>
              <w:t>Kodeliste for op- rindelsestyper</w:t>
            </w:r>
          </w:p>
        </w:tc>
        <w:tc>
          <w:tcPr>
            <w:tcW w:w="3904" w:type="dxa"/>
            <w:tcBorders>
              <w:top w:val="nil"/>
              <w:bottom w:val="nil"/>
              <w:right w:val="nil"/>
            </w:tcBorders>
            <w:shd w:val="clear" w:color="auto" w:fill="E2F3F0"/>
          </w:tcPr>
          <w:p>
            <w:pPr>
              <w:pStyle w:val="TableParagraph"/>
              <w:spacing w:line="206" w:lineRule="exact" w:before="7"/>
              <w:ind w:left="101" w:right="395"/>
              <w:rPr>
                <w:sz w:val="17"/>
              </w:rPr>
            </w:pPr>
            <w:r>
              <w:rPr>
                <w:sz w:val="17"/>
              </w:rPr>
              <w:t>Med kilde menes en beskrivelse af hvor data stammer fra.</w:t>
            </w:r>
          </w:p>
        </w:tc>
      </w:tr>
      <w:tr>
        <w:trPr>
          <w:trHeight w:val="405" w:hRule="atLeast"/>
        </w:trPr>
        <w:tc>
          <w:tcPr>
            <w:tcW w:w="1995" w:type="dxa"/>
            <w:tcBorders>
              <w:left w:val="nil"/>
            </w:tcBorders>
            <w:shd w:val="clear" w:color="auto" w:fill="C8E9E6"/>
          </w:tcPr>
          <w:p>
            <w:pPr>
              <w:pStyle w:val="TableParagraph"/>
              <w:spacing w:before="98"/>
              <w:ind w:left="103"/>
              <w:rPr>
                <w:b/>
                <w:sz w:val="17"/>
              </w:rPr>
            </w:pPr>
            <w:r>
              <w:rPr>
                <w:b/>
                <w:sz w:val="17"/>
              </w:rPr>
              <w:t>Dataejer</w:t>
            </w:r>
          </w:p>
        </w:tc>
        <w:tc>
          <w:tcPr>
            <w:tcW w:w="1287" w:type="dxa"/>
            <w:shd w:val="clear" w:color="auto" w:fill="C8E9E6"/>
          </w:tcPr>
          <w:p>
            <w:pPr>
              <w:pStyle w:val="TableParagraph"/>
              <w:spacing w:before="98"/>
              <w:ind w:left="102"/>
              <w:rPr>
                <w:sz w:val="17"/>
              </w:rPr>
            </w:pPr>
            <w:r>
              <w:rPr>
                <w:sz w:val="17"/>
              </w:rPr>
              <w:t>ejer</w:t>
            </w:r>
          </w:p>
        </w:tc>
        <w:tc>
          <w:tcPr>
            <w:tcW w:w="1143" w:type="dxa"/>
            <w:tcBorders>
              <w:top w:val="nil"/>
              <w:bottom w:val="nil"/>
            </w:tcBorders>
            <w:shd w:val="clear" w:color="auto" w:fill="C8E9E6"/>
          </w:tcPr>
          <w:p>
            <w:pPr>
              <w:pStyle w:val="TableParagraph"/>
              <w:spacing w:before="98"/>
              <w:ind w:left="102"/>
              <w:rPr>
                <w:sz w:val="17"/>
              </w:rPr>
            </w:pPr>
            <w:r>
              <w:rPr>
                <w:sz w:val="17"/>
              </w:rPr>
              <w:t>Tekst</w:t>
            </w:r>
          </w:p>
        </w:tc>
        <w:tc>
          <w:tcPr>
            <w:tcW w:w="1669" w:type="dxa"/>
            <w:tcBorders>
              <w:top w:val="nil"/>
              <w:bottom w:val="nil"/>
            </w:tcBorders>
            <w:shd w:val="clear" w:color="auto" w:fill="C8E9E6"/>
          </w:tcPr>
          <w:p>
            <w:pPr>
              <w:pStyle w:val="TableParagraph"/>
              <w:spacing w:before="98"/>
              <w:ind w:left="102"/>
              <w:rPr>
                <w:sz w:val="17"/>
              </w:rPr>
            </w:pPr>
            <w:r>
              <w:rPr>
                <w:sz w:val="17"/>
              </w:rPr>
              <w:t>Fritekst</w:t>
            </w:r>
          </w:p>
        </w:tc>
        <w:tc>
          <w:tcPr>
            <w:tcW w:w="3904" w:type="dxa"/>
            <w:tcBorders>
              <w:top w:val="nil"/>
              <w:bottom w:val="nil"/>
              <w:right w:val="nil"/>
            </w:tcBorders>
            <w:shd w:val="clear" w:color="auto" w:fill="C8E9E6"/>
          </w:tcPr>
          <w:p>
            <w:pPr>
              <w:pStyle w:val="TableParagraph"/>
              <w:spacing w:line="206" w:lineRule="exact" w:before="1"/>
              <w:ind w:left="101" w:right="368"/>
              <w:rPr>
                <w:sz w:val="17"/>
              </w:rPr>
            </w:pPr>
            <w:r>
              <w:rPr>
                <w:sz w:val="17"/>
              </w:rPr>
              <w:t>Fritekstfelt som angiver ejerforholdet til data, fx ”Frederiksberg forsyning”</w:t>
            </w:r>
          </w:p>
        </w:tc>
      </w:tr>
      <w:tr>
        <w:trPr>
          <w:trHeight w:val="407" w:hRule="atLeast"/>
        </w:trPr>
        <w:tc>
          <w:tcPr>
            <w:tcW w:w="1995" w:type="dxa"/>
            <w:tcBorders>
              <w:left w:val="nil"/>
            </w:tcBorders>
            <w:shd w:val="clear" w:color="auto" w:fill="E2F3F0"/>
          </w:tcPr>
          <w:p>
            <w:pPr>
              <w:pStyle w:val="TableParagraph"/>
              <w:spacing w:before="97"/>
              <w:ind w:left="103"/>
              <w:rPr>
                <w:b/>
                <w:sz w:val="17"/>
              </w:rPr>
            </w:pPr>
            <w:r>
              <w:rPr>
                <w:b/>
                <w:sz w:val="17"/>
              </w:rPr>
              <w:t>Oprettelsestid</w:t>
            </w:r>
          </w:p>
        </w:tc>
        <w:tc>
          <w:tcPr>
            <w:tcW w:w="1287" w:type="dxa"/>
            <w:shd w:val="clear" w:color="auto" w:fill="E2F3F0"/>
          </w:tcPr>
          <w:p>
            <w:pPr>
              <w:pStyle w:val="TableParagraph"/>
              <w:spacing w:before="97"/>
              <w:ind w:left="102"/>
              <w:rPr>
                <w:sz w:val="17"/>
              </w:rPr>
            </w:pPr>
            <w:r>
              <w:rPr>
                <w:sz w:val="17"/>
              </w:rPr>
              <w:t>opret_time</w:t>
            </w:r>
          </w:p>
        </w:tc>
        <w:tc>
          <w:tcPr>
            <w:tcW w:w="1143" w:type="dxa"/>
            <w:tcBorders>
              <w:top w:val="nil"/>
              <w:bottom w:val="nil"/>
            </w:tcBorders>
            <w:shd w:val="clear" w:color="auto" w:fill="E2F3F0"/>
          </w:tcPr>
          <w:p>
            <w:pPr>
              <w:pStyle w:val="TableParagraph"/>
              <w:spacing w:before="97"/>
              <w:ind w:left="102"/>
              <w:rPr>
                <w:sz w:val="17"/>
              </w:rPr>
            </w:pPr>
            <w:r>
              <w:rPr>
                <w:sz w:val="17"/>
              </w:rPr>
              <w:t>ISO date</w:t>
            </w:r>
          </w:p>
        </w:tc>
        <w:tc>
          <w:tcPr>
            <w:tcW w:w="1669" w:type="dxa"/>
            <w:tcBorders>
              <w:top w:val="nil"/>
              <w:bottom w:val="nil"/>
            </w:tcBorders>
            <w:shd w:val="clear" w:color="auto" w:fill="E2F3F0"/>
          </w:tcPr>
          <w:p>
            <w:pPr>
              <w:pStyle w:val="TableParagraph"/>
              <w:spacing w:before="97"/>
              <w:ind w:left="102"/>
              <w:rPr>
                <w:sz w:val="17"/>
              </w:rPr>
            </w:pPr>
            <w:r>
              <w:rPr>
                <w:sz w:val="17"/>
              </w:rPr>
              <w:t>Tid</w:t>
            </w:r>
          </w:p>
        </w:tc>
        <w:tc>
          <w:tcPr>
            <w:tcW w:w="3904" w:type="dxa"/>
            <w:tcBorders>
              <w:top w:val="nil"/>
              <w:bottom w:val="nil"/>
              <w:right w:val="nil"/>
            </w:tcBorders>
            <w:shd w:val="clear" w:color="auto" w:fill="E2F3F0"/>
          </w:tcPr>
          <w:p>
            <w:pPr>
              <w:pStyle w:val="TableParagraph"/>
              <w:spacing w:line="201" w:lineRule="exact"/>
              <w:ind w:left="101"/>
              <w:rPr>
                <w:sz w:val="17"/>
              </w:rPr>
            </w:pPr>
            <w:r>
              <w:rPr>
                <w:sz w:val="17"/>
              </w:rPr>
              <w:t>Perioden for oprettelse af rummet, typisk i</w:t>
            </w:r>
          </w:p>
          <w:p>
            <w:pPr>
              <w:pStyle w:val="TableParagraph"/>
              <w:spacing w:line="184" w:lineRule="exact" w:before="2"/>
              <w:ind w:left="101"/>
              <w:rPr>
                <w:sz w:val="17"/>
              </w:rPr>
            </w:pPr>
            <w:r>
              <w:rPr>
                <w:sz w:val="17"/>
              </w:rPr>
              <w:t>formatet ”yyyy-mm-dd:mm”</w:t>
            </w:r>
          </w:p>
        </w:tc>
      </w:tr>
      <w:tr>
        <w:trPr>
          <w:trHeight w:val="412" w:hRule="atLeast"/>
        </w:trPr>
        <w:tc>
          <w:tcPr>
            <w:tcW w:w="1995" w:type="dxa"/>
            <w:tcBorders>
              <w:left w:val="nil"/>
            </w:tcBorders>
            <w:shd w:val="clear" w:color="auto" w:fill="C8E9E6"/>
          </w:tcPr>
          <w:p>
            <w:pPr>
              <w:pStyle w:val="TableParagraph"/>
              <w:spacing w:before="105"/>
              <w:ind w:left="103"/>
              <w:rPr>
                <w:b/>
                <w:sz w:val="17"/>
              </w:rPr>
            </w:pPr>
            <w:r>
              <w:rPr>
                <w:b/>
                <w:sz w:val="17"/>
              </w:rPr>
              <w:t>Revisionstid</w:t>
            </w:r>
          </w:p>
        </w:tc>
        <w:tc>
          <w:tcPr>
            <w:tcW w:w="1287" w:type="dxa"/>
            <w:shd w:val="clear" w:color="auto" w:fill="C8E9E6"/>
          </w:tcPr>
          <w:p>
            <w:pPr>
              <w:pStyle w:val="TableParagraph"/>
              <w:spacing w:before="105"/>
              <w:ind w:left="102"/>
              <w:rPr>
                <w:sz w:val="17"/>
              </w:rPr>
            </w:pPr>
            <w:r>
              <w:rPr>
                <w:sz w:val="17"/>
              </w:rPr>
              <w:t>rev_time</w:t>
            </w:r>
          </w:p>
        </w:tc>
        <w:tc>
          <w:tcPr>
            <w:tcW w:w="1143" w:type="dxa"/>
            <w:tcBorders>
              <w:top w:val="nil"/>
              <w:bottom w:val="nil"/>
            </w:tcBorders>
            <w:shd w:val="clear" w:color="auto" w:fill="C8E9E6"/>
          </w:tcPr>
          <w:p>
            <w:pPr>
              <w:pStyle w:val="TableParagraph"/>
              <w:spacing w:before="105"/>
              <w:ind w:left="102"/>
              <w:rPr>
                <w:sz w:val="17"/>
              </w:rPr>
            </w:pPr>
            <w:r>
              <w:rPr>
                <w:sz w:val="17"/>
              </w:rPr>
              <w:t>ISO date</w:t>
            </w:r>
          </w:p>
        </w:tc>
        <w:tc>
          <w:tcPr>
            <w:tcW w:w="1669" w:type="dxa"/>
            <w:tcBorders>
              <w:top w:val="nil"/>
              <w:bottom w:val="nil"/>
            </w:tcBorders>
            <w:shd w:val="clear" w:color="auto" w:fill="C8E9E6"/>
          </w:tcPr>
          <w:p>
            <w:pPr>
              <w:pStyle w:val="TableParagraph"/>
              <w:spacing w:before="105"/>
              <w:ind w:left="102"/>
              <w:rPr>
                <w:sz w:val="17"/>
              </w:rPr>
            </w:pPr>
            <w:r>
              <w:rPr>
                <w:sz w:val="17"/>
              </w:rPr>
              <w:t>Tid</w:t>
            </w:r>
          </w:p>
        </w:tc>
        <w:tc>
          <w:tcPr>
            <w:tcW w:w="3904" w:type="dxa"/>
            <w:tcBorders>
              <w:top w:val="nil"/>
              <w:bottom w:val="nil"/>
              <w:right w:val="nil"/>
            </w:tcBorders>
            <w:shd w:val="clear" w:color="auto" w:fill="C8E9E6"/>
          </w:tcPr>
          <w:p>
            <w:pPr>
              <w:pStyle w:val="TableParagraph"/>
              <w:spacing w:line="206" w:lineRule="exact" w:before="7"/>
              <w:ind w:left="101" w:right="130"/>
              <w:rPr>
                <w:sz w:val="17"/>
              </w:rPr>
            </w:pPr>
            <w:r>
              <w:rPr>
                <w:sz w:val="17"/>
              </w:rPr>
              <w:t>Perioden for sidste revision af rummet, ty- pisk i formatet ”yyyy-mm-dd:mm”</w:t>
            </w:r>
          </w:p>
        </w:tc>
      </w:tr>
      <w:tr>
        <w:trPr>
          <w:trHeight w:val="405" w:hRule="atLeast"/>
        </w:trPr>
        <w:tc>
          <w:tcPr>
            <w:tcW w:w="1995" w:type="dxa"/>
            <w:tcBorders>
              <w:left w:val="nil"/>
            </w:tcBorders>
            <w:shd w:val="clear" w:color="auto" w:fill="E2F3F0"/>
          </w:tcPr>
          <w:p>
            <w:pPr>
              <w:pStyle w:val="TableParagraph"/>
              <w:spacing w:before="98"/>
              <w:ind w:left="103"/>
              <w:rPr>
                <w:b/>
                <w:sz w:val="17"/>
              </w:rPr>
            </w:pPr>
            <w:r>
              <w:rPr>
                <w:b/>
                <w:sz w:val="17"/>
              </w:rPr>
              <w:t>Nedlæggelsestid</w:t>
            </w:r>
          </w:p>
        </w:tc>
        <w:tc>
          <w:tcPr>
            <w:tcW w:w="1287" w:type="dxa"/>
            <w:shd w:val="clear" w:color="auto" w:fill="E2F3F0"/>
          </w:tcPr>
          <w:p>
            <w:pPr>
              <w:pStyle w:val="TableParagraph"/>
              <w:spacing w:before="98"/>
              <w:ind w:left="102"/>
              <w:rPr>
                <w:sz w:val="17"/>
              </w:rPr>
            </w:pPr>
            <w:r>
              <w:rPr>
                <w:sz w:val="17"/>
              </w:rPr>
              <w:t>ned_time</w:t>
            </w:r>
          </w:p>
        </w:tc>
        <w:tc>
          <w:tcPr>
            <w:tcW w:w="1143" w:type="dxa"/>
            <w:tcBorders>
              <w:top w:val="nil"/>
              <w:bottom w:val="nil"/>
            </w:tcBorders>
            <w:shd w:val="clear" w:color="auto" w:fill="E2F3F0"/>
          </w:tcPr>
          <w:p>
            <w:pPr>
              <w:pStyle w:val="TableParagraph"/>
              <w:spacing w:before="98"/>
              <w:ind w:left="102"/>
              <w:rPr>
                <w:sz w:val="17"/>
              </w:rPr>
            </w:pPr>
            <w:r>
              <w:rPr>
                <w:sz w:val="17"/>
              </w:rPr>
              <w:t>ISO date</w:t>
            </w:r>
          </w:p>
        </w:tc>
        <w:tc>
          <w:tcPr>
            <w:tcW w:w="1669" w:type="dxa"/>
            <w:tcBorders>
              <w:top w:val="nil"/>
              <w:bottom w:val="nil"/>
            </w:tcBorders>
            <w:shd w:val="clear" w:color="auto" w:fill="E2F3F0"/>
          </w:tcPr>
          <w:p>
            <w:pPr>
              <w:pStyle w:val="TableParagraph"/>
              <w:spacing w:before="98"/>
              <w:ind w:left="102"/>
              <w:rPr>
                <w:sz w:val="17"/>
              </w:rPr>
            </w:pPr>
            <w:r>
              <w:rPr>
                <w:sz w:val="17"/>
              </w:rPr>
              <w:t>Tid</w:t>
            </w:r>
          </w:p>
        </w:tc>
        <w:tc>
          <w:tcPr>
            <w:tcW w:w="3904" w:type="dxa"/>
            <w:tcBorders>
              <w:top w:val="nil"/>
              <w:bottom w:val="nil"/>
              <w:right w:val="nil"/>
            </w:tcBorders>
            <w:shd w:val="clear" w:color="auto" w:fill="E2F3F0"/>
          </w:tcPr>
          <w:p>
            <w:pPr>
              <w:pStyle w:val="TableParagraph"/>
              <w:spacing w:line="206" w:lineRule="exact" w:before="1"/>
              <w:ind w:left="101" w:right="281"/>
              <w:rPr>
                <w:sz w:val="17"/>
              </w:rPr>
            </w:pPr>
            <w:r>
              <w:rPr>
                <w:sz w:val="17"/>
              </w:rPr>
              <w:t>Perioden for nedlæggelse af rummet, ty- pisk i formatet ”yyyy-mm-dd:mm”</w:t>
            </w:r>
          </w:p>
        </w:tc>
      </w:tr>
      <w:tr>
        <w:trPr>
          <w:trHeight w:val="407" w:hRule="atLeast"/>
        </w:trPr>
        <w:tc>
          <w:tcPr>
            <w:tcW w:w="1995" w:type="dxa"/>
            <w:tcBorders>
              <w:left w:val="nil"/>
            </w:tcBorders>
            <w:shd w:val="clear" w:color="auto" w:fill="C8E9E6"/>
          </w:tcPr>
          <w:p>
            <w:pPr>
              <w:pStyle w:val="TableParagraph"/>
              <w:spacing w:before="98"/>
              <w:ind w:left="103"/>
              <w:rPr>
                <w:b/>
                <w:sz w:val="17"/>
              </w:rPr>
            </w:pPr>
            <w:r>
              <w:rPr>
                <w:b/>
                <w:sz w:val="17"/>
              </w:rPr>
              <w:t>Geometri</w:t>
            </w:r>
          </w:p>
        </w:tc>
        <w:tc>
          <w:tcPr>
            <w:tcW w:w="1287" w:type="dxa"/>
            <w:shd w:val="clear" w:color="auto" w:fill="C8E9E6"/>
          </w:tcPr>
          <w:p>
            <w:pPr>
              <w:pStyle w:val="TableParagraph"/>
              <w:spacing w:before="98"/>
              <w:ind w:left="102"/>
              <w:rPr>
                <w:sz w:val="17"/>
              </w:rPr>
            </w:pPr>
            <w:r>
              <w:rPr>
                <w:sz w:val="17"/>
              </w:rPr>
              <w:t>geometri</w:t>
            </w:r>
          </w:p>
        </w:tc>
        <w:tc>
          <w:tcPr>
            <w:tcW w:w="1143" w:type="dxa"/>
            <w:tcBorders>
              <w:top w:val="nil"/>
              <w:bottom w:val="nil"/>
            </w:tcBorders>
            <w:shd w:val="clear" w:color="auto" w:fill="C8E9E6"/>
          </w:tcPr>
          <w:p>
            <w:pPr>
              <w:pStyle w:val="TableParagraph"/>
              <w:spacing w:before="98"/>
              <w:ind w:left="102"/>
              <w:rPr>
                <w:sz w:val="17"/>
              </w:rPr>
            </w:pPr>
            <w:r>
              <w:rPr>
                <w:sz w:val="17"/>
              </w:rPr>
              <w:t>WKT</w:t>
            </w:r>
          </w:p>
        </w:tc>
        <w:tc>
          <w:tcPr>
            <w:tcW w:w="1669" w:type="dxa"/>
            <w:tcBorders>
              <w:top w:val="nil"/>
              <w:bottom w:val="nil"/>
            </w:tcBorders>
            <w:shd w:val="clear" w:color="auto" w:fill="C8E9E6"/>
          </w:tcPr>
          <w:p>
            <w:pPr>
              <w:pStyle w:val="TableParagraph"/>
              <w:spacing w:before="98"/>
              <w:ind w:left="102"/>
              <w:rPr>
                <w:sz w:val="17"/>
              </w:rPr>
            </w:pPr>
            <w:r>
              <w:rPr>
                <w:sz w:val="17"/>
              </w:rPr>
              <w:t>WKT</w:t>
            </w:r>
          </w:p>
        </w:tc>
        <w:tc>
          <w:tcPr>
            <w:tcW w:w="3904" w:type="dxa"/>
            <w:tcBorders>
              <w:top w:val="nil"/>
              <w:bottom w:val="nil"/>
              <w:right w:val="nil"/>
            </w:tcBorders>
            <w:shd w:val="clear" w:color="auto" w:fill="C8E9E6"/>
          </w:tcPr>
          <w:p>
            <w:pPr>
              <w:pStyle w:val="TableParagraph"/>
              <w:spacing w:line="201" w:lineRule="exact"/>
              <w:ind w:left="101"/>
              <w:rPr>
                <w:sz w:val="17"/>
              </w:rPr>
            </w:pPr>
            <w:r>
              <w:rPr>
                <w:sz w:val="17"/>
              </w:rPr>
              <w:t>Rummets facon i 2D beskrevet som WKT-</w:t>
            </w:r>
          </w:p>
          <w:p>
            <w:pPr>
              <w:pStyle w:val="TableParagraph"/>
              <w:spacing w:line="184" w:lineRule="exact" w:before="2"/>
              <w:ind w:left="101"/>
              <w:rPr>
                <w:sz w:val="17"/>
              </w:rPr>
            </w:pPr>
            <w:r>
              <w:rPr>
                <w:sz w:val="17"/>
              </w:rPr>
              <w:t>geometrien, tilknyttet attributhøjden (z).</w:t>
            </w:r>
          </w:p>
        </w:tc>
      </w:tr>
    </w:tbl>
    <w:p>
      <w:pPr>
        <w:spacing w:after="0" w:line="184" w:lineRule="exac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82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8"/>
        </w:rPr>
      </w:pPr>
    </w:p>
    <w:tbl>
      <w:tblPr>
        <w:tblW w:w="0" w:type="auto"/>
        <w:jc w:val="left"/>
        <w:tblInd w:w="1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995"/>
        <w:gridCol w:w="1287"/>
        <w:gridCol w:w="1143"/>
        <w:gridCol w:w="1669"/>
        <w:gridCol w:w="3904"/>
      </w:tblGrid>
      <w:tr>
        <w:trPr>
          <w:trHeight w:val="1034" w:hRule="atLeast"/>
        </w:trPr>
        <w:tc>
          <w:tcPr>
            <w:tcW w:w="1995" w:type="dxa"/>
            <w:tcBorders>
              <w:left w:val="nil"/>
            </w:tcBorders>
            <w:shd w:val="clear" w:color="auto" w:fill="E2F3F0"/>
          </w:tcPr>
          <w:p>
            <w:pPr>
              <w:pStyle w:val="TableParagraph"/>
              <w:rPr>
                <w:sz w:val="20"/>
              </w:rPr>
            </w:pPr>
          </w:p>
          <w:p>
            <w:pPr>
              <w:pStyle w:val="TableParagraph"/>
              <w:spacing w:before="171"/>
              <w:ind w:left="103"/>
              <w:rPr>
                <w:b/>
                <w:sz w:val="17"/>
              </w:rPr>
            </w:pPr>
            <w:r>
              <w:rPr>
                <w:b/>
                <w:sz w:val="17"/>
              </w:rPr>
              <w:t>PunktBeliggenhed</w:t>
            </w:r>
          </w:p>
        </w:tc>
        <w:tc>
          <w:tcPr>
            <w:tcW w:w="1287" w:type="dxa"/>
            <w:shd w:val="clear" w:color="auto" w:fill="E2F3F0"/>
          </w:tcPr>
          <w:p>
            <w:pPr>
              <w:pStyle w:val="TableParagraph"/>
              <w:rPr>
                <w:sz w:val="20"/>
              </w:rPr>
            </w:pPr>
          </w:p>
          <w:p>
            <w:pPr>
              <w:pStyle w:val="TableParagraph"/>
              <w:spacing w:before="171"/>
              <w:ind w:left="102"/>
              <w:rPr>
                <w:sz w:val="17"/>
              </w:rPr>
            </w:pPr>
            <w:r>
              <w:rPr>
                <w:sz w:val="17"/>
              </w:rPr>
              <w:t>beliggenhed</w:t>
            </w:r>
          </w:p>
        </w:tc>
        <w:tc>
          <w:tcPr>
            <w:tcW w:w="1143" w:type="dxa"/>
            <w:tcBorders>
              <w:top w:val="nil"/>
              <w:bottom w:val="nil"/>
            </w:tcBorders>
            <w:shd w:val="clear" w:color="auto" w:fill="E2F3F0"/>
          </w:tcPr>
          <w:p>
            <w:pPr>
              <w:pStyle w:val="TableParagraph"/>
              <w:rPr>
                <w:sz w:val="20"/>
              </w:rPr>
            </w:pPr>
          </w:p>
          <w:p>
            <w:pPr>
              <w:pStyle w:val="TableParagraph"/>
              <w:spacing w:before="171"/>
              <w:ind w:left="102"/>
              <w:rPr>
                <w:sz w:val="17"/>
              </w:rPr>
            </w:pPr>
            <w:r>
              <w:rPr>
                <w:sz w:val="17"/>
              </w:rPr>
              <w:t>Geometri</w:t>
            </w:r>
          </w:p>
        </w:tc>
        <w:tc>
          <w:tcPr>
            <w:tcW w:w="1669" w:type="dxa"/>
            <w:tcBorders>
              <w:top w:val="nil"/>
              <w:bottom w:val="nil"/>
            </w:tcBorders>
            <w:shd w:val="clear" w:color="auto" w:fill="E2F3F0"/>
          </w:tcPr>
          <w:p>
            <w:pPr>
              <w:pStyle w:val="TableParagraph"/>
              <w:rPr>
                <w:sz w:val="20"/>
              </w:rPr>
            </w:pPr>
          </w:p>
          <w:p>
            <w:pPr>
              <w:pStyle w:val="TableParagraph"/>
              <w:spacing w:before="171"/>
              <w:ind w:left="102"/>
              <w:rPr>
                <w:sz w:val="17"/>
              </w:rPr>
            </w:pPr>
            <w:r>
              <w:rPr>
                <w:sz w:val="17"/>
              </w:rPr>
              <w:t>X, Y, Z</w:t>
            </w:r>
          </w:p>
        </w:tc>
        <w:tc>
          <w:tcPr>
            <w:tcW w:w="3904" w:type="dxa"/>
            <w:tcBorders>
              <w:top w:val="nil"/>
              <w:bottom w:val="nil"/>
              <w:right w:val="nil"/>
            </w:tcBorders>
            <w:shd w:val="clear" w:color="auto" w:fill="E2F3F0"/>
          </w:tcPr>
          <w:p>
            <w:pPr>
              <w:pStyle w:val="TableParagraph"/>
              <w:spacing w:line="206" w:lineRule="exact" w:before="8"/>
              <w:ind w:left="101" w:right="243"/>
              <w:rPr>
                <w:sz w:val="17"/>
              </w:rPr>
            </w:pPr>
            <w:r>
              <w:rPr>
                <w:sz w:val="17"/>
              </w:rPr>
              <w:t>Registrering af den geografiske placering (dvs. ’X, Y, Z’ koordinat) for rummets centroide, som grundlag for at foretage automatiske rumlige koblinger til stedda- tabasen.</w:t>
            </w:r>
          </w:p>
        </w:tc>
      </w:tr>
      <w:tr>
        <w:trPr>
          <w:trHeight w:val="1027" w:hRule="atLeast"/>
        </w:trPr>
        <w:tc>
          <w:tcPr>
            <w:tcW w:w="1995" w:type="dxa"/>
            <w:tcBorders>
              <w:left w:val="nil"/>
            </w:tcBorders>
            <w:shd w:val="clear" w:color="auto" w:fill="C8E9E6"/>
          </w:tcPr>
          <w:p>
            <w:pPr>
              <w:pStyle w:val="TableParagraph"/>
              <w:spacing w:before="3"/>
              <w:rPr>
                <w:sz w:val="25"/>
              </w:rPr>
            </w:pPr>
          </w:p>
          <w:p>
            <w:pPr>
              <w:pStyle w:val="TableParagraph"/>
              <w:ind w:left="103" w:right="216"/>
              <w:rPr>
                <w:b/>
                <w:sz w:val="17"/>
              </w:rPr>
            </w:pPr>
            <w:r>
              <w:rPr>
                <w:b/>
                <w:sz w:val="17"/>
              </w:rPr>
              <w:t>Adgangsadresse- betegnelse</w:t>
            </w:r>
          </w:p>
        </w:tc>
        <w:tc>
          <w:tcPr>
            <w:tcW w:w="1287" w:type="dxa"/>
            <w:shd w:val="clear" w:color="auto" w:fill="C8E9E6"/>
          </w:tcPr>
          <w:p>
            <w:pPr>
              <w:pStyle w:val="TableParagraph"/>
              <w:rPr>
                <w:sz w:val="20"/>
              </w:rPr>
            </w:pPr>
          </w:p>
          <w:p>
            <w:pPr>
              <w:pStyle w:val="TableParagraph"/>
              <w:spacing w:before="167"/>
              <w:ind w:left="102"/>
              <w:rPr>
                <w:sz w:val="17"/>
              </w:rPr>
            </w:pPr>
            <w:r>
              <w:rPr>
                <w:sz w:val="17"/>
              </w:rPr>
              <w:t>adresse</w:t>
            </w:r>
          </w:p>
        </w:tc>
        <w:tc>
          <w:tcPr>
            <w:tcW w:w="1143" w:type="dxa"/>
            <w:tcBorders>
              <w:top w:val="nil"/>
              <w:bottom w:val="nil"/>
            </w:tcBorders>
            <w:shd w:val="clear" w:color="auto" w:fill="C8E9E6"/>
          </w:tcPr>
          <w:p>
            <w:pPr>
              <w:pStyle w:val="TableParagraph"/>
              <w:rPr>
                <w:sz w:val="20"/>
              </w:rPr>
            </w:pPr>
          </w:p>
          <w:p>
            <w:pPr>
              <w:pStyle w:val="TableParagraph"/>
              <w:spacing w:before="167"/>
              <w:ind w:left="102"/>
              <w:rPr>
                <w:sz w:val="17"/>
              </w:rPr>
            </w:pPr>
            <w:r>
              <w:rPr>
                <w:sz w:val="17"/>
              </w:rPr>
              <w:t>Tekst</w:t>
            </w:r>
          </w:p>
        </w:tc>
        <w:tc>
          <w:tcPr>
            <w:tcW w:w="1669" w:type="dxa"/>
            <w:tcBorders>
              <w:top w:val="nil"/>
              <w:bottom w:val="nil"/>
            </w:tcBorders>
            <w:shd w:val="clear" w:color="auto" w:fill="C8E9E6"/>
          </w:tcPr>
          <w:p>
            <w:pPr>
              <w:pStyle w:val="TableParagraph"/>
              <w:spacing w:before="3"/>
              <w:rPr>
                <w:sz w:val="25"/>
              </w:rPr>
            </w:pPr>
          </w:p>
          <w:p>
            <w:pPr>
              <w:pStyle w:val="TableParagraph"/>
              <w:ind w:left="102" w:right="465"/>
              <w:rPr>
                <w:sz w:val="17"/>
              </w:rPr>
            </w:pPr>
            <w:r>
              <w:rPr>
                <w:sz w:val="17"/>
              </w:rPr>
              <w:t>Reference til husnummer</w:t>
            </w:r>
          </w:p>
        </w:tc>
        <w:tc>
          <w:tcPr>
            <w:tcW w:w="3904" w:type="dxa"/>
            <w:tcBorders>
              <w:top w:val="nil"/>
              <w:bottom w:val="nil"/>
              <w:right w:val="nil"/>
            </w:tcBorders>
            <w:shd w:val="clear" w:color="auto" w:fill="C8E9E6"/>
          </w:tcPr>
          <w:p>
            <w:pPr>
              <w:pStyle w:val="TableParagraph"/>
              <w:spacing w:line="206" w:lineRule="exact" w:before="4"/>
              <w:ind w:left="101" w:right="106"/>
              <w:rPr>
                <w:sz w:val="17"/>
              </w:rPr>
            </w:pPr>
            <w:r>
              <w:rPr>
                <w:sz w:val="17"/>
              </w:rPr>
              <w:t>Betegnelse som er en læsbar struktur, der identificerer adressebetegnelsen ”husnum- mer” fuldstændigt. Data indsamles fra adressebetegnelsen i forhold til hvilken adresse data er tilhørende.</w:t>
            </w:r>
          </w:p>
        </w:tc>
      </w:tr>
      <w:tr>
        <w:trPr>
          <w:trHeight w:val="615" w:hRule="atLeast"/>
        </w:trPr>
        <w:tc>
          <w:tcPr>
            <w:tcW w:w="1995" w:type="dxa"/>
            <w:tcBorders>
              <w:left w:val="nil"/>
            </w:tcBorders>
            <w:shd w:val="clear" w:color="auto" w:fill="E2F3F0"/>
          </w:tcPr>
          <w:p>
            <w:pPr>
              <w:pStyle w:val="TableParagraph"/>
              <w:spacing w:before="7"/>
              <w:rPr>
                <w:sz w:val="16"/>
              </w:rPr>
            </w:pPr>
          </w:p>
          <w:p>
            <w:pPr>
              <w:pStyle w:val="TableParagraph"/>
              <w:ind w:left="103"/>
              <w:rPr>
                <w:b/>
                <w:sz w:val="17"/>
              </w:rPr>
            </w:pPr>
            <w:r>
              <w:rPr>
                <w:b/>
                <w:sz w:val="17"/>
              </w:rPr>
              <w:t>Etage</w:t>
            </w:r>
          </w:p>
        </w:tc>
        <w:tc>
          <w:tcPr>
            <w:tcW w:w="1287" w:type="dxa"/>
            <w:shd w:val="clear" w:color="auto" w:fill="E2F3F0"/>
          </w:tcPr>
          <w:p>
            <w:pPr>
              <w:pStyle w:val="TableParagraph"/>
              <w:spacing w:before="7"/>
              <w:rPr>
                <w:sz w:val="16"/>
              </w:rPr>
            </w:pPr>
          </w:p>
          <w:p>
            <w:pPr>
              <w:pStyle w:val="TableParagraph"/>
              <w:ind w:left="102"/>
              <w:rPr>
                <w:sz w:val="17"/>
              </w:rPr>
            </w:pPr>
            <w:r>
              <w:rPr>
                <w:sz w:val="17"/>
              </w:rPr>
              <w:t>etage</w:t>
            </w:r>
          </w:p>
        </w:tc>
        <w:tc>
          <w:tcPr>
            <w:tcW w:w="1143" w:type="dxa"/>
            <w:tcBorders>
              <w:top w:val="nil"/>
              <w:bottom w:val="nil"/>
            </w:tcBorders>
            <w:shd w:val="clear" w:color="auto" w:fill="E2F3F0"/>
          </w:tcPr>
          <w:p>
            <w:pPr>
              <w:pStyle w:val="TableParagraph"/>
              <w:spacing w:before="7"/>
              <w:rPr>
                <w:sz w:val="16"/>
              </w:rPr>
            </w:pPr>
          </w:p>
          <w:p>
            <w:pPr>
              <w:pStyle w:val="TableParagraph"/>
              <w:ind w:left="102"/>
              <w:rPr>
                <w:sz w:val="17"/>
              </w:rPr>
            </w:pPr>
            <w:r>
              <w:rPr>
                <w:sz w:val="17"/>
              </w:rPr>
              <w:t>Heltal</w:t>
            </w:r>
          </w:p>
        </w:tc>
        <w:tc>
          <w:tcPr>
            <w:tcW w:w="1669" w:type="dxa"/>
            <w:tcBorders>
              <w:top w:val="nil"/>
              <w:bottom w:val="nil"/>
            </w:tcBorders>
            <w:shd w:val="clear" w:color="auto" w:fill="E2F3F0"/>
          </w:tcPr>
          <w:p>
            <w:pPr>
              <w:pStyle w:val="TableParagraph"/>
              <w:spacing w:before="98"/>
              <w:ind w:left="102" w:right="296"/>
              <w:rPr>
                <w:sz w:val="17"/>
              </w:rPr>
            </w:pPr>
            <w:r>
              <w:rPr>
                <w:sz w:val="17"/>
              </w:rPr>
              <w:t>Numerisk fra - 999 til 999</w:t>
            </w:r>
          </w:p>
        </w:tc>
        <w:tc>
          <w:tcPr>
            <w:tcW w:w="3904" w:type="dxa"/>
            <w:tcBorders>
              <w:top w:val="nil"/>
              <w:bottom w:val="nil"/>
              <w:right w:val="nil"/>
            </w:tcBorders>
            <w:shd w:val="clear" w:color="auto" w:fill="E2F3F0"/>
          </w:tcPr>
          <w:p>
            <w:pPr>
              <w:pStyle w:val="TableParagraph"/>
              <w:spacing w:line="206" w:lineRule="exact" w:before="1"/>
              <w:ind w:left="101" w:right="196"/>
              <w:rPr>
                <w:sz w:val="17"/>
              </w:rPr>
            </w:pPr>
            <w:r>
              <w:rPr>
                <w:sz w:val="17"/>
              </w:rPr>
              <w:t>Etageangivelsen for PunktBeliggenheden Etagen defineres som ”level” i BIM og ud- veksles.</w:t>
            </w:r>
          </w:p>
        </w:tc>
      </w:tr>
    </w:tbl>
    <w:p>
      <w:pPr>
        <w:pStyle w:val="BodyText"/>
        <w:spacing w:before="8"/>
        <w:rPr>
          <w:sz w:val="11"/>
        </w:rPr>
      </w:pPr>
    </w:p>
    <w:p>
      <w:pPr>
        <w:spacing w:before="99"/>
        <w:ind w:left="2649" w:right="1202" w:firstLine="0"/>
        <w:jc w:val="left"/>
        <w:rPr>
          <w:i/>
          <w:sz w:val="14"/>
        </w:rPr>
      </w:pPr>
      <w:bookmarkStart w:name="_bookmark18" w:id="19"/>
      <w:bookmarkEnd w:id="19"/>
      <w:r>
        <w:rPr/>
      </w:r>
      <w:r>
        <w:rPr>
          <w:i/>
          <w:sz w:val="14"/>
        </w:rPr>
        <w:t>Tabel 2.1: Forslag til en tværgående generaliseret datamodel for data relevante for en national in- </w:t>
      </w:r>
      <w:r>
        <w:rPr>
          <w:i/>
          <w:sz w:val="14"/>
        </w:rPr>
        <w:t>dendørs steddatabase.</w:t>
      </w:r>
    </w:p>
    <w:p>
      <w:pPr>
        <w:pStyle w:val="BodyText"/>
        <w:spacing w:before="11"/>
        <w:rPr>
          <w:i/>
          <w:sz w:val="12"/>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19" w:id="20"/>
      <w:bookmarkEnd w:id="20"/>
      <w:r>
        <w:rPr/>
        <w:t>Ek</w:t>
      </w:r>
      <w:r>
        <w:rPr/>
        <w:t>sempel på domænespecifikke</w:t>
      </w:r>
      <w:r>
        <w:rPr>
          <w:spacing w:val="-3"/>
        </w:rPr>
        <w:t> </w:t>
      </w:r>
      <w:r>
        <w:rPr/>
        <w:t>egenskaber</w:t>
      </w:r>
    </w:p>
    <w:p>
      <w:pPr>
        <w:pStyle w:val="BodyText"/>
        <w:spacing w:line="278" w:lineRule="auto" w:before="34"/>
        <w:ind w:left="2649" w:right="1052"/>
      </w:pPr>
      <w:r>
        <w:rPr/>
        <w:t>Til den generaliserede datamodel vil tilknyttes en domænespecifikke datamodeller. Hvis datamodellen eksempelvis skal anvendes i en navigationsmæssig kontekst til wayfinding, kan der tilknyttes standardattributter og information lig nedenstående</w:t>
      </w:r>
      <w:hyperlink w:history="true" w:anchor="_bookmark20">
        <w:r>
          <w:rPr/>
          <w:t> Tabel 2.2</w:t>
        </w:r>
      </w:hyperlink>
      <w:hyperlink w:history="true" w:anchor="_bookmark20">
        <w:r>
          <w:rPr/>
          <w:t>.Tabel 2.2: Domænespecifik datamodel for wayfinding. </w:t>
        </w:r>
      </w:hyperlink>
      <w:r>
        <w:rPr/>
        <w:t>Dette skaber mu- lighed for at danne et fysisk datasæt til indendørs navigation som ses et eksempel på i </w:t>
      </w:r>
      <w:hyperlink w:history="true" w:anchor="_bookmark21">
        <w:r>
          <w:rPr/>
          <w:t>Figur 2.9</w:t>
        </w:r>
      </w:hyperlink>
      <w:r>
        <w:rPr/>
        <w:t>, herunder beskrevet for punkttyper.</w:t>
      </w:r>
    </w:p>
    <w:p>
      <w:pPr>
        <w:pStyle w:val="BodyText"/>
        <w:spacing w:before="7"/>
        <w:rPr>
          <w:sz w:val="18"/>
        </w:rPr>
      </w:pPr>
    </w:p>
    <w:tbl>
      <w:tblPr>
        <w:tblW w:w="0" w:type="auto"/>
        <w:jc w:val="left"/>
        <w:tblInd w:w="1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136"/>
        <w:gridCol w:w="1270"/>
        <w:gridCol w:w="1277"/>
        <w:gridCol w:w="1561"/>
        <w:gridCol w:w="4743"/>
      </w:tblGrid>
      <w:tr>
        <w:trPr>
          <w:trHeight w:val="414" w:hRule="atLeast"/>
        </w:trPr>
        <w:tc>
          <w:tcPr>
            <w:tcW w:w="1136" w:type="dxa"/>
            <w:tcBorders>
              <w:left w:val="nil"/>
            </w:tcBorders>
            <w:shd w:val="clear" w:color="auto" w:fill="2C647C"/>
          </w:tcPr>
          <w:p>
            <w:pPr>
              <w:pStyle w:val="TableParagraph"/>
              <w:spacing w:before="107"/>
              <w:ind w:left="103"/>
              <w:rPr>
                <w:b/>
                <w:sz w:val="17"/>
              </w:rPr>
            </w:pPr>
            <w:r>
              <w:rPr>
                <w:b/>
                <w:color w:val="FFFFFF"/>
                <w:sz w:val="17"/>
              </w:rPr>
              <w:t>Datatype</w:t>
            </w:r>
          </w:p>
        </w:tc>
        <w:tc>
          <w:tcPr>
            <w:tcW w:w="1270" w:type="dxa"/>
            <w:shd w:val="clear" w:color="auto" w:fill="2C647C"/>
          </w:tcPr>
          <w:p>
            <w:pPr>
              <w:pStyle w:val="TableParagraph"/>
              <w:spacing w:line="206" w:lineRule="exact" w:before="10"/>
              <w:ind w:left="105" w:right="243"/>
              <w:rPr>
                <w:b/>
                <w:sz w:val="17"/>
              </w:rPr>
            </w:pPr>
            <w:r>
              <w:rPr>
                <w:b/>
                <w:color w:val="FFFFFF"/>
                <w:sz w:val="17"/>
              </w:rPr>
              <w:t>Database variabel</w:t>
            </w:r>
          </w:p>
        </w:tc>
        <w:tc>
          <w:tcPr>
            <w:tcW w:w="1277" w:type="dxa"/>
            <w:tcBorders>
              <w:top w:val="nil"/>
              <w:bottom w:val="nil"/>
              <w:right w:val="single" w:sz="6" w:space="0" w:color="FFFFFF"/>
            </w:tcBorders>
            <w:shd w:val="clear" w:color="auto" w:fill="2C647C"/>
          </w:tcPr>
          <w:p>
            <w:pPr>
              <w:pStyle w:val="TableParagraph"/>
              <w:spacing w:before="107"/>
              <w:ind w:left="102"/>
              <w:rPr>
                <w:b/>
                <w:sz w:val="17"/>
              </w:rPr>
            </w:pPr>
            <w:r>
              <w:rPr>
                <w:b/>
                <w:color w:val="FFFFFF"/>
                <w:sz w:val="17"/>
              </w:rPr>
              <w:t>Datatype</w:t>
            </w:r>
          </w:p>
        </w:tc>
        <w:tc>
          <w:tcPr>
            <w:tcW w:w="1561" w:type="dxa"/>
            <w:tcBorders>
              <w:top w:val="nil"/>
              <w:left w:val="single" w:sz="6" w:space="0" w:color="FFFFFF"/>
              <w:bottom w:val="nil"/>
              <w:right w:val="single" w:sz="6" w:space="0" w:color="FFFFFF"/>
            </w:tcBorders>
            <w:shd w:val="clear" w:color="auto" w:fill="2C647C"/>
          </w:tcPr>
          <w:p>
            <w:pPr>
              <w:pStyle w:val="TableParagraph"/>
              <w:spacing w:before="107"/>
              <w:ind w:left="100"/>
              <w:rPr>
                <w:b/>
                <w:sz w:val="17"/>
              </w:rPr>
            </w:pPr>
            <w:r>
              <w:rPr>
                <w:b/>
                <w:color w:val="FFFFFF"/>
                <w:sz w:val="17"/>
              </w:rPr>
              <w:t>Værdisæt</w:t>
            </w:r>
          </w:p>
        </w:tc>
        <w:tc>
          <w:tcPr>
            <w:tcW w:w="4743" w:type="dxa"/>
            <w:tcBorders>
              <w:top w:val="nil"/>
              <w:left w:val="single" w:sz="6" w:space="0" w:color="FFFFFF"/>
              <w:bottom w:val="nil"/>
              <w:right w:val="nil"/>
            </w:tcBorders>
            <w:shd w:val="clear" w:color="auto" w:fill="2C647C"/>
          </w:tcPr>
          <w:p>
            <w:pPr>
              <w:pStyle w:val="TableParagraph"/>
              <w:spacing w:before="107"/>
              <w:ind w:left="99"/>
              <w:rPr>
                <w:b/>
                <w:sz w:val="17"/>
              </w:rPr>
            </w:pPr>
            <w:r>
              <w:rPr>
                <w:b/>
                <w:color w:val="FFFFFF"/>
                <w:sz w:val="17"/>
              </w:rPr>
              <w:t>Beskrivelse</w:t>
            </w:r>
          </w:p>
        </w:tc>
      </w:tr>
      <w:tr>
        <w:trPr>
          <w:trHeight w:val="1440" w:hRule="atLeast"/>
        </w:trPr>
        <w:tc>
          <w:tcPr>
            <w:tcW w:w="1136" w:type="dxa"/>
            <w:tcBorders>
              <w:left w:val="nil"/>
            </w:tcBorders>
            <w:shd w:val="clear" w:color="auto" w:fill="C8E9E6"/>
          </w:tcPr>
          <w:p>
            <w:pPr>
              <w:pStyle w:val="TableParagraph"/>
              <w:rPr>
                <w:sz w:val="20"/>
              </w:rPr>
            </w:pPr>
          </w:p>
          <w:p>
            <w:pPr>
              <w:pStyle w:val="TableParagraph"/>
              <w:rPr>
                <w:sz w:val="22"/>
              </w:rPr>
            </w:pPr>
          </w:p>
          <w:p>
            <w:pPr>
              <w:pStyle w:val="TableParagraph"/>
              <w:ind w:left="103" w:right="368"/>
              <w:rPr>
                <w:b/>
                <w:sz w:val="17"/>
              </w:rPr>
            </w:pPr>
            <w:r>
              <w:rPr>
                <w:b/>
                <w:sz w:val="17"/>
              </w:rPr>
              <w:t>Punkt- type</w:t>
            </w:r>
          </w:p>
        </w:tc>
        <w:tc>
          <w:tcPr>
            <w:tcW w:w="1270" w:type="dxa"/>
            <w:shd w:val="clear" w:color="auto" w:fill="C8E9E6"/>
          </w:tcPr>
          <w:p>
            <w:pPr>
              <w:pStyle w:val="TableParagraph"/>
              <w:rPr>
                <w:sz w:val="20"/>
              </w:rPr>
            </w:pPr>
          </w:p>
          <w:p>
            <w:pPr>
              <w:pStyle w:val="TableParagraph"/>
              <w:rPr>
                <w:sz w:val="20"/>
              </w:rPr>
            </w:pPr>
          </w:p>
          <w:p>
            <w:pPr>
              <w:pStyle w:val="TableParagraph"/>
              <w:spacing w:before="128"/>
              <w:ind w:left="105"/>
              <w:rPr>
                <w:sz w:val="17"/>
              </w:rPr>
            </w:pPr>
            <w:r>
              <w:rPr>
                <w:sz w:val="17"/>
              </w:rPr>
              <w:t>punktype</w:t>
            </w:r>
          </w:p>
        </w:tc>
        <w:tc>
          <w:tcPr>
            <w:tcW w:w="1277" w:type="dxa"/>
            <w:tcBorders>
              <w:top w:val="nil"/>
              <w:bottom w:val="nil"/>
              <w:right w:val="single" w:sz="6" w:space="0" w:color="FFFFFF"/>
            </w:tcBorders>
            <w:shd w:val="clear" w:color="auto" w:fill="C8E9E6"/>
          </w:tcPr>
          <w:p>
            <w:pPr>
              <w:pStyle w:val="TableParagraph"/>
              <w:rPr>
                <w:sz w:val="20"/>
              </w:rPr>
            </w:pPr>
          </w:p>
          <w:p>
            <w:pPr>
              <w:pStyle w:val="TableParagraph"/>
              <w:spacing w:before="164"/>
              <w:ind w:left="102" w:right="137"/>
              <w:rPr>
                <w:sz w:val="17"/>
              </w:rPr>
            </w:pPr>
            <w:r>
              <w:rPr>
                <w:sz w:val="17"/>
              </w:rPr>
              <w:t>Tekststreng (eller hel- talskoder)</w:t>
            </w:r>
          </w:p>
        </w:tc>
        <w:tc>
          <w:tcPr>
            <w:tcW w:w="1561" w:type="dxa"/>
            <w:tcBorders>
              <w:top w:val="nil"/>
              <w:left w:val="single" w:sz="6" w:space="0" w:color="FFFFFF"/>
              <w:bottom w:val="nil"/>
              <w:right w:val="single" w:sz="6" w:space="0" w:color="FFFFFF"/>
            </w:tcBorders>
            <w:shd w:val="clear" w:color="auto" w:fill="C8E9E6"/>
          </w:tcPr>
          <w:p>
            <w:pPr>
              <w:pStyle w:val="TableParagraph"/>
              <w:spacing w:before="97"/>
              <w:ind w:left="100" w:right="128"/>
              <w:rPr>
                <w:sz w:val="17"/>
              </w:rPr>
            </w:pPr>
            <w:r>
              <w:rPr>
                <w:sz w:val="17"/>
              </w:rPr>
              <w:t>rumpunkt, dør- punkt, ind- gangspunkt, forgrenings- punkt eller in- teressepunkt</w:t>
            </w:r>
          </w:p>
        </w:tc>
        <w:tc>
          <w:tcPr>
            <w:tcW w:w="4743" w:type="dxa"/>
            <w:tcBorders>
              <w:top w:val="nil"/>
              <w:left w:val="single" w:sz="6" w:space="0" w:color="FFFFFF"/>
              <w:bottom w:val="nil"/>
              <w:right w:val="nil"/>
            </w:tcBorders>
            <w:shd w:val="clear" w:color="auto" w:fill="C8E9E6"/>
          </w:tcPr>
          <w:p>
            <w:pPr>
              <w:pStyle w:val="TableParagraph"/>
              <w:ind w:left="99" w:right="124"/>
              <w:rPr>
                <w:sz w:val="17"/>
              </w:rPr>
            </w:pPr>
            <w:r>
              <w:rPr>
                <w:sz w:val="17"/>
              </w:rPr>
              <w:t>Betegnelse for typen af punkt, som er afgørende for, hvordan punktet opfører sig og hvilke attribut- ter, der er tilknyttet punktet. Dette sker som en klassifikation ud fra oprindelsen af data med eksem- pelvis centroider for rum og døre defineret af BIM modellen. Eksempler på typerne af punkter kan</w:t>
            </w:r>
            <w:r>
              <w:rPr>
                <w:spacing w:val="-12"/>
                <w:sz w:val="17"/>
              </w:rPr>
              <w:t> </w:t>
            </w:r>
            <w:r>
              <w:rPr>
                <w:sz w:val="17"/>
              </w:rPr>
              <w:t>ses</w:t>
            </w:r>
          </w:p>
          <w:p>
            <w:pPr>
              <w:pStyle w:val="TableParagraph"/>
              <w:spacing w:line="184" w:lineRule="exact"/>
              <w:ind w:left="99"/>
              <w:rPr>
                <w:sz w:val="17"/>
              </w:rPr>
            </w:pPr>
            <w:r>
              <w:rPr>
                <w:sz w:val="17"/>
              </w:rPr>
              <w:t>i </w:t>
            </w:r>
            <w:hyperlink w:history="true" w:anchor="_bookmark21">
              <w:r>
                <w:rPr>
                  <w:sz w:val="17"/>
                </w:rPr>
                <w:t>Figur 2.9</w:t>
              </w:r>
            </w:hyperlink>
            <w:r>
              <w:rPr>
                <w:sz w:val="17"/>
              </w:rPr>
              <w:t>.</w:t>
            </w:r>
          </w:p>
        </w:tc>
      </w:tr>
      <w:tr>
        <w:trPr>
          <w:trHeight w:val="412" w:hRule="atLeast"/>
        </w:trPr>
        <w:tc>
          <w:tcPr>
            <w:tcW w:w="1136" w:type="dxa"/>
            <w:tcBorders>
              <w:left w:val="nil"/>
            </w:tcBorders>
            <w:shd w:val="clear" w:color="auto" w:fill="E2F3F0"/>
          </w:tcPr>
          <w:p>
            <w:pPr>
              <w:pStyle w:val="TableParagraph"/>
              <w:spacing w:before="105"/>
              <w:ind w:left="103"/>
              <w:rPr>
                <w:b/>
                <w:sz w:val="17"/>
              </w:rPr>
            </w:pPr>
            <w:r>
              <w:rPr>
                <w:b/>
                <w:sz w:val="17"/>
              </w:rPr>
              <w:t>Adgang</w:t>
            </w:r>
          </w:p>
        </w:tc>
        <w:tc>
          <w:tcPr>
            <w:tcW w:w="1270" w:type="dxa"/>
            <w:shd w:val="clear" w:color="auto" w:fill="E2F3F0"/>
          </w:tcPr>
          <w:p>
            <w:pPr>
              <w:pStyle w:val="TableParagraph"/>
              <w:spacing w:line="206" w:lineRule="exact" w:before="8"/>
              <w:ind w:left="105" w:right="218"/>
              <w:rPr>
                <w:sz w:val="17"/>
              </w:rPr>
            </w:pPr>
            <w:r>
              <w:rPr>
                <w:sz w:val="17"/>
              </w:rPr>
              <w:t>indendørs- Adgang</w:t>
            </w:r>
          </w:p>
        </w:tc>
        <w:tc>
          <w:tcPr>
            <w:tcW w:w="1277" w:type="dxa"/>
            <w:tcBorders>
              <w:top w:val="nil"/>
              <w:bottom w:val="nil"/>
              <w:right w:val="single" w:sz="6" w:space="0" w:color="FFFFFF"/>
            </w:tcBorders>
            <w:shd w:val="clear" w:color="auto" w:fill="E2F3F0"/>
          </w:tcPr>
          <w:p>
            <w:pPr>
              <w:pStyle w:val="TableParagraph"/>
              <w:spacing w:line="206" w:lineRule="exact" w:before="8"/>
              <w:ind w:left="102" w:right="602"/>
              <w:rPr>
                <w:sz w:val="17"/>
              </w:rPr>
            </w:pPr>
            <w:r>
              <w:rPr>
                <w:sz w:val="17"/>
              </w:rPr>
              <w:t>Logisk værdi</w:t>
            </w:r>
          </w:p>
        </w:tc>
        <w:tc>
          <w:tcPr>
            <w:tcW w:w="1561" w:type="dxa"/>
            <w:tcBorders>
              <w:top w:val="nil"/>
              <w:left w:val="single" w:sz="6" w:space="0" w:color="FFFFFF"/>
              <w:bottom w:val="nil"/>
              <w:right w:val="single" w:sz="6" w:space="0" w:color="FFFFFF"/>
            </w:tcBorders>
            <w:shd w:val="clear" w:color="auto" w:fill="E2F3F0"/>
          </w:tcPr>
          <w:p>
            <w:pPr>
              <w:pStyle w:val="TableParagraph"/>
              <w:spacing w:before="105"/>
              <w:ind w:left="100"/>
              <w:rPr>
                <w:sz w:val="17"/>
              </w:rPr>
            </w:pPr>
            <w:r>
              <w:rPr>
                <w:sz w:val="17"/>
              </w:rPr>
              <w:t>Sand, Falsk</w:t>
            </w:r>
          </w:p>
        </w:tc>
        <w:tc>
          <w:tcPr>
            <w:tcW w:w="4743" w:type="dxa"/>
            <w:tcBorders>
              <w:top w:val="nil"/>
              <w:left w:val="single" w:sz="6" w:space="0" w:color="FFFFFF"/>
              <w:bottom w:val="nil"/>
              <w:right w:val="nil"/>
            </w:tcBorders>
            <w:shd w:val="clear" w:color="auto" w:fill="E2F3F0"/>
          </w:tcPr>
          <w:p>
            <w:pPr>
              <w:pStyle w:val="TableParagraph"/>
              <w:spacing w:line="206" w:lineRule="exact" w:before="8"/>
              <w:ind w:left="99" w:right="112"/>
              <w:rPr>
                <w:sz w:val="17"/>
              </w:rPr>
            </w:pPr>
            <w:r>
              <w:rPr>
                <w:sz w:val="17"/>
              </w:rPr>
              <w:t>Beskriver om hvilken adgang en bruger har til punk- tet.</w:t>
            </w:r>
          </w:p>
        </w:tc>
      </w:tr>
      <w:tr>
        <w:trPr>
          <w:trHeight w:val="1026" w:hRule="atLeast"/>
        </w:trPr>
        <w:tc>
          <w:tcPr>
            <w:tcW w:w="1136" w:type="dxa"/>
            <w:tcBorders>
              <w:left w:val="nil"/>
            </w:tcBorders>
            <w:shd w:val="clear" w:color="auto" w:fill="C8E9E6"/>
          </w:tcPr>
          <w:p>
            <w:pPr>
              <w:pStyle w:val="TableParagraph"/>
              <w:spacing w:before="12"/>
              <w:rPr>
                <w:sz w:val="24"/>
              </w:rPr>
            </w:pPr>
          </w:p>
          <w:p>
            <w:pPr>
              <w:pStyle w:val="TableParagraph"/>
              <w:ind w:left="103" w:right="121"/>
              <w:rPr>
                <w:b/>
                <w:sz w:val="17"/>
              </w:rPr>
            </w:pPr>
            <w:r>
              <w:rPr>
                <w:b/>
                <w:sz w:val="17"/>
              </w:rPr>
              <w:t>Indgang- Udgang</w:t>
            </w:r>
          </w:p>
        </w:tc>
        <w:tc>
          <w:tcPr>
            <w:tcW w:w="1270" w:type="dxa"/>
            <w:shd w:val="clear" w:color="auto" w:fill="C8E9E6"/>
          </w:tcPr>
          <w:p>
            <w:pPr>
              <w:pStyle w:val="TableParagraph"/>
              <w:spacing w:before="6"/>
              <w:rPr>
                <w:sz w:val="16"/>
              </w:rPr>
            </w:pPr>
          </w:p>
          <w:p>
            <w:pPr>
              <w:pStyle w:val="TableParagraph"/>
              <w:ind w:left="105" w:right="422"/>
              <w:rPr>
                <w:sz w:val="17"/>
              </w:rPr>
            </w:pPr>
            <w:r>
              <w:rPr>
                <w:sz w:val="17"/>
              </w:rPr>
              <w:t>erInd- gangUd- gang</w:t>
            </w:r>
          </w:p>
        </w:tc>
        <w:tc>
          <w:tcPr>
            <w:tcW w:w="1277" w:type="dxa"/>
            <w:tcBorders>
              <w:top w:val="nil"/>
              <w:bottom w:val="nil"/>
              <w:right w:val="single" w:sz="6" w:space="0" w:color="FFFFFF"/>
            </w:tcBorders>
            <w:shd w:val="clear" w:color="auto" w:fill="C8E9E6"/>
          </w:tcPr>
          <w:p>
            <w:pPr>
              <w:pStyle w:val="TableParagraph"/>
              <w:spacing w:before="6"/>
              <w:rPr>
                <w:sz w:val="16"/>
              </w:rPr>
            </w:pPr>
          </w:p>
          <w:p>
            <w:pPr>
              <w:pStyle w:val="TableParagraph"/>
              <w:ind w:left="102" w:right="137"/>
              <w:rPr>
                <w:sz w:val="17"/>
              </w:rPr>
            </w:pPr>
            <w:r>
              <w:rPr>
                <w:sz w:val="17"/>
              </w:rPr>
              <w:t>Tekststreng (eller hel- talskoder)</w:t>
            </w:r>
          </w:p>
        </w:tc>
        <w:tc>
          <w:tcPr>
            <w:tcW w:w="1561" w:type="dxa"/>
            <w:tcBorders>
              <w:top w:val="nil"/>
              <w:left w:val="single" w:sz="6" w:space="0" w:color="FFFFFF"/>
              <w:bottom w:val="nil"/>
              <w:right w:val="single" w:sz="6" w:space="0" w:color="FFFFFF"/>
            </w:tcBorders>
            <w:shd w:val="clear" w:color="auto" w:fill="C8E9E6"/>
          </w:tcPr>
          <w:p>
            <w:pPr>
              <w:pStyle w:val="TableParagraph"/>
              <w:ind w:left="100" w:right="131"/>
              <w:rPr>
                <w:sz w:val="17"/>
              </w:rPr>
            </w:pPr>
            <w:r>
              <w:rPr>
                <w:sz w:val="17"/>
              </w:rPr>
              <w:t>Kodeliste: ind- ud, ud-ind, begge veje, in- gen passage</w:t>
            </w:r>
          </w:p>
        </w:tc>
        <w:tc>
          <w:tcPr>
            <w:tcW w:w="4743" w:type="dxa"/>
            <w:tcBorders>
              <w:top w:val="nil"/>
              <w:left w:val="single" w:sz="6" w:space="0" w:color="FFFFFF"/>
              <w:bottom w:val="nil"/>
              <w:right w:val="nil"/>
            </w:tcBorders>
            <w:shd w:val="clear" w:color="auto" w:fill="C8E9E6"/>
          </w:tcPr>
          <w:p>
            <w:pPr>
              <w:pStyle w:val="TableParagraph"/>
              <w:spacing w:before="12"/>
              <w:rPr>
                <w:sz w:val="24"/>
              </w:rPr>
            </w:pPr>
          </w:p>
          <w:p>
            <w:pPr>
              <w:pStyle w:val="TableParagraph"/>
              <w:ind w:left="99" w:right="163"/>
              <w:rPr>
                <w:sz w:val="17"/>
              </w:rPr>
            </w:pPr>
            <w:r>
              <w:rPr>
                <w:sz w:val="17"/>
              </w:rPr>
              <w:t>Beskriver hvilken retning der kan passeres igennem et punkt.</w:t>
            </w:r>
          </w:p>
        </w:tc>
      </w:tr>
      <w:tr>
        <w:trPr>
          <w:trHeight w:val="618" w:hRule="atLeast"/>
        </w:trPr>
        <w:tc>
          <w:tcPr>
            <w:tcW w:w="1136" w:type="dxa"/>
            <w:tcBorders>
              <w:left w:val="nil"/>
            </w:tcBorders>
            <w:shd w:val="clear" w:color="auto" w:fill="E2F3F0"/>
          </w:tcPr>
          <w:p>
            <w:pPr>
              <w:pStyle w:val="TableParagraph"/>
              <w:spacing w:before="105"/>
              <w:ind w:left="103" w:right="328"/>
              <w:rPr>
                <w:b/>
                <w:sz w:val="17"/>
              </w:rPr>
            </w:pPr>
            <w:r>
              <w:rPr>
                <w:b/>
                <w:sz w:val="17"/>
              </w:rPr>
              <w:t>Anven- delse</w:t>
            </w:r>
          </w:p>
        </w:tc>
        <w:tc>
          <w:tcPr>
            <w:tcW w:w="1270" w:type="dxa"/>
            <w:shd w:val="clear" w:color="auto" w:fill="E2F3F0"/>
          </w:tcPr>
          <w:p>
            <w:pPr>
              <w:pStyle w:val="TableParagraph"/>
              <w:spacing w:before="1"/>
              <w:rPr>
                <w:sz w:val="17"/>
              </w:rPr>
            </w:pPr>
          </w:p>
          <w:p>
            <w:pPr>
              <w:pStyle w:val="TableParagraph"/>
              <w:ind w:left="105"/>
              <w:rPr>
                <w:sz w:val="17"/>
              </w:rPr>
            </w:pPr>
            <w:r>
              <w:rPr>
                <w:sz w:val="17"/>
              </w:rPr>
              <w:t>Anvendelse</w:t>
            </w:r>
          </w:p>
        </w:tc>
        <w:tc>
          <w:tcPr>
            <w:tcW w:w="1277" w:type="dxa"/>
            <w:tcBorders>
              <w:top w:val="nil"/>
              <w:bottom w:val="nil"/>
              <w:right w:val="single" w:sz="6" w:space="0" w:color="FFFFFF"/>
            </w:tcBorders>
            <w:shd w:val="clear" w:color="auto" w:fill="E2F3F0"/>
          </w:tcPr>
          <w:p>
            <w:pPr>
              <w:pStyle w:val="TableParagraph"/>
              <w:spacing w:before="105"/>
              <w:ind w:left="102" w:right="109"/>
              <w:rPr>
                <w:sz w:val="17"/>
              </w:rPr>
            </w:pPr>
            <w:r>
              <w:rPr>
                <w:sz w:val="17"/>
              </w:rPr>
              <w:t>Tekst (kodi- ficeret)</w:t>
            </w:r>
          </w:p>
        </w:tc>
        <w:tc>
          <w:tcPr>
            <w:tcW w:w="1561" w:type="dxa"/>
            <w:tcBorders>
              <w:top w:val="nil"/>
              <w:left w:val="single" w:sz="6" w:space="0" w:color="FFFFFF"/>
              <w:bottom w:val="nil"/>
              <w:right w:val="single" w:sz="6" w:space="0" w:color="FFFFFF"/>
            </w:tcBorders>
            <w:shd w:val="clear" w:color="auto" w:fill="E2F3F0"/>
          </w:tcPr>
          <w:p>
            <w:pPr>
              <w:pStyle w:val="TableParagraph"/>
              <w:spacing w:before="1"/>
              <w:rPr>
                <w:sz w:val="17"/>
              </w:rPr>
            </w:pPr>
          </w:p>
          <w:p>
            <w:pPr>
              <w:pStyle w:val="TableParagraph"/>
              <w:ind w:left="100"/>
              <w:rPr>
                <w:sz w:val="17"/>
              </w:rPr>
            </w:pPr>
            <w:r>
              <w:rPr>
                <w:sz w:val="17"/>
              </w:rPr>
              <w:t>Kodeliste</w:t>
            </w:r>
          </w:p>
        </w:tc>
        <w:tc>
          <w:tcPr>
            <w:tcW w:w="4743" w:type="dxa"/>
            <w:tcBorders>
              <w:top w:val="nil"/>
              <w:left w:val="single" w:sz="6" w:space="0" w:color="FFFFFF"/>
              <w:bottom w:val="nil"/>
              <w:right w:val="nil"/>
            </w:tcBorders>
            <w:shd w:val="clear" w:color="auto" w:fill="E2F3F0"/>
          </w:tcPr>
          <w:p>
            <w:pPr>
              <w:pStyle w:val="TableParagraph"/>
              <w:spacing w:line="206" w:lineRule="exact" w:before="7"/>
              <w:ind w:left="99" w:right="99"/>
              <w:rPr>
                <w:sz w:val="17"/>
              </w:rPr>
            </w:pPr>
            <w:r>
              <w:rPr>
                <w:sz w:val="17"/>
              </w:rPr>
              <w:t>Forskellige rumanvendelseskoder lig bygningsan- vendelseskoderne i BBR. Disse skal spille op mod in- ternationalt anerkendte kodificeringer.</w:t>
            </w:r>
          </w:p>
        </w:tc>
      </w:tr>
    </w:tbl>
    <w:p>
      <w:pPr>
        <w:spacing w:before="121"/>
        <w:ind w:left="2649" w:right="0" w:firstLine="0"/>
        <w:jc w:val="left"/>
        <w:rPr>
          <w:i/>
          <w:sz w:val="14"/>
        </w:rPr>
      </w:pPr>
      <w:bookmarkStart w:name="_bookmark20" w:id="21"/>
      <w:bookmarkEnd w:id="21"/>
      <w:r>
        <w:rPr/>
      </w:r>
      <w:r>
        <w:rPr>
          <w:i/>
          <w:sz w:val="14"/>
        </w:rPr>
        <w:t>Tabel 2.2: Domænespecifik datamodel for wayfinding.</w:t>
      </w:r>
    </w:p>
    <w:p>
      <w:pPr>
        <w:spacing w:after="0"/>
        <w:jc w:val="left"/>
        <w:rPr>
          <w:sz w:val="14"/>
        </w:rPr>
        <w:sectPr>
          <w:type w:val="continuous"/>
          <w:pgSz w:w="11910" w:h="16840"/>
          <w:pgMar w:top="1580" w:bottom="280" w:left="980" w:right="100"/>
        </w:sectPr>
      </w:pPr>
    </w:p>
    <w:p>
      <w:pPr>
        <w:pStyle w:val="BodyText"/>
        <w:rPr>
          <w:i/>
          <w:sz w:val="20"/>
        </w:rPr>
      </w:pPr>
    </w:p>
    <w:p>
      <w:pPr>
        <w:pStyle w:val="BodyText"/>
        <w:rPr>
          <w:i/>
          <w:sz w:val="20"/>
        </w:rPr>
      </w:pPr>
    </w:p>
    <w:p>
      <w:pPr>
        <w:pStyle w:val="BodyText"/>
        <w:spacing w:before="11"/>
        <w:rPr>
          <w:i/>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72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8"/>
        </w:rPr>
      </w:pPr>
    </w:p>
    <w:p>
      <w:pPr>
        <w:pStyle w:val="BodyText"/>
        <w:ind w:left="2649"/>
        <w:rPr>
          <w:sz w:val="20"/>
        </w:rPr>
      </w:pPr>
      <w:r>
        <w:rPr>
          <w:sz w:val="20"/>
        </w:rPr>
        <w:drawing>
          <wp:inline distT="0" distB="0" distL="0" distR="0">
            <wp:extent cx="4600672" cy="3086100"/>
            <wp:effectExtent l="0" t="0" r="0" b="0"/>
            <wp:docPr id="19" name="image14.jpeg" descr=""/>
            <wp:cNvGraphicFramePr>
              <a:graphicFrameLocks noChangeAspect="1"/>
            </wp:cNvGraphicFramePr>
            <a:graphic>
              <a:graphicData uri="http://schemas.openxmlformats.org/drawingml/2006/picture">
                <pic:pic>
                  <pic:nvPicPr>
                    <pic:cNvPr id="20" name="image14.jpeg"/>
                    <pic:cNvPicPr/>
                  </pic:nvPicPr>
                  <pic:blipFill>
                    <a:blip r:embed="rId22" cstate="print"/>
                    <a:stretch>
                      <a:fillRect/>
                    </a:stretch>
                  </pic:blipFill>
                  <pic:spPr>
                    <a:xfrm>
                      <a:off x="0" y="0"/>
                      <a:ext cx="4600672" cy="3086100"/>
                    </a:xfrm>
                    <a:prstGeom prst="rect">
                      <a:avLst/>
                    </a:prstGeom>
                  </pic:spPr>
                </pic:pic>
              </a:graphicData>
            </a:graphic>
          </wp:inline>
        </w:drawing>
      </w:r>
      <w:r>
        <w:rPr>
          <w:sz w:val="20"/>
        </w:rPr>
      </w:r>
    </w:p>
    <w:p>
      <w:pPr>
        <w:spacing w:before="62"/>
        <w:ind w:left="5916" w:right="1117" w:hanging="3169"/>
        <w:jc w:val="left"/>
        <w:rPr>
          <w:i/>
          <w:sz w:val="14"/>
        </w:rPr>
      </w:pPr>
      <w:bookmarkStart w:name="_bookmark21" w:id="22"/>
      <w:bookmarkEnd w:id="22"/>
      <w:r>
        <w:rPr/>
      </w:r>
      <w:r>
        <w:rPr>
          <w:i/>
          <w:sz w:val="14"/>
        </w:rPr>
        <w:t>Figur 2.9: Opbygningen af et netværks-infrastruktur datasæt med forskellige typer af punkter i en </w:t>
      </w:r>
      <w:r>
        <w:rPr>
          <w:i/>
          <w:sz w:val="14"/>
        </w:rPr>
        <w:t>bygning.</w:t>
      </w:r>
    </w:p>
    <w:p>
      <w:pPr>
        <w:pStyle w:val="BodyText"/>
        <w:rPr>
          <w:i/>
          <w:sz w:val="16"/>
        </w:rPr>
      </w:pPr>
    </w:p>
    <w:p>
      <w:pPr>
        <w:pStyle w:val="Heading3"/>
        <w:numPr>
          <w:ilvl w:val="2"/>
          <w:numId w:val="8"/>
        </w:numPr>
        <w:tabs>
          <w:tab w:pos="2649" w:val="left" w:leader="none"/>
          <w:tab w:pos="2650" w:val="left" w:leader="none"/>
        </w:tabs>
        <w:spacing w:line="240" w:lineRule="auto" w:before="103" w:after="0"/>
        <w:ind w:left="2649" w:right="0" w:hanging="799"/>
        <w:jc w:val="left"/>
      </w:pPr>
      <w:bookmarkStart w:name="_bookmark22" w:id="23"/>
      <w:bookmarkEnd w:id="23"/>
      <w:r>
        <w:rPr/>
        <w:t>Rev</w:t>
      </w:r>
      <w:r>
        <w:rPr/>
        <w:t>ision af</w:t>
      </w:r>
      <w:r>
        <w:rPr>
          <w:spacing w:val="-1"/>
        </w:rPr>
        <w:t> </w:t>
      </w:r>
      <w:r>
        <w:rPr/>
        <w:t>data</w:t>
      </w:r>
    </w:p>
    <w:p>
      <w:pPr>
        <w:pStyle w:val="BodyText"/>
        <w:spacing w:line="278" w:lineRule="auto" w:before="34"/>
        <w:ind w:left="2649" w:right="1054"/>
      </w:pPr>
      <w:r>
        <w:rPr/>
        <w:t>Bygherre (f.eks. drift, tegnestue eller facility management) skal ved revision af sin bygningsmasse, adgangspunkter eller interessepunkter også revidere BIM-model- ler og data for indendørs geografi. Dette er nødvendigt for at sikre, at data er kva- litetssikrede, aktuelle og anvendelige. Revisionen af data foretages løbende, men inden for en kort frist på få dage/eller aftalt tidsrum efter færdiggørelse af de fysi- ske ændringer, som er relevante for infrastrukturen. Dette er strengt nødvendigt, fordi data forventeligt vil indgå i mange anvendelser og dermed er der væsentlige (samfundsmæssige) interesser, i at data er opdaterede. Der skal tages stilling til, hvordan man håndterer historik og øvrig god forvaltning af dataobjekterne.</w:t>
      </w:r>
    </w:p>
    <w:p>
      <w:pPr>
        <w:pStyle w:val="BodyText"/>
        <w:spacing w:before="11"/>
        <w:rPr>
          <w:sz w:val="21"/>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23" w:id="24"/>
      <w:bookmarkEnd w:id="24"/>
      <w:r>
        <w:rPr/>
        <w:t>Dist</w:t>
      </w:r>
      <w:r>
        <w:rPr/>
        <w:t>ribution af</w:t>
      </w:r>
      <w:r>
        <w:rPr>
          <w:spacing w:val="-1"/>
        </w:rPr>
        <w:t> </w:t>
      </w:r>
      <w:r>
        <w:rPr/>
        <w:t>data</w:t>
      </w:r>
    </w:p>
    <w:p>
      <w:pPr>
        <w:pStyle w:val="BodyText"/>
        <w:spacing w:line="278" w:lineRule="auto" w:before="34"/>
        <w:ind w:left="2649" w:right="1034"/>
      </w:pPr>
      <w:r>
        <w:rPr/>
        <w:t>Bygherre har adgang til egne data og kan trække disse fra det autoritative data- sæt i den indendørs nationale steddatabase. Bygherre kan frit anvende data i egne applikationer samt distribuere dem i henhold til det sikkerhedsniveau, der omfatter disse data. Data skal som udgangspunkt let kunne udtrækkes i et antal relevante formater, og således nemt indgå i forskellige anvendelser. Der skal tages stilling til, hvordan distributionen af data skal organiseres og fra hvilke</w:t>
      </w:r>
      <w:r>
        <w:rPr>
          <w:spacing w:val="-12"/>
        </w:rPr>
        <w:t> </w:t>
      </w:r>
      <w:r>
        <w:rPr/>
        <w:t>platforme.</w:t>
      </w:r>
    </w:p>
    <w:p>
      <w:pPr>
        <w:pStyle w:val="BodyText"/>
        <w:spacing w:before="11"/>
        <w:rPr>
          <w:sz w:val="20"/>
        </w:rPr>
      </w:pPr>
    </w:p>
    <w:p>
      <w:pPr>
        <w:pStyle w:val="Heading2"/>
        <w:numPr>
          <w:ilvl w:val="1"/>
          <w:numId w:val="8"/>
        </w:numPr>
        <w:tabs>
          <w:tab w:pos="2649" w:val="left" w:leader="none"/>
          <w:tab w:pos="2650" w:val="left" w:leader="none"/>
        </w:tabs>
        <w:spacing w:line="240" w:lineRule="auto" w:before="0" w:after="0"/>
        <w:ind w:left="2649" w:right="0" w:hanging="655"/>
        <w:jc w:val="left"/>
      </w:pPr>
      <w:bookmarkStart w:name="_bookmark24" w:id="25"/>
      <w:bookmarkEnd w:id="25"/>
      <w:r>
        <w:rPr/>
        <w:t>Da</w:t>
      </w:r>
      <w:r>
        <w:rPr/>
        <w:t>takvalitet</w:t>
      </w:r>
    </w:p>
    <w:p>
      <w:pPr>
        <w:pStyle w:val="BodyText"/>
        <w:spacing w:line="278" w:lineRule="auto" w:before="38"/>
        <w:ind w:left="2649" w:right="1027"/>
      </w:pPr>
      <w:r>
        <w:rPr/>
        <w:t>Eftersom bygningsejere skal levere data, og dermed det geometriske grundlag for den indendørs geografi, er kvaliteten afhængig af BIM-registreringens nøjagtighed. Det skal fremhæves, at de geometriske data stammer fra forskellige kilder og vil blive vedligeholdt af forskellige aktører. Derfor er det ekstra vigtigt, at dataejerne er meget samvittighedsfulde med oplysning af metadata samt kontrol af datas geometriske kvalitet.</w:t>
      </w:r>
    </w:p>
    <w:p>
      <w:pPr>
        <w:pStyle w:val="BodyText"/>
        <w:spacing w:before="9"/>
        <w:rPr>
          <w:sz w:val="21"/>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25" w:id="26"/>
      <w:bookmarkEnd w:id="26"/>
      <w:r>
        <w:rPr/>
        <w:t>Da</w:t>
      </w:r>
      <w:r>
        <w:rPr/>
        <w:t>ta</w:t>
      </w:r>
      <w:r>
        <w:rPr>
          <w:spacing w:val="-1"/>
        </w:rPr>
        <w:t> </w:t>
      </w:r>
      <w:r>
        <w:rPr/>
        <w:t>nøjagtighed</w:t>
      </w:r>
    </w:p>
    <w:p>
      <w:pPr>
        <w:pStyle w:val="BodyText"/>
        <w:spacing w:before="35"/>
        <w:ind w:left="2649"/>
      </w:pPr>
      <w:r>
        <w:rPr/>
        <w:t>Nøjagtighed forstås som et udtryk for:</w:t>
      </w:r>
    </w:p>
    <w:p>
      <w:pPr>
        <w:pStyle w:val="BodyText"/>
        <w:spacing w:before="1"/>
        <w:rPr>
          <w:sz w:val="24"/>
        </w:rPr>
      </w:pPr>
    </w:p>
    <w:p>
      <w:pPr>
        <w:pStyle w:val="ListParagraph"/>
        <w:numPr>
          <w:ilvl w:val="3"/>
          <w:numId w:val="8"/>
        </w:numPr>
        <w:tabs>
          <w:tab w:pos="2932" w:val="left" w:leader="none"/>
          <w:tab w:pos="2933" w:val="left" w:leader="none"/>
        </w:tabs>
        <w:spacing w:line="276" w:lineRule="auto" w:before="0" w:after="0"/>
        <w:ind w:left="2933" w:right="1113" w:hanging="284"/>
        <w:jc w:val="left"/>
        <w:rPr>
          <w:sz w:val="17"/>
        </w:rPr>
      </w:pPr>
      <w:r>
        <w:rPr>
          <w:sz w:val="17"/>
        </w:rPr>
        <w:t>Koordinatnøjagtigheden for de enkelte punkter. Dette gælder både nøjagtighe- den i planet og i højden. BIM modelleres typisk i millimeter, hvor der i</w:t>
      </w:r>
      <w:r>
        <w:rPr>
          <w:spacing w:val="-21"/>
          <w:sz w:val="17"/>
        </w:rPr>
        <w:t> </w:t>
      </w:r>
      <w:r>
        <w:rPr>
          <w:sz w:val="17"/>
        </w:rPr>
        <w:t>praksis</w:t>
      </w:r>
    </w:p>
    <w:p>
      <w:pPr>
        <w:spacing w:after="0" w:line="276" w:lineRule="auto"/>
        <w:jc w:val="lef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9"/>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63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933" w:right="1025"/>
      </w:pPr>
      <w:r>
        <w:rPr/>
        <w:t>bygges med forskelige faglige tolerancer inden for de enkelte bygge og anlægs- discipliner.</w:t>
      </w:r>
    </w:p>
    <w:p>
      <w:pPr>
        <w:pStyle w:val="ListParagraph"/>
        <w:numPr>
          <w:ilvl w:val="1"/>
          <w:numId w:val="9"/>
        </w:numPr>
        <w:tabs>
          <w:tab w:pos="2932" w:val="left" w:leader="none"/>
          <w:tab w:pos="2933" w:val="left" w:leader="none"/>
        </w:tabs>
        <w:spacing w:line="276" w:lineRule="auto" w:before="1" w:after="0"/>
        <w:ind w:left="2933" w:right="1255" w:hanging="284"/>
        <w:jc w:val="left"/>
        <w:rPr>
          <w:sz w:val="17"/>
        </w:rPr>
      </w:pPr>
      <w:r>
        <w:rPr>
          <w:sz w:val="17"/>
        </w:rPr>
        <w:t>Hvorvidt objekterne er registreret med de korrekte punkttyper, attributter og attributværdier.</w:t>
      </w:r>
    </w:p>
    <w:p>
      <w:pPr>
        <w:pStyle w:val="ListParagraph"/>
        <w:numPr>
          <w:ilvl w:val="1"/>
          <w:numId w:val="9"/>
        </w:numPr>
        <w:tabs>
          <w:tab w:pos="2932" w:val="left" w:leader="none"/>
          <w:tab w:pos="2933" w:val="left" w:leader="none"/>
        </w:tabs>
        <w:spacing w:line="240" w:lineRule="auto" w:before="2" w:after="0"/>
        <w:ind w:left="2933" w:right="0" w:hanging="284"/>
        <w:jc w:val="left"/>
        <w:rPr>
          <w:sz w:val="17"/>
        </w:rPr>
      </w:pPr>
      <w:r>
        <w:rPr>
          <w:sz w:val="17"/>
        </w:rPr>
        <w:t>Hvorvidt data opfylder kravene til topologi og</w:t>
      </w:r>
      <w:r>
        <w:rPr>
          <w:spacing w:val="-5"/>
          <w:sz w:val="17"/>
        </w:rPr>
        <w:t> </w:t>
      </w:r>
      <w:r>
        <w:rPr>
          <w:sz w:val="17"/>
        </w:rPr>
        <w:t>struktur.</w:t>
      </w:r>
    </w:p>
    <w:p>
      <w:pPr>
        <w:pStyle w:val="ListParagraph"/>
        <w:numPr>
          <w:ilvl w:val="1"/>
          <w:numId w:val="9"/>
        </w:numPr>
        <w:tabs>
          <w:tab w:pos="2932" w:val="left" w:leader="none"/>
          <w:tab w:pos="2933" w:val="left" w:leader="none"/>
        </w:tabs>
        <w:spacing w:line="276" w:lineRule="auto" w:before="32" w:after="0"/>
        <w:ind w:left="2933" w:right="1174" w:hanging="284"/>
        <w:jc w:val="left"/>
        <w:rPr>
          <w:sz w:val="17"/>
        </w:rPr>
      </w:pPr>
      <w:r>
        <w:rPr>
          <w:sz w:val="17"/>
        </w:rPr>
        <w:t>Fuldstændighed, forstået som andelen af registrerede objekter i forhold til vir- keligheden.</w:t>
      </w:r>
    </w:p>
    <w:p>
      <w:pPr>
        <w:pStyle w:val="BodyText"/>
        <w:spacing w:before="7"/>
        <w:rPr>
          <w:sz w:val="21"/>
        </w:rPr>
      </w:pPr>
    </w:p>
    <w:p>
      <w:pPr>
        <w:pStyle w:val="BodyText"/>
        <w:spacing w:line="278" w:lineRule="auto"/>
        <w:ind w:left="2649" w:right="1182"/>
      </w:pPr>
      <w:r>
        <w:rPr/>
        <w:t>Ud over nøjagtigheden kan datakvaliteten også defineres som den tematiske (re- gelsæt for attributter) og logiske nøjagtighed (regelsæt for topologi og struktur).</w:t>
      </w:r>
    </w:p>
    <w:p>
      <w:pPr>
        <w:pStyle w:val="BodyText"/>
        <w:spacing w:before="8"/>
        <w:rPr>
          <w:sz w:val="21"/>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26" w:id="27"/>
      <w:bookmarkEnd w:id="27"/>
      <w:r>
        <w:rPr/>
        <w:t>M</w:t>
      </w:r>
      <w:r>
        <w:rPr/>
        <w:t>etadata for objekter og</w:t>
      </w:r>
      <w:r>
        <w:rPr>
          <w:spacing w:val="-4"/>
        </w:rPr>
        <w:t> </w:t>
      </w:r>
      <w:r>
        <w:rPr/>
        <w:t>geometri</w:t>
      </w:r>
    </w:p>
    <w:p>
      <w:pPr>
        <w:pStyle w:val="BodyText"/>
        <w:spacing w:line="278" w:lineRule="auto" w:before="35"/>
        <w:ind w:left="2649" w:right="1261"/>
      </w:pPr>
      <w:r>
        <w:rPr/>
        <w:t>Til alle datasæt skal der beskrives metadata, som overholder de fællesoffentlige krav. Herunder skal attributter, som denne modellering fordrer, implementeres i det generiske objekt for indendørs geografi som begrebsoplysninger. Disse skal kunne indeholde attributter inspireret af Grunddatamodellens objekt-metadata.</w:t>
      </w:r>
    </w:p>
    <w:p>
      <w:pPr>
        <w:pStyle w:val="BodyText"/>
        <w:spacing w:before="9"/>
        <w:rPr>
          <w:sz w:val="21"/>
        </w:rPr>
      </w:pPr>
    </w:p>
    <w:p>
      <w:pPr>
        <w:pStyle w:val="Heading3"/>
        <w:numPr>
          <w:ilvl w:val="2"/>
          <w:numId w:val="8"/>
        </w:numPr>
        <w:tabs>
          <w:tab w:pos="2649" w:val="left" w:leader="none"/>
          <w:tab w:pos="2650" w:val="left" w:leader="none"/>
        </w:tabs>
        <w:spacing w:line="240" w:lineRule="auto" w:before="0" w:after="0"/>
        <w:ind w:left="2649" w:right="0" w:hanging="799"/>
        <w:jc w:val="left"/>
      </w:pPr>
      <w:bookmarkStart w:name="_bookmark27" w:id="28"/>
      <w:bookmarkEnd w:id="28"/>
      <w:r>
        <w:rPr/>
        <w:t>Mode</w:t>
      </w:r>
      <w:r>
        <w:rPr/>
        <w:t>llering af BIM</w:t>
      </w:r>
    </w:p>
    <w:p>
      <w:pPr>
        <w:pStyle w:val="BodyText"/>
        <w:spacing w:line="278" w:lineRule="auto" w:before="34"/>
        <w:ind w:left="2649" w:right="1088"/>
      </w:pPr>
      <w:r>
        <w:rPr/>
        <w:t>BIM-modeller produceres ved en kombination af varierende IKT/BIM-regler for det pågældende projekt og de enkelte rådgiverfirmaers standarder og praksis. BIM- data er derfor ikke standardiserede data i sin udformning, og indeholder data som er forskelligartede og på forskellige udviklingsniveauer. I Danmark er der fortsat ikke en fælles registreringsstandard, som er alment accepteret i byggebranchen. Der er dog en udbredt fælles forståelse for, at der skal standardiseres og at inter- nationalt samarbejde om en standardisering er nødvendig.</w:t>
      </w:r>
    </w:p>
    <w:p>
      <w:pPr>
        <w:pStyle w:val="BodyText"/>
        <w:spacing w:before="9"/>
        <w:rPr>
          <w:sz w:val="21"/>
        </w:rPr>
      </w:pPr>
    </w:p>
    <w:p>
      <w:pPr>
        <w:pStyle w:val="BodyText"/>
        <w:spacing w:line="278" w:lineRule="auto"/>
        <w:ind w:left="2649" w:right="1060"/>
      </w:pPr>
      <w:r>
        <w:rPr/>
        <w:t>BIM modelleres op fra bunden til det enkelte projekt og oftest tages der udgangs- punkt i en foruddefineret skabelon fra f.eks. tidligere projekter. Først defineres indsætningspunkt, etagehøjder osv., og nogle standarder som fx tegningsgrafik og objekttyper. Dernæst modelleres vægge op fra et klassisk 2D plan-niveau, hvoref- ter døre, vinduer, rumpolygoner mm. indsættes. Abstraktions- og detaljerings-ni- veauet i en BIM-model er typisk afhængig af om det er nybyggeri/ombygning eller om der foretages registrering af eksisterende byggeri. I de senere år fokuseres i stigende grad på modellernes egenskaber og strukturering, samt kvalitetssikring af</w:t>
      </w:r>
      <w:r>
        <w:rPr>
          <w:spacing w:val="-1"/>
        </w:rPr>
        <w:t> </w:t>
      </w:r>
      <w:r>
        <w:rPr/>
        <w:t>modellerne.</w:t>
      </w:r>
    </w:p>
    <w:p>
      <w:pPr>
        <w:pStyle w:val="BodyText"/>
        <w:spacing w:before="10"/>
        <w:rPr>
          <w:sz w:val="21"/>
        </w:rPr>
      </w:pPr>
    </w:p>
    <w:p>
      <w:pPr>
        <w:pStyle w:val="Heading3"/>
        <w:numPr>
          <w:ilvl w:val="2"/>
          <w:numId w:val="8"/>
        </w:numPr>
        <w:tabs>
          <w:tab w:pos="2649" w:val="left" w:leader="none"/>
          <w:tab w:pos="2650" w:val="left" w:leader="none"/>
        </w:tabs>
        <w:spacing w:line="240" w:lineRule="auto" w:before="1" w:after="0"/>
        <w:ind w:left="2649" w:right="0" w:hanging="799"/>
        <w:jc w:val="left"/>
      </w:pPr>
      <w:bookmarkStart w:name="_bookmark28" w:id="29"/>
      <w:bookmarkEnd w:id="29"/>
      <w:r>
        <w:rPr/>
        <w:t>BI</w:t>
      </w:r>
      <w:r>
        <w:rPr/>
        <w:t>M-modenhed og datas anvendelse til indendørs</w:t>
      </w:r>
      <w:r>
        <w:rPr>
          <w:spacing w:val="-5"/>
        </w:rPr>
        <w:t> </w:t>
      </w:r>
      <w:r>
        <w:rPr/>
        <w:t>geografi</w:t>
      </w:r>
    </w:p>
    <w:p>
      <w:pPr>
        <w:pStyle w:val="BodyText"/>
        <w:spacing w:line="278" w:lineRule="auto" w:before="34"/>
        <w:ind w:left="2649" w:right="1071"/>
      </w:pPr>
      <w:r>
        <w:rPr/>
        <w:t>Kun få elementer af en samlet BIM model anvendes til indendørs geografi. Men for at en BIM-model kan levere de informationer, som skal anvendes i indendørs geo- grafi, skal der sikres et vidst niveau for modenhed af BIM-modellen. Ved BIM-mo- denhed forstås den berigelse af data i BIM-modellen, som svarer til det behov, der er defineret for oprettelse af data til indendørs geografi. Modenheden defineres ved systematikken af data, egenskaber samt den generelle geometriske kvalitet af BIM-modellen. En BIM-model kan både indeholde de basisparametre og mini- mumskrav der skal være opfyldt, men som alle andre datastrukturer, kan model- lerne beriges og udvides med yderligere parametre i det uendelige ift. BIM-model- lens</w:t>
      </w:r>
      <w:r>
        <w:rPr>
          <w:spacing w:val="-1"/>
        </w:rPr>
        <w:t> </w:t>
      </w:r>
      <w:r>
        <w:rPr/>
        <w:t>potentialer.</w:t>
      </w:r>
    </w:p>
    <w:p>
      <w:pPr>
        <w:pStyle w:val="BodyText"/>
        <w:spacing w:before="8"/>
        <w:rPr>
          <w:sz w:val="21"/>
        </w:rPr>
      </w:pPr>
    </w:p>
    <w:p>
      <w:pPr>
        <w:pStyle w:val="BodyText"/>
        <w:spacing w:line="278" w:lineRule="auto"/>
        <w:ind w:left="2649" w:right="1063"/>
      </w:pPr>
      <w:r>
        <w:rPr/>
        <w:t>BIM-modeller kan indeholde mange forskellige niveauer og detaljer i data, hvor kun få af disse har relevans for den indendørs datainfrastruktur. Men eftersom BIM-modeller ikke har globale standardiseringer eller generaliserede datamodeller, kan det være brugbart at systematisere modenhedsniveauer af de data, som skal indgå i infrastrukturen for indendørs geografi, og dermed hvad der er nødvendigt for at kunne levere data hertil. Den generelle forståelse af behovet for et højere</w:t>
      </w:r>
    </w:p>
    <w:p>
      <w:pPr>
        <w:pStyle w:val="BodyText"/>
        <w:spacing w:line="278" w:lineRule="auto" w:before="2"/>
        <w:ind w:left="2649" w:right="1019"/>
      </w:pPr>
      <w:r>
        <w:rPr/>
        <w:t>modenhedsniveau i BIM, er øget i de seneste år. Tilsvarende er der en stigende er- kendelse af, at netop en international standardisering giver mange fordele for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48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44"/>
        <w:jc w:val="both"/>
      </w:pPr>
      <w:r>
        <w:rPr/>
        <w:t>tværgående samarbejde. Udfordringen har været, at jo flere informationer der im- plementeres i BIM-modellerne, des mere er der at vedligeholde i en senere i drifts- fase. Eksempler på detaljeringsniveauer af rum ses i </w:t>
      </w:r>
      <w:hyperlink w:history="true" w:anchor="_bookmark29">
        <w:r>
          <w:rPr/>
          <w:t>Figur 2.10</w:t>
        </w:r>
      </w:hyperlink>
      <w:r>
        <w:rPr/>
        <w:t>.</w:t>
      </w:r>
    </w:p>
    <w:p>
      <w:pPr>
        <w:pStyle w:val="BodyText"/>
        <w:spacing w:before="12"/>
        <w:rPr>
          <w:sz w:val="18"/>
        </w:rPr>
      </w:pPr>
      <w:r>
        <w:rPr/>
        <w:drawing>
          <wp:anchor distT="0" distB="0" distL="0" distR="0" allowOverlap="1" layoutInCell="1" locked="0" behindDoc="0" simplePos="0" relativeHeight="88">
            <wp:simplePos x="0" y="0"/>
            <wp:positionH relativeFrom="page">
              <wp:posOffset>2304414</wp:posOffset>
            </wp:positionH>
            <wp:positionV relativeFrom="paragraph">
              <wp:posOffset>171359</wp:posOffset>
            </wp:positionV>
            <wp:extent cx="4496380" cy="2079307"/>
            <wp:effectExtent l="0" t="0" r="0" b="0"/>
            <wp:wrapTopAndBottom/>
            <wp:docPr id="21" name="image15.jpeg" descr=""/>
            <wp:cNvGraphicFramePr>
              <a:graphicFrameLocks noChangeAspect="1"/>
            </wp:cNvGraphicFramePr>
            <a:graphic>
              <a:graphicData uri="http://schemas.openxmlformats.org/drawingml/2006/picture">
                <pic:pic>
                  <pic:nvPicPr>
                    <pic:cNvPr id="22" name="image15.jpeg"/>
                    <pic:cNvPicPr/>
                  </pic:nvPicPr>
                  <pic:blipFill>
                    <a:blip r:embed="rId23" cstate="print"/>
                    <a:stretch>
                      <a:fillRect/>
                    </a:stretch>
                  </pic:blipFill>
                  <pic:spPr>
                    <a:xfrm>
                      <a:off x="0" y="0"/>
                      <a:ext cx="4496380" cy="2079307"/>
                    </a:xfrm>
                    <a:prstGeom prst="rect">
                      <a:avLst/>
                    </a:prstGeom>
                  </pic:spPr>
                </pic:pic>
              </a:graphicData>
            </a:graphic>
          </wp:anchor>
        </w:drawing>
      </w:r>
    </w:p>
    <w:p>
      <w:pPr>
        <w:spacing w:before="13"/>
        <w:ind w:left="4121" w:right="1052" w:hanging="1438"/>
        <w:jc w:val="left"/>
        <w:rPr>
          <w:i/>
          <w:sz w:val="14"/>
        </w:rPr>
      </w:pPr>
      <w:bookmarkStart w:name="_bookmark29" w:id="30"/>
      <w:bookmarkEnd w:id="30"/>
      <w:r>
        <w:rPr/>
      </w:r>
      <w:r>
        <w:rPr>
          <w:i/>
          <w:sz w:val="14"/>
        </w:rPr>
        <w:t>Figur 2.10: Eksempel på detaljering af en bygningsmodel i forskellige niveauer af egenskaber og ty- </w:t>
      </w:r>
      <w:r>
        <w:rPr>
          <w:i/>
          <w:sz w:val="14"/>
        </w:rPr>
        <w:t>per for objekterne, såkaldte LOD niveauer (Level of Detail).</w:t>
      </w:r>
    </w:p>
    <w:p>
      <w:pPr>
        <w:pStyle w:val="BodyText"/>
        <w:spacing w:before="3"/>
        <w:rPr>
          <w:i/>
          <w:sz w:val="19"/>
        </w:rPr>
      </w:pPr>
    </w:p>
    <w:p>
      <w:pPr>
        <w:pStyle w:val="BodyText"/>
        <w:spacing w:line="278" w:lineRule="auto"/>
        <w:ind w:left="2649" w:right="1037"/>
      </w:pPr>
      <w:r>
        <w:rPr/>
        <w:t>I byggebranchen er der en begyndende forståelse af, at al data om bygningen ikke kommer til at ligge i BIM-modeller, men at BIM-data kobles til andre typer data.</w:t>
      </w:r>
    </w:p>
    <w:p>
      <w:pPr>
        <w:pStyle w:val="BodyText"/>
        <w:spacing w:line="278" w:lineRule="auto" w:before="1"/>
        <w:ind w:left="2649" w:right="1208"/>
      </w:pPr>
      <w:r>
        <w:rPr/>
        <w:t>Derigennem er branchen nødsaget til at kvalitetssikre sine data, fordi disse kan genbruges i andre sammenhænge. Derved opstår der netop et behov for en kon- kret niveauinddeling af, hvor moden BIM-modellen er, således man kan måle om BIM-modellen lever op til kravene i en given datamodel, som BIM-modellen skal levere data til.</w:t>
      </w:r>
    </w:p>
    <w:p>
      <w:pPr>
        <w:pStyle w:val="BodyText"/>
        <w:spacing w:before="8"/>
        <w:rPr>
          <w:sz w:val="21"/>
        </w:rPr>
      </w:pPr>
    </w:p>
    <w:p>
      <w:pPr>
        <w:pStyle w:val="BodyText"/>
        <w:spacing w:line="278" w:lineRule="auto"/>
        <w:ind w:left="2649" w:right="1185"/>
      </w:pPr>
      <w:r>
        <w:rPr/>
        <w:t>I Danmark er udviklingen af BIM-modellernes modenhed, bl.a. understøttet af de statslige bygherrekrav, hvor leverance af BIM-modeller ved større nybyggeri skal ske i IFC format. Kravene har indtil nu haft den positive virkning, at branchen er på vej fra vektorbaseret grafik til objektbaserede data lagret i databaser.</w:t>
      </w:r>
    </w:p>
    <w:p>
      <w:pPr>
        <w:pStyle w:val="BodyText"/>
        <w:spacing w:before="9"/>
        <w:rPr>
          <w:sz w:val="21"/>
        </w:rPr>
      </w:pPr>
    </w:p>
    <w:p>
      <w:pPr>
        <w:pStyle w:val="Heading3"/>
        <w:numPr>
          <w:ilvl w:val="2"/>
          <w:numId w:val="8"/>
        </w:numPr>
        <w:tabs>
          <w:tab w:pos="2649" w:val="left" w:leader="none"/>
          <w:tab w:pos="2650" w:val="left" w:leader="none"/>
        </w:tabs>
        <w:spacing w:line="276" w:lineRule="auto" w:before="0" w:after="0"/>
        <w:ind w:left="2649" w:right="1122" w:hanging="799"/>
        <w:jc w:val="left"/>
      </w:pPr>
      <w:bookmarkStart w:name="_bookmark30" w:id="31"/>
      <w:bookmarkEnd w:id="31"/>
      <w:r>
        <w:rPr/>
        <w:t>B</w:t>
      </w:r>
      <w:r>
        <w:rPr/>
        <w:t>egrænsninger ved anvendelse af mangelfulde</w:t>
      </w:r>
      <w:r>
        <w:rPr>
          <w:spacing w:val="-39"/>
        </w:rPr>
        <w:t> </w:t>
      </w:r>
      <w:r>
        <w:rPr/>
        <w:t>bygningsmodel data til indendørs geografi</w:t>
      </w:r>
      <w:r>
        <w:rPr>
          <w:spacing w:val="-6"/>
        </w:rPr>
        <w:t> </w:t>
      </w:r>
      <w:r>
        <w:rPr/>
        <w:t>(0-scenarie)</w:t>
      </w:r>
    </w:p>
    <w:p>
      <w:pPr>
        <w:pStyle w:val="BodyText"/>
        <w:spacing w:line="278" w:lineRule="auto"/>
        <w:ind w:left="2649" w:right="1020"/>
      </w:pPr>
      <w:r>
        <w:rPr/>
        <w:t>Alternative metoder til at oparbejde infrastruktur for indendørs geografi er muligt ud fra eksisterende digitalt materiale, ved simpel opmåling eller registrering af de eksisterende forhold. Data ville dog skulle opbygges efter få standardiserede IFC parametre (rum og deres relationer), for at generere de nødvendige informationer til den nationale indendørs steddatabase. Det er f.eks. muligt at generere data ud fra en generel digital grundplan når den samtidigt georefereres</w:t>
      </w:r>
      <w:r>
        <w:rPr>
          <w:position w:val="6"/>
          <w:sz w:val="11"/>
        </w:rPr>
        <w:t>13</w:t>
      </w:r>
      <w:r>
        <w:rPr/>
        <w:t>. Denne proces vil være relativt enkel, og teknisk muligt at udvikle produktionsunderstøttende værk- tøjer til, hvor det i praksis anbefales at oprette simple BIM modeller kun bestående af rum og døre, samt egenskaber. Dette kan hjælpe aktørerne i processerne, mens omfanget af arbejdet kan være stort.</w:t>
      </w:r>
    </w:p>
    <w:p>
      <w:pPr>
        <w:pStyle w:val="BodyText"/>
        <w:spacing w:before="7"/>
        <w:rPr>
          <w:sz w:val="21"/>
        </w:rPr>
      </w:pPr>
    </w:p>
    <w:p>
      <w:pPr>
        <w:pStyle w:val="BodyText"/>
        <w:spacing w:line="278" w:lineRule="auto"/>
        <w:ind w:left="2649" w:right="1033"/>
      </w:pPr>
      <w:r>
        <w:rPr/>
        <w:t>Det er en udfordring for infrastrukturen for indendørs geografi, at der generelt mangler oparbejdede digitale bygningsmodeller i IFC, som er nødvendig for at få det fulde udbytte af den nationale indendørs steddatabase. Dette gælder især æl- dre bygninger, hvor om- eller tilbygninger ikke har nødvendiggjort en digitalisering af bygningerne i BIM-standarder. Omfanget af dette er ukendt, men det kan over- vejes at gennemføres en kvantitativ analyse til vurdering af det faktiske omfang af modenheden for de digitale modeller/tegninger for større bygningskomplekser.</w:t>
      </w:r>
    </w:p>
    <w:p>
      <w:pPr>
        <w:pStyle w:val="BodyText"/>
        <w:spacing w:before="3"/>
        <w:rPr>
          <w:sz w:val="14"/>
        </w:rPr>
      </w:pPr>
      <w:r>
        <w:rPr/>
        <w:pict>
          <v:line style="position:absolute;mso-position-horizontal-relative:page;mso-position-vertical-relative:paragraph;z-index:1112;mso-wrap-distance-left:0;mso-wrap-distance-right:0" from="181.490005pt,10.86078pt" to="325.510005pt,10.86078pt" stroked="true" strokeweight=".47998pt" strokecolor="#000000">
            <v:stroke dashstyle="solid"/>
            <w10:wrap type="topAndBottom"/>
          </v:line>
        </w:pict>
      </w:r>
    </w:p>
    <w:p>
      <w:pPr>
        <w:pStyle w:val="BodyText"/>
        <w:spacing w:before="4"/>
      </w:pPr>
    </w:p>
    <w:p>
      <w:pPr>
        <w:spacing w:before="101"/>
        <w:ind w:left="2649" w:right="0" w:firstLine="0"/>
        <w:jc w:val="left"/>
        <w:rPr>
          <w:sz w:val="15"/>
        </w:rPr>
      </w:pPr>
      <w:r>
        <w:rPr>
          <w:position w:val="5"/>
          <w:sz w:val="10"/>
        </w:rPr>
        <w:t>13 </w:t>
      </w:r>
      <w:r>
        <w:rPr>
          <w:sz w:val="15"/>
        </w:rPr>
        <w:t>En såkaldt LOD100 BIM</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36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37"/>
      </w:pPr>
      <w:r>
        <w:rPr/>
        <w:t>Bygninger, der skal opgraderes kan være dokumenteret som scannede tegninger, CAD-filer eller BIM-data i et lavere modenhedsniveau end IFC. Kvantificeringen modenhedsniveauerne skal benyttes til estimering af de mulige omkostninger for- bundet med at etablere anvendelige bygningsdata.</w:t>
      </w:r>
    </w:p>
    <w:p>
      <w:pPr>
        <w:pStyle w:val="BodyText"/>
        <w:spacing w:before="5"/>
        <w:rPr>
          <w:sz w:val="21"/>
        </w:rPr>
      </w:pPr>
    </w:p>
    <w:p>
      <w:pPr>
        <w:pStyle w:val="BodyText"/>
        <w:spacing w:line="278" w:lineRule="auto"/>
        <w:ind w:left="2649" w:right="1069"/>
      </w:pPr>
      <w:r>
        <w:rPr/>
        <w:t>Den generelle vurdering er, at byggebranchen står overfor en modningsproces svarende til den, der kendes fra GIS-branchen, hvor man for over 20 år siden blev enige om globale udvekslingsformater og de facto standarder, som har været til fordel for såvel nationalt, som internationalt samarbejde og udvikling</w:t>
      </w:r>
      <w:r>
        <w:rPr>
          <w:position w:val="6"/>
          <w:sz w:val="11"/>
        </w:rPr>
        <w:t>14</w:t>
      </w:r>
      <w:r>
        <w:rPr/>
        <w:t>.</w:t>
      </w:r>
    </w:p>
    <w:p>
      <w:pPr>
        <w:pStyle w:val="BodyText"/>
        <w:rPr>
          <w:sz w:val="21"/>
        </w:rPr>
      </w:pPr>
    </w:p>
    <w:p>
      <w:pPr>
        <w:pStyle w:val="Heading2"/>
        <w:numPr>
          <w:ilvl w:val="1"/>
          <w:numId w:val="10"/>
        </w:numPr>
        <w:tabs>
          <w:tab w:pos="2649" w:val="left" w:leader="none"/>
          <w:tab w:pos="2650" w:val="left" w:leader="none"/>
        </w:tabs>
        <w:spacing w:line="240" w:lineRule="auto" w:before="0" w:after="0"/>
        <w:ind w:left="2649" w:right="0" w:hanging="655"/>
        <w:jc w:val="left"/>
      </w:pPr>
      <w:bookmarkStart w:name="_bookmark31" w:id="32"/>
      <w:bookmarkEnd w:id="32"/>
      <w:r>
        <w:rPr/>
        <w:t>Udve</w:t>
      </w:r>
      <w:r>
        <w:rPr/>
        <w:t>ksling af</w:t>
      </w:r>
      <w:r>
        <w:rPr>
          <w:spacing w:val="-3"/>
        </w:rPr>
        <w:t> </w:t>
      </w:r>
      <w:r>
        <w:rPr/>
        <w:t>BIM-data</w:t>
      </w:r>
    </w:p>
    <w:p>
      <w:pPr>
        <w:pStyle w:val="BodyText"/>
        <w:spacing w:line="278" w:lineRule="auto" w:before="35"/>
        <w:ind w:left="2649" w:right="1021"/>
      </w:pPr>
      <w:r>
        <w:rPr/>
        <w:t>Den danske byggebranche fik i 2010 formaliseret implementering af BIM teknologi, i kraft af den statslige bekendtgørelse for informations- og kommunikationstekno- logi (IKT) i alment byggeri, gældende for stort set alle offentlige bygninger. Siden den første bekendtgørelse (BEK 1381), efterfulgt af de 2 parallelle bekendtgørelser 118 og 119, har der været en dansk offentlig tilslutning til det neutrale filudveks- lingsformat IFC. BuildingSMART understøtter dette med et paradigme for åbne standarder inden for bygningsleverancer</w:t>
      </w:r>
      <w:r>
        <w:rPr>
          <w:position w:val="6"/>
          <w:sz w:val="11"/>
        </w:rPr>
        <w:t>15</w:t>
      </w:r>
      <w:r>
        <w:rPr/>
        <w:t>.</w:t>
      </w:r>
    </w:p>
    <w:p>
      <w:pPr>
        <w:pStyle w:val="BodyText"/>
        <w:spacing w:before="11"/>
        <w:rPr>
          <w:sz w:val="21"/>
        </w:rPr>
      </w:pPr>
    </w:p>
    <w:p>
      <w:pPr>
        <w:pStyle w:val="Heading3"/>
        <w:numPr>
          <w:ilvl w:val="2"/>
          <w:numId w:val="10"/>
        </w:numPr>
        <w:tabs>
          <w:tab w:pos="2649" w:val="left" w:leader="none"/>
          <w:tab w:pos="2650" w:val="left" w:leader="none"/>
        </w:tabs>
        <w:spacing w:line="240" w:lineRule="auto" w:before="0" w:after="0"/>
        <w:ind w:left="2649" w:right="0" w:hanging="799"/>
        <w:jc w:val="left"/>
      </w:pPr>
      <w:bookmarkStart w:name="_bookmark32" w:id="33"/>
      <w:bookmarkEnd w:id="33"/>
      <w:r>
        <w:rPr/>
        <w:t>Dig</w:t>
      </w:r>
      <w:r>
        <w:rPr/>
        <w:t>itale udvekslingsprocesser i</w:t>
      </w:r>
      <w:r>
        <w:rPr>
          <w:spacing w:val="-5"/>
        </w:rPr>
        <w:t> </w:t>
      </w:r>
      <w:r>
        <w:rPr/>
        <w:t>byggebranchen</w:t>
      </w:r>
    </w:p>
    <w:p>
      <w:pPr>
        <w:pStyle w:val="BodyText"/>
        <w:spacing w:line="278" w:lineRule="auto" w:before="34"/>
        <w:ind w:left="2649" w:right="1097"/>
      </w:pPr>
      <w:r>
        <w:rPr/>
        <w:t>Undervejs i et byggeprojekt skifter store mængder digitale informationer ejerskab og udveksles. Udvekslingen af data sker på forskellig måder og med forskelligt indhold (med IFC formatet kan der udveksles arealer, rum, bygningsdele, mæng- der, egenskaber samt specifikke henvisninger i modellen). For at der kan udføres digitale leverancer, er det vigtigt at der er klarhed for de enkelte aktører. Både hvad der skal afleveres og hvad man kan forvente at modtage. Dertil skal det af- klares på hvilket bestemt tidspunkt der er brug for informationen, og i hvilken form, så modtageren umiddelbart kan genbruge den. Der ligger et stort potentiale i genbrug af data, dels i den samlede byggeproces og i de enkelte leverancer.</w:t>
      </w:r>
    </w:p>
    <w:p>
      <w:pPr>
        <w:pStyle w:val="BodyText"/>
        <w:spacing w:before="7"/>
        <w:rPr>
          <w:sz w:val="21"/>
        </w:rPr>
      </w:pPr>
    </w:p>
    <w:p>
      <w:pPr>
        <w:pStyle w:val="BodyText"/>
        <w:spacing w:line="278" w:lineRule="auto"/>
        <w:ind w:left="2649" w:right="1019"/>
      </w:pPr>
      <w:r>
        <w:rPr/>
        <w:t>BuildingSMART har udviklet en proces og metode til præcist at beskrive, detaljere og håndtere digital information og digitale leverancer i byggeriets processer, som hedder Information Delivery Manual (IDM). IDM-metoden er udviklet i det interna- tionale buildingSMART-samarbejde og er godkendt som international ISO standard 29481. IDM bruges dels som metode til teknisk og metodisk at konkretisere infor- mationsudveksling (hvad udveksles, hvornår, hvordan og mellem hvem), dels som grundlag for implementering i software og evt. som bilag til en aftale mellem par- terne om digitale ydelser (en IKT-specifikation). IDM’en er altså en manual for in- formationsleverancerne, hvor der med udgangspunkt i en konkret proces specifice- res en IDM for den digitale udveksling mellem parterne. Dette kan eksempelvis omhandle præcisering af leverancerne, validering af leverancerne samt rammer for leverancerne. BuildingSMART’s standardiseringsarbejde for dataudveksling define- res som en treenighed imellem terminologier, processer (IDM) samt standardise- rede formater (IFC) som angivet i </w:t>
      </w:r>
      <w:hyperlink w:history="true" w:anchor="_bookmark33">
        <w:r>
          <w:rPr/>
          <w:t>Figur 2.11</w:t>
        </w:r>
      </w:hyperlink>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1"/>
        </w:rPr>
      </w:pPr>
      <w:r>
        <w:rPr/>
        <w:pict>
          <v:line style="position:absolute;mso-position-horizontal-relative:page;mso-position-vertical-relative:paragraph;z-index:1232;mso-wrap-distance-left:0;mso-wrap-distance-right:0" from="181.490005pt,9.49117pt" to="325.510005pt,9.49117pt" stroked="true" strokeweight=".47998pt" strokecolor="#000000">
            <v:stroke dashstyle="solid"/>
            <w10:wrap type="topAndBottom"/>
          </v:line>
        </w:pict>
      </w:r>
    </w:p>
    <w:p>
      <w:pPr>
        <w:pStyle w:val="BodyText"/>
        <w:spacing w:before="4"/>
      </w:pPr>
    </w:p>
    <w:p>
      <w:pPr>
        <w:spacing w:before="101"/>
        <w:ind w:left="2649" w:right="1038" w:firstLine="0"/>
        <w:jc w:val="left"/>
        <w:rPr>
          <w:sz w:val="15"/>
        </w:rPr>
      </w:pPr>
      <w:r>
        <w:rPr>
          <w:position w:val="5"/>
          <w:sz w:val="10"/>
        </w:rPr>
        <w:t>14 </w:t>
      </w:r>
      <w:r>
        <w:rPr>
          <w:sz w:val="15"/>
        </w:rPr>
        <w:t>NIST rapporten fra USA i 2004 anslår en årlig omkostning ved manglende dataudveksling i den amerikanske byggesektor på 15,8 mia. Dollars, kilde: ”Måling af økonomiske gevinster ved Det Digitale Byggeri” (Klima-, Energi og Bygningsstyrelsen samt DTU Byg)</w:t>
      </w:r>
    </w:p>
    <w:p>
      <w:pPr>
        <w:spacing w:before="1"/>
        <w:ind w:left="2649" w:right="0" w:firstLine="0"/>
        <w:jc w:val="left"/>
        <w:rPr>
          <w:sz w:val="15"/>
        </w:rPr>
      </w:pPr>
      <w:r>
        <w:rPr>
          <w:position w:val="5"/>
          <w:sz w:val="10"/>
        </w:rPr>
        <w:t>15 </w:t>
      </w:r>
      <w:hyperlink r:id="rId24">
        <w:r>
          <w:rPr>
            <w:color w:val="008EBA"/>
            <w:sz w:val="15"/>
            <w:u w:val="single" w:color="008EBA"/>
          </w:rPr>
          <w:t>https://www.buildingsmart.org/standards/</w:t>
        </w:r>
      </w:hyperlink>
    </w:p>
    <w:p>
      <w:pPr>
        <w:spacing w:after="0"/>
        <w:jc w:val="left"/>
        <w:rPr>
          <w:sz w:val="15"/>
        </w:rPr>
        <w:sectPr>
          <w:type w:val="continuous"/>
          <w:pgSz w:w="11910" w:h="16840"/>
          <w:pgMar w:top="1580" w:bottom="280" w:left="980" w:right="100"/>
        </w:sectPr>
      </w:pPr>
    </w:p>
    <w:p>
      <w:pPr>
        <w:spacing w:before="83"/>
        <w:ind w:left="2635" w:right="-19" w:firstLine="0"/>
        <w:jc w:val="left"/>
        <w:rPr>
          <w:sz w:val="12"/>
        </w:rPr>
      </w:pPr>
      <w:r>
        <w:rPr/>
        <w:pict>
          <v:line style="position:absolute;mso-position-horizontal-relative:page;mso-position-vertical-relative:paragraph;z-index:-179248" from="180.770004pt,3.822214pt" to="291.410004pt,3.822214pt" stroked="true" strokeweight=".48pt" strokecolor="#000000">
            <v:stroke dashstyle="solid"/>
            <w10:wrap type="none"/>
          </v:line>
        </w:pict>
      </w:r>
      <w:r>
        <w:rPr>
          <w:sz w:val="12"/>
        </w:rPr>
        <w:t>Styrelsen for Dataforsyning og Effektivisering og Energistyrelsen</w:t>
      </w:r>
    </w:p>
    <w:p>
      <w:pPr>
        <w:pStyle w:val="BodyText"/>
        <w:spacing w:before="11"/>
        <w:rPr>
          <w:sz w:val="5"/>
        </w:rPr>
      </w:pPr>
      <w:r>
        <w:rPr/>
        <w:br w:type="column"/>
      </w:r>
      <w:r>
        <w:rPr>
          <w:sz w:val="5"/>
        </w:rPr>
      </w:r>
    </w:p>
    <w:p>
      <w:pPr>
        <w:tabs>
          <w:tab w:pos="2871" w:val="left" w:leader="none"/>
        </w:tabs>
        <w:spacing w:line="20" w:lineRule="exact"/>
        <w:ind w:left="405" w:right="0" w:firstLine="0"/>
        <w:rPr>
          <w:sz w:val="2"/>
        </w:rPr>
      </w:pP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2876" w:val="left" w:leader="none"/>
        </w:tabs>
        <w:spacing w:before="0"/>
        <w:ind w:left="410" w:right="0" w:firstLine="0"/>
        <w:jc w:val="left"/>
        <w:rPr>
          <w:sz w:val="12"/>
        </w:rPr>
      </w:pP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620" w:bottom="960" w:left="980" w:right="100"/>
          <w:cols w:num="2" w:equalWidth="0">
            <w:col w:w="4653" w:space="40"/>
            <w:col w:w="6137"/>
          </w:cols>
        </w:sectPr>
      </w:pPr>
    </w:p>
    <w:p>
      <w:pPr>
        <w:pStyle w:val="BodyText"/>
        <w:rPr>
          <w:sz w:val="20"/>
        </w:rPr>
      </w:pPr>
      <w:r>
        <w:rPr/>
        <w:pict>
          <v:group style="position:absolute;margin-left:56.465145pt;margin-top:-.222301pt;width:480.2pt;height:841.1pt;mso-position-horizontal-relative:page;mso-position-vertical-relative:page;z-index:-179224" coordorigin="1129,-4" coordsize="9604,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168;top:7703;width:9565;height:3366" type="#_x0000_t75" stroked="false">
              <v:imagedata r:id="rId25" o:title=""/>
            </v:shape>
            <w10:wrap type="none"/>
          </v:group>
        </w:pict>
      </w:r>
    </w:p>
    <w:p>
      <w:pPr>
        <w:pStyle w:val="BodyText"/>
        <w:rPr>
          <w:sz w:val="20"/>
        </w:rPr>
      </w:pPr>
    </w:p>
    <w:p>
      <w:pPr>
        <w:pStyle w:val="BodyText"/>
        <w:spacing w:before="5"/>
        <w:rPr>
          <w:sz w:val="29"/>
        </w:rPr>
      </w:pPr>
    </w:p>
    <w:p>
      <w:pPr>
        <w:pStyle w:val="BodyText"/>
        <w:ind w:left="3685"/>
        <w:rPr>
          <w:sz w:val="20"/>
        </w:rPr>
      </w:pPr>
      <w:r>
        <w:rPr>
          <w:sz w:val="20"/>
        </w:rPr>
        <w:pict>
          <v:group style="width:252.9pt;height:102.05pt;mso-position-horizontal-relative:char;mso-position-vertical-relative:line" coordorigin="0,0" coordsize="5058,2041">
            <v:shape style="position:absolute;left:14;top:15;width:5028;height:2011" type="#_x0000_t75" stroked="false">
              <v:imagedata r:id="rId26" o:title=""/>
            </v:shape>
            <v:rect style="position:absolute;left:7;top:7;width:5043;height:2026" filled="false" stroked="true" strokeweight=".75pt" strokecolor="#585858">
              <v:stroke dashstyle="solid"/>
            </v:rect>
          </v:group>
        </w:pict>
      </w:r>
      <w:r>
        <w:rPr>
          <w:sz w:val="20"/>
        </w:rPr>
      </w:r>
    </w:p>
    <w:p>
      <w:pPr>
        <w:pStyle w:val="BodyText"/>
        <w:spacing w:before="7"/>
        <w:rPr>
          <w:sz w:val="11"/>
        </w:rPr>
      </w:pPr>
    </w:p>
    <w:p>
      <w:pPr>
        <w:spacing w:before="101"/>
        <w:ind w:left="3753" w:right="0" w:firstLine="0"/>
        <w:jc w:val="left"/>
        <w:rPr>
          <w:i/>
          <w:sz w:val="9"/>
        </w:rPr>
      </w:pPr>
      <w:bookmarkStart w:name="_bookmark33" w:id="34"/>
      <w:bookmarkEnd w:id="34"/>
      <w:r>
        <w:rPr/>
      </w:r>
      <w:r>
        <w:rPr>
          <w:i/>
          <w:sz w:val="14"/>
        </w:rPr>
        <w:t>Figur 2.11: IFC, IFD og IDM som dele af data udvekslings-trekanten</w:t>
      </w:r>
      <w:r>
        <w:rPr>
          <w:i/>
          <w:position w:val="5"/>
          <w:sz w:val="9"/>
        </w:rPr>
        <w:t>16</w:t>
      </w:r>
    </w:p>
    <w:p>
      <w:pPr>
        <w:pStyle w:val="BodyText"/>
        <w:spacing w:before="3"/>
        <w:rPr>
          <w:i/>
          <w:sz w:val="19"/>
        </w:rPr>
      </w:pPr>
    </w:p>
    <w:p>
      <w:pPr>
        <w:pStyle w:val="BodyText"/>
        <w:spacing w:line="278" w:lineRule="auto" w:before="1"/>
        <w:ind w:left="2649" w:right="1135"/>
      </w:pPr>
      <w:r>
        <w:rPr/>
        <w:t>Til en IDM hører en Model View Definition (MVD), som beskriver selve datamodel- len for bygningsdele og deres egenskaber. MVD’en oplister systematisk de infor- mationer der hører til et komplet dataudtræk, og redegør for deres interne syste- matisk inddeling og hierarki.</w:t>
      </w:r>
    </w:p>
    <w:p>
      <w:pPr>
        <w:pStyle w:val="BodyText"/>
        <w:spacing w:before="5"/>
        <w:rPr>
          <w:sz w:val="21"/>
        </w:rPr>
      </w:pPr>
    </w:p>
    <w:p>
      <w:pPr>
        <w:pStyle w:val="BodyText"/>
        <w:spacing w:line="278" w:lineRule="auto" w:before="1"/>
        <w:ind w:left="2649" w:right="1077"/>
      </w:pPr>
      <w:r>
        <w:rPr/>
        <w:t>Udviklingen er i de seneste år gået mod forenkling kommunikationen af bygnings- deles detaljering (LOD – Level Of Detail) og beskrivelse af egenskaberne (Level of Information – LOI). Til byggeprojekter og IKT aftaler arbejdes der nu på forenk- lede informationsleverancer i enkelt-sides leverance-oversigter, som letlæste afta- leskemaer. I eksemplet på </w:t>
      </w:r>
      <w:hyperlink w:history="true" w:anchor="_bookmark34">
        <w:r>
          <w:rPr/>
          <w:t>Figur 2.12 </w:t>
        </w:r>
      </w:hyperlink>
      <w:r>
        <w:rPr/>
        <w:t>har en gruppe af arkitektfirmaer sluttet sig sammen om forenkling af leverancer til den daglige projektering, med en egen- skabsliste (LOI) og har samtidig taget IFC begreberne til sig.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0"/>
        <w:ind w:left="2654" w:right="1044" w:firstLine="0"/>
        <w:jc w:val="center"/>
        <w:rPr>
          <w:i/>
          <w:sz w:val="14"/>
        </w:rPr>
      </w:pPr>
      <w:bookmarkStart w:name="_bookmark34" w:id="35"/>
      <w:bookmarkEnd w:id="35"/>
      <w:r>
        <w:rPr/>
      </w:r>
      <w:r>
        <w:rPr>
          <w:i/>
          <w:sz w:val="14"/>
        </w:rPr>
        <w:t>Figur 2.12: I tilknytning er der egenskabs lister hvor open source standarden IFC egenskabs sæt be- </w:t>
      </w:r>
      <w:r>
        <w:rPr>
          <w:i/>
          <w:sz w:val="14"/>
        </w:rPr>
        <w:t>nyttes. Eksempel fra BIM7AA egenskabsliste</w:t>
      </w:r>
    </w:p>
    <w:p>
      <w:pPr>
        <w:pStyle w:val="BodyText"/>
        <w:spacing w:before="4"/>
        <w:rPr>
          <w:i/>
          <w:sz w:val="19"/>
        </w:rPr>
      </w:pPr>
    </w:p>
    <w:p>
      <w:pPr>
        <w:pStyle w:val="BodyText"/>
        <w:spacing w:line="278" w:lineRule="auto"/>
        <w:ind w:left="2649" w:right="1084"/>
      </w:pPr>
      <w:r>
        <w:rPr/>
        <w:t>Der er tidligere kun udviklet en begrænset mængde nationale IDM’er i Danmark, da kravene til BIM modeller og dataudtræk i byggeriet ofte stilles på anden og enklere vis, som beskrevet ovenfor. At IDM’er ikke har vundet indpas i daglig pro- jektering, kan skyldes at det vurderes overflødigt i en byggebranche der baserer sig på stor kendskab til begreber og traditioner i branchen. IDM’erne har den styrke at de netop i kraft af deres præcise beskrivelse, kan bruges dels af bygge- branchen selv, men også til andre anvendelser herunder som grundlag til andet IT (herunder GIS). Inden for rammerne af en infrastruktur for indendørs geografi er de grundige specificeringer fra IDM og MVD nødvendige, da der er behov for en præcisering af leverancerne for de enkelte bygningsdele og deres muligt tilknyt- tede egenskaber.</w:t>
      </w: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352;mso-wrap-distance-left:0;mso-wrap-distance-right:0" from="181.490005pt,13.373477pt" to="325.510005pt,13.373477pt" stroked="true" strokeweight=".47998pt" strokecolor="#000000">
            <v:stroke dashstyle="solid"/>
            <w10:wrap type="topAndBottom"/>
          </v:line>
        </w:pict>
      </w:r>
    </w:p>
    <w:p>
      <w:pPr>
        <w:pStyle w:val="BodyText"/>
        <w:spacing w:before="4"/>
      </w:pPr>
    </w:p>
    <w:p>
      <w:pPr>
        <w:spacing w:before="101"/>
        <w:ind w:left="2649" w:right="0" w:firstLine="0"/>
        <w:jc w:val="left"/>
        <w:rPr>
          <w:sz w:val="15"/>
        </w:rPr>
      </w:pPr>
      <w:r>
        <w:rPr>
          <w:position w:val="5"/>
          <w:sz w:val="10"/>
        </w:rPr>
        <w:t>16 </w:t>
      </w:r>
      <w:r>
        <w:rPr>
          <w:sz w:val="15"/>
        </w:rPr>
        <w:t>Kilde: Interoperability through Standards, af Janne Aas-Jakobsen</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10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3"/>
        </w:rPr>
      </w:pPr>
    </w:p>
    <w:p>
      <w:pPr>
        <w:pStyle w:val="Heading3"/>
        <w:numPr>
          <w:ilvl w:val="2"/>
          <w:numId w:val="10"/>
        </w:numPr>
        <w:tabs>
          <w:tab w:pos="2649" w:val="left" w:leader="none"/>
          <w:tab w:pos="2650" w:val="left" w:leader="none"/>
        </w:tabs>
        <w:spacing w:line="276" w:lineRule="auto" w:before="99" w:after="0"/>
        <w:ind w:left="2649" w:right="1188" w:hanging="799"/>
        <w:jc w:val="left"/>
      </w:pPr>
      <w:bookmarkStart w:name="_bookmark35" w:id="36"/>
      <w:bookmarkEnd w:id="36"/>
      <w:r>
        <w:rPr/>
        <w:t>Ram</w:t>
      </w:r>
      <w:r>
        <w:rPr/>
        <w:t>mer for en IDM med henblik på udveksling af BIM-data til en dansk national steddatabase herunder</w:t>
      </w:r>
      <w:r>
        <w:rPr>
          <w:spacing w:val="-10"/>
        </w:rPr>
        <w:t> </w:t>
      </w:r>
      <w:r>
        <w:rPr/>
        <w:t>energidata</w:t>
      </w:r>
    </w:p>
    <w:p>
      <w:pPr>
        <w:pStyle w:val="BodyText"/>
        <w:spacing w:line="278" w:lineRule="auto"/>
        <w:ind w:left="2649" w:right="1065"/>
      </w:pPr>
      <w:r>
        <w:rPr/>
        <w:t>IDM giver mulighed for at standardisere på tværs af den danske byggebranche og samarbejde internationalt, da man bygger på BuildingSMART formatet som er for- ankret i ISO standarder. Et dansk eksempel er ”Vejledning for aflevering af digital arealinformation”. Denne IDM omhandler arealoptimering og beskriver formål, procedure og specifikation for aflevering af digitale arealdata via en bygningsinfor- mationsmodel (BIM) I IFC</w:t>
      </w:r>
      <w:r>
        <w:rPr>
          <w:rFonts w:ascii="Cambria Math" w:hAnsi="Cambria Math"/>
        </w:rPr>
        <w:t>‐</w:t>
      </w:r>
      <w:r>
        <w:rPr/>
        <w:t>format</w:t>
      </w:r>
      <w:r>
        <w:rPr>
          <w:position w:val="6"/>
          <w:sz w:val="11"/>
        </w:rPr>
        <w:t>17</w:t>
      </w:r>
      <w:r>
        <w:rPr/>
        <w:t>. Byggeriets Videnscenter Molio har udarbejdet en procesbeskrivelse om forarbejde og tilblivelse af en IDM samt dens konkrete anvendelse og kvalitetssikring. Med udgangspunkt i den lægges der op til følgende systematik:</w:t>
      </w:r>
    </w:p>
    <w:p>
      <w:pPr>
        <w:pStyle w:val="BodyText"/>
        <w:spacing w:before="5"/>
        <w:rPr>
          <w:sz w:val="21"/>
        </w:rPr>
      </w:pPr>
    </w:p>
    <w:p>
      <w:pPr>
        <w:pStyle w:val="ListParagraph"/>
        <w:numPr>
          <w:ilvl w:val="3"/>
          <w:numId w:val="10"/>
        </w:numPr>
        <w:tabs>
          <w:tab w:pos="3369" w:val="left" w:leader="none"/>
          <w:tab w:pos="3370" w:val="left" w:leader="none"/>
        </w:tabs>
        <w:spacing w:line="240" w:lineRule="auto" w:before="0" w:after="0"/>
        <w:ind w:left="3369" w:right="0" w:hanging="360"/>
        <w:jc w:val="left"/>
        <w:rPr>
          <w:sz w:val="17"/>
        </w:rPr>
      </w:pPr>
      <w:r>
        <w:rPr>
          <w:sz w:val="17"/>
        </w:rPr>
        <w:t>Leveranceoversigt, der beskriver roller og</w:t>
      </w:r>
      <w:r>
        <w:rPr>
          <w:spacing w:val="-4"/>
          <w:sz w:val="17"/>
        </w:rPr>
        <w:t> </w:t>
      </w:r>
      <w:r>
        <w:rPr>
          <w:sz w:val="17"/>
        </w:rPr>
        <w:t>leverancer</w:t>
      </w:r>
    </w:p>
    <w:p>
      <w:pPr>
        <w:pStyle w:val="ListParagraph"/>
        <w:numPr>
          <w:ilvl w:val="3"/>
          <w:numId w:val="10"/>
        </w:numPr>
        <w:tabs>
          <w:tab w:pos="3369" w:val="left" w:leader="none"/>
          <w:tab w:pos="3370" w:val="left" w:leader="none"/>
        </w:tabs>
        <w:spacing w:line="278" w:lineRule="auto" w:before="32" w:after="0"/>
        <w:ind w:left="3369" w:right="1069" w:hanging="360"/>
        <w:jc w:val="left"/>
        <w:rPr>
          <w:sz w:val="17"/>
        </w:rPr>
      </w:pPr>
      <w:r>
        <w:rPr>
          <w:sz w:val="17"/>
        </w:rPr>
        <w:t>Procesbeskrivelse, kan inddrages og være med til at synliggøre aktioner og tidspunkter mellem aktører i procesforløbet, samt præcisere delproces- ser.</w:t>
      </w:r>
    </w:p>
    <w:p>
      <w:pPr>
        <w:pStyle w:val="ListParagraph"/>
        <w:numPr>
          <w:ilvl w:val="3"/>
          <w:numId w:val="10"/>
        </w:numPr>
        <w:tabs>
          <w:tab w:pos="3369" w:val="left" w:leader="none"/>
          <w:tab w:pos="3370" w:val="left" w:leader="none"/>
        </w:tabs>
        <w:spacing w:line="207" w:lineRule="exact" w:before="0" w:after="0"/>
        <w:ind w:left="3369" w:right="0" w:hanging="360"/>
        <w:jc w:val="left"/>
        <w:rPr>
          <w:sz w:val="17"/>
        </w:rPr>
      </w:pPr>
      <w:r>
        <w:rPr>
          <w:sz w:val="17"/>
        </w:rPr>
        <w:t>Specifikation af dataobjekter og</w:t>
      </w:r>
      <w:r>
        <w:rPr>
          <w:spacing w:val="-3"/>
          <w:sz w:val="17"/>
        </w:rPr>
        <w:t> </w:t>
      </w:r>
      <w:r>
        <w:rPr>
          <w:sz w:val="17"/>
        </w:rPr>
        <w:t>koordinationspunkter</w:t>
      </w:r>
    </w:p>
    <w:p>
      <w:pPr>
        <w:pStyle w:val="ListParagraph"/>
        <w:numPr>
          <w:ilvl w:val="3"/>
          <w:numId w:val="10"/>
        </w:numPr>
        <w:tabs>
          <w:tab w:pos="3369" w:val="left" w:leader="none"/>
          <w:tab w:pos="3370" w:val="left" w:leader="none"/>
        </w:tabs>
        <w:spacing w:line="276" w:lineRule="auto" w:before="31" w:after="0"/>
        <w:ind w:left="3369" w:right="1078" w:hanging="360"/>
        <w:jc w:val="left"/>
        <w:rPr>
          <w:sz w:val="17"/>
        </w:rPr>
      </w:pPr>
      <w:r>
        <w:rPr>
          <w:sz w:val="17"/>
        </w:rPr>
        <w:t>Danske og internationale standarder, f.eks. for areal- eller energi opgørel- ser.</w:t>
      </w:r>
    </w:p>
    <w:p>
      <w:pPr>
        <w:pStyle w:val="ListParagraph"/>
        <w:numPr>
          <w:ilvl w:val="3"/>
          <w:numId w:val="10"/>
        </w:numPr>
        <w:tabs>
          <w:tab w:pos="3369" w:val="left" w:leader="none"/>
          <w:tab w:pos="3370" w:val="left" w:leader="none"/>
        </w:tabs>
        <w:spacing w:line="276" w:lineRule="auto" w:before="3" w:after="0"/>
        <w:ind w:left="3369" w:right="1070" w:hanging="360"/>
        <w:jc w:val="left"/>
        <w:rPr>
          <w:sz w:val="17"/>
        </w:rPr>
      </w:pPr>
      <w:r>
        <w:rPr>
          <w:sz w:val="17"/>
        </w:rPr>
        <w:t>Model View Definition som beskriver den datamodel der skal eks- eller im- porteres.</w:t>
      </w:r>
    </w:p>
    <w:p>
      <w:pPr>
        <w:pStyle w:val="ListParagraph"/>
        <w:numPr>
          <w:ilvl w:val="3"/>
          <w:numId w:val="10"/>
        </w:numPr>
        <w:tabs>
          <w:tab w:pos="3369" w:val="left" w:leader="none"/>
          <w:tab w:pos="3370" w:val="left" w:leader="none"/>
        </w:tabs>
        <w:spacing w:line="240" w:lineRule="auto" w:before="3" w:after="0"/>
        <w:ind w:left="3369" w:right="0" w:hanging="360"/>
        <w:jc w:val="left"/>
        <w:rPr>
          <w:sz w:val="17"/>
        </w:rPr>
      </w:pPr>
      <w:r>
        <w:rPr>
          <w:sz w:val="17"/>
        </w:rPr>
        <w:t>Forretningsregler, herunder ved lov vedtagne</w:t>
      </w:r>
      <w:r>
        <w:rPr>
          <w:spacing w:val="-3"/>
          <w:sz w:val="17"/>
        </w:rPr>
        <w:t> </w:t>
      </w:r>
      <w:r>
        <w:rPr>
          <w:sz w:val="17"/>
        </w:rPr>
        <w:t>regler.</w:t>
      </w:r>
    </w:p>
    <w:p>
      <w:pPr>
        <w:pStyle w:val="BodyText"/>
        <w:spacing w:before="11"/>
        <w:rPr>
          <w:sz w:val="23"/>
        </w:rPr>
      </w:pPr>
    </w:p>
    <w:p>
      <w:pPr>
        <w:pStyle w:val="BodyText"/>
        <w:spacing w:line="278" w:lineRule="auto"/>
        <w:ind w:left="2649" w:right="1018"/>
      </w:pPr>
      <w:r>
        <w:rPr/>
        <w:t>Med baggrund i dette findes der i </w:t>
      </w:r>
      <w:hyperlink w:history="true" w:anchor="_bookmark116">
        <w:r>
          <w:rPr/>
          <w:t>”Appendix 1:</w:t>
        </w:r>
      </w:hyperlink>
      <w:r>
        <w:rPr/>
        <w:t>” et, til projektet udarbejdet, forslag til rammer for en IDM med henblik på udveksling af BIM-data til en danske natio- nal stedsdatabase herunder energidatabase. Der tages udgangspunkt i ”Vejledning for aflevering af digital arealinformation”, hvortil bygningsdelen ”Døråbning” er til- føjet, da det i nogle henseende beskriver rummenes indbyrdes relationer. Til sidst i appendikset er der angivet egenskaber i form at et generelt eksempel.</w:t>
      </w:r>
    </w:p>
    <w:p>
      <w:pPr>
        <w:pStyle w:val="BodyText"/>
        <w:spacing w:before="10"/>
        <w:rPr>
          <w:sz w:val="21"/>
        </w:rPr>
      </w:pPr>
    </w:p>
    <w:p>
      <w:pPr>
        <w:pStyle w:val="Heading3"/>
        <w:numPr>
          <w:ilvl w:val="2"/>
          <w:numId w:val="10"/>
        </w:numPr>
        <w:tabs>
          <w:tab w:pos="2649" w:val="left" w:leader="none"/>
          <w:tab w:pos="2650" w:val="left" w:leader="none"/>
        </w:tabs>
        <w:spacing w:line="240" w:lineRule="auto" w:before="0" w:after="0"/>
        <w:ind w:left="2649" w:right="0" w:hanging="799"/>
        <w:jc w:val="left"/>
      </w:pPr>
      <w:bookmarkStart w:name="_bookmark36" w:id="37"/>
      <w:bookmarkEnd w:id="37"/>
      <w:r>
        <w:rPr/>
        <w:t>Int</w:t>
      </w:r>
      <w:r>
        <w:rPr/>
        <w:t>ernationale BuildingSMART samarbejder om</w:t>
      </w:r>
      <w:r>
        <w:rPr>
          <w:spacing w:val="-6"/>
        </w:rPr>
        <w:t> </w:t>
      </w:r>
      <w:r>
        <w:rPr/>
        <w:t>MVD</w:t>
      </w:r>
    </w:p>
    <w:p>
      <w:pPr>
        <w:pStyle w:val="BodyText"/>
        <w:spacing w:line="278" w:lineRule="auto" w:before="35"/>
        <w:ind w:left="2649" w:right="1040"/>
      </w:pPr>
      <w:r>
        <w:rPr/>
        <w:t>Siden 2008 har BuildingSMART organisationen faciliteret udvikling af fælles samar- bejdsstandarder inden for dataudveksling basereret på ISO. MVD beskrivelserne er for mange det mest interessante, og derfor findes et væld af disse, som buildingS- MART stiller frit til rådighed. Fem af de internationalt anerkendte MVD’er relaterer sig til energidata, som dette projekt tester på i forbindelse med en national sted- database:</w:t>
      </w:r>
    </w:p>
    <w:p>
      <w:pPr>
        <w:pStyle w:val="BodyText"/>
        <w:spacing w:before="5"/>
        <w:rPr>
          <w:sz w:val="21"/>
        </w:rPr>
      </w:pPr>
    </w:p>
    <w:p>
      <w:pPr>
        <w:pStyle w:val="ListParagraph"/>
        <w:numPr>
          <w:ilvl w:val="0"/>
          <w:numId w:val="11"/>
        </w:numPr>
        <w:tabs>
          <w:tab w:pos="3357" w:val="left" w:leader="none"/>
          <w:tab w:pos="3358" w:val="left" w:leader="none"/>
        </w:tabs>
        <w:spacing w:line="240" w:lineRule="auto" w:before="1" w:after="0"/>
        <w:ind w:left="3357" w:right="0" w:hanging="708"/>
        <w:jc w:val="left"/>
        <w:rPr>
          <w:sz w:val="16"/>
        </w:rPr>
      </w:pPr>
      <w:r>
        <w:rPr>
          <w:sz w:val="17"/>
        </w:rPr>
        <w:t>Architectural design to thermal</w:t>
      </w:r>
      <w:r>
        <w:rPr>
          <w:spacing w:val="-3"/>
          <w:sz w:val="17"/>
        </w:rPr>
        <w:t> </w:t>
      </w:r>
      <w:r>
        <w:rPr>
          <w:sz w:val="17"/>
        </w:rPr>
        <w:t>simulation</w:t>
      </w:r>
    </w:p>
    <w:p>
      <w:pPr>
        <w:pStyle w:val="ListParagraph"/>
        <w:numPr>
          <w:ilvl w:val="0"/>
          <w:numId w:val="11"/>
        </w:numPr>
        <w:tabs>
          <w:tab w:pos="3357" w:val="left" w:leader="none"/>
          <w:tab w:pos="3358" w:val="left" w:leader="none"/>
        </w:tabs>
        <w:spacing w:line="240" w:lineRule="auto" w:before="34" w:after="0"/>
        <w:ind w:left="3357" w:right="0" w:hanging="708"/>
        <w:jc w:val="left"/>
        <w:rPr>
          <w:sz w:val="17"/>
        </w:rPr>
      </w:pPr>
      <w:r>
        <w:rPr>
          <w:sz w:val="17"/>
        </w:rPr>
        <w:t>Architectural design to Energy</w:t>
      </w:r>
      <w:r>
        <w:rPr>
          <w:spacing w:val="-12"/>
          <w:sz w:val="17"/>
        </w:rPr>
        <w:t> </w:t>
      </w:r>
      <w:r>
        <w:rPr>
          <w:sz w:val="17"/>
        </w:rPr>
        <w:t>Analysis</w:t>
      </w:r>
    </w:p>
    <w:p>
      <w:pPr>
        <w:pStyle w:val="ListParagraph"/>
        <w:numPr>
          <w:ilvl w:val="0"/>
          <w:numId w:val="11"/>
        </w:numPr>
        <w:tabs>
          <w:tab w:pos="3357" w:val="left" w:leader="none"/>
          <w:tab w:pos="3358" w:val="left" w:leader="none"/>
        </w:tabs>
        <w:spacing w:line="240" w:lineRule="auto" w:before="33" w:after="0"/>
        <w:ind w:left="3357" w:right="0" w:hanging="708"/>
        <w:jc w:val="left"/>
        <w:rPr>
          <w:sz w:val="16"/>
        </w:rPr>
      </w:pPr>
      <w:r>
        <w:rPr>
          <w:sz w:val="17"/>
        </w:rPr>
        <w:t>Curtain Wall Design to Energy</w:t>
      </w:r>
      <w:r>
        <w:rPr>
          <w:spacing w:val="-14"/>
          <w:sz w:val="17"/>
        </w:rPr>
        <w:t> </w:t>
      </w:r>
      <w:r>
        <w:rPr>
          <w:sz w:val="17"/>
        </w:rPr>
        <w:t>Analysis</w:t>
      </w:r>
    </w:p>
    <w:p>
      <w:pPr>
        <w:pStyle w:val="ListParagraph"/>
        <w:numPr>
          <w:ilvl w:val="0"/>
          <w:numId w:val="11"/>
        </w:numPr>
        <w:tabs>
          <w:tab w:pos="3357" w:val="left" w:leader="none"/>
          <w:tab w:pos="3358" w:val="left" w:leader="none"/>
        </w:tabs>
        <w:spacing w:line="240" w:lineRule="auto" w:before="33" w:after="0"/>
        <w:ind w:left="3357" w:right="0" w:hanging="708"/>
        <w:jc w:val="left"/>
        <w:rPr>
          <w:sz w:val="17"/>
        </w:rPr>
      </w:pPr>
      <w:r>
        <w:rPr>
          <w:sz w:val="17"/>
        </w:rPr>
        <w:t>Indoor climate simulation to HVAC</w:t>
      </w:r>
      <w:r>
        <w:rPr>
          <w:spacing w:val="-5"/>
          <w:sz w:val="17"/>
        </w:rPr>
        <w:t> </w:t>
      </w:r>
      <w:r>
        <w:rPr>
          <w:sz w:val="17"/>
        </w:rPr>
        <w:t>design</w:t>
      </w:r>
    </w:p>
    <w:p>
      <w:pPr>
        <w:pStyle w:val="ListParagraph"/>
        <w:numPr>
          <w:ilvl w:val="0"/>
          <w:numId w:val="11"/>
        </w:numPr>
        <w:tabs>
          <w:tab w:pos="3357" w:val="left" w:leader="none"/>
          <w:tab w:pos="3358" w:val="left" w:leader="none"/>
        </w:tabs>
        <w:spacing w:line="240" w:lineRule="auto" w:before="34" w:after="0"/>
        <w:ind w:left="3357" w:right="0" w:hanging="708"/>
        <w:jc w:val="left"/>
        <w:rPr>
          <w:sz w:val="17"/>
        </w:rPr>
      </w:pPr>
      <w:r>
        <w:rPr>
          <w:sz w:val="17"/>
        </w:rPr>
        <w:t>Space Requirements and Targets to Thermal</w:t>
      </w:r>
      <w:r>
        <w:rPr>
          <w:spacing w:val="-4"/>
          <w:sz w:val="17"/>
        </w:rPr>
        <w:t> </w:t>
      </w:r>
      <w:r>
        <w:rPr>
          <w:sz w:val="17"/>
        </w:rPr>
        <w:t>Simulation</w:t>
      </w:r>
    </w:p>
    <w:p>
      <w:pPr>
        <w:pStyle w:val="BodyText"/>
        <w:spacing w:before="6"/>
        <w:rPr>
          <w:sz w:val="22"/>
        </w:rPr>
      </w:pPr>
    </w:p>
    <w:p>
      <w:pPr>
        <w:pStyle w:val="BodyText"/>
        <w:spacing w:line="278" w:lineRule="auto"/>
        <w:ind w:left="2649" w:right="1241"/>
      </w:pPr>
      <w:r>
        <w:rPr/>
        <w:t>Flere af disse MVD’er er udarbejdet i de skandinaviske buildingSMART samarbej- der. Et eksempel på diagrammerne for en MVD, kan ses på diagrammet i </w:t>
      </w:r>
      <w:hyperlink w:history="true" w:anchor="_bookmark37">
        <w:r>
          <w:rPr/>
          <w:t>Figur</w:t>
        </w:r>
      </w:hyperlink>
    </w:p>
    <w:p>
      <w:pPr>
        <w:pStyle w:val="BodyText"/>
        <w:spacing w:line="278" w:lineRule="auto"/>
        <w:ind w:left="2649" w:right="1019"/>
      </w:pPr>
      <w:hyperlink w:history="true" w:anchor="_bookmark37">
        <w:r>
          <w:rPr/>
          <w:t>2.13</w:t>
        </w:r>
      </w:hyperlink>
      <w:r>
        <w:rPr/>
        <w:t>. På BLIS hjemmeside, kan man finde en oversigt og detaljerede informationer om de relevante MVD’er</w:t>
      </w:r>
      <w:r>
        <w:rPr>
          <w:position w:val="6"/>
          <w:sz w:val="11"/>
        </w:rPr>
        <w:t>18</w:t>
      </w:r>
      <w:r>
        <w:rPr/>
        <w:t>.</w:t>
      </w:r>
    </w:p>
    <w:p>
      <w:pPr>
        <w:pStyle w:val="BodyText"/>
        <w:rPr>
          <w:sz w:val="20"/>
        </w:rPr>
      </w:pPr>
    </w:p>
    <w:p>
      <w:pPr>
        <w:pStyle w:val="BodyText"/>
        <w:rPr>
          <w:sz w:val="20"/>
        </w:rPr>
      </w:pPr>
    </w:p>
    <w:p>
      <w:pPr>
        <w:pStyle w:val="BodyText"/>
        <w:rPr>
          <w:sz w:val="20"/>
        </w:rPr>
      </w:pPr>
    </w:p>
    <w:p>
      <w:pPr>
        <w:pStyle w:val="BodyText"/>
        <w:spacing w:before="7"/>
        <w:rPr>
          <w:sz w:val="24"/>
        </w:rPr>
      </w:pPr>
      <w:r>
        <w:rPr/>
        <w:pict>
          <v:line style="position:absolute;mso-position-horizontal-relative:page;mso-position-vertical-relative:paragraph;z-index:1496;mso-wrap-distance-left:0;mso-wrap-distance-right:0" from="181.490005pt,17.156326pt" to="325.510005pt,17.156326pt" stroked="true" strokeweight=".47998pt" strokecolor="#000000">
            <v:stroke dashstyle="solid"/>
            <w10:wrap type="topAndBottom"/>
          </v:line>
        </w:pict>
      </w:r>
    </w:p>
    <w:p>
      <w:pPr>
        <w:pStyle w:val="BodyText"/>
        <w:spacing w:before="4"/>
      </w:pPr>
    </w:p>
    <w:p>
      <w:pPr>
        <w:spacing w:before="101"/>
        <w:ind w:left="2649" w:right="0" w:firstLine="0"/>
        <w:jc w:val="left"/>
        <w:rPr>
          <w:sz w:val="15"/>
        </w:rPr>
      </w:pPr>
      <w:r>
        <w:rPr>
          <w:position w:val="5"/>
          <w:sz w:val="10"/>
        </w:rPr>
        <w:t>17 </w:t>
      </w:r>
      <w:r>
        <w:rPr>
          <w:sz w:val="15"/>
        </w:rPr>
        <w:t>Kilde: </w:t>
      </w:r>
      <w:hyperlink r:id="rId27">
        <w:r>
          <w:rPr>
            <w:color w:val="008EBA"/>
            <w:sz w:val="15"/>
            <w:u w:val="single" w:color="008EBA"/>
          </w:rPr>
          <w:t>https://BIPS.dk/files/news_files/idm_-_dk-gov-area.pdf</w:t>
        </w:r>
      </w:hyperlink>
    </w:p>
    <w:p>
      <w:pPr>
        <w:spacing w:before="1"/>
        <w:ind w:left="2649" w:right="1936" w:firstLine="0"/>
        <w:jc w:val="left"/>
        <w:rPr>
          <w:sz w:val="15"/>
        </w:rPr>
      </w:pPr>
      <w:r>
        <w:rPr>
          <w:position w:val="5"/>
          <w:sz w:val="10"/>
        </w:rPr>
        <w:t>18 </w:t>
      </w:r>
      <w:r>
        <w:rPr>
          <w:sz w:val="15"/>
        </w:rPr>
        <w:t>BLIS: Building Lifecycle Interoperable Software, oversigten over MVD findes på: </w:t>
      </w:r>
      <w:hyperlink r:id="rId28">
        <w:r>
          <w:rPr>
            <w:color w:val="008EBA"/>
            <w:sz w:val="15"/>
            <w:u w:val="single" w:color="008EBA"/>
          </w:rPr>
          <w:t>http://www.blis-project.org/IAI-MVD/reporting/listMVDs_4.php</w:t>
        </w:r>
      </w:hyperlink>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900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rPr>
          <w:sz w:val="20"/>
        </w:rPr>
      </w:pPr>
    </w:p>
    <w:p>
      <w:pPr>
        <w:pStyle w:val="BodyText"/>
        <w:rPr>
          <w:sz w:val="10"/>
        </w:rPr>
      </w:pPr>
    </w:p>
    <w:p>
      <w:pPr>
        <w:pStyle w:val="BodyText"/>
        <w:ind w:left="2649"/>
        <w:rPr>
          <w:sz w:val="20"/>
        </w:rPr>
      </w:pPr>
      <w:r>
        <w:rPr>
          <w:sz w:val="20"/>
        </w:rPr>
        <w:drawing>
          <wp:inline distT="0" distB="0" distL="0" distR="0">
            <wp:extent cx="4644185" cy="3218688"/>
            <wp:effectExtent l="0" t="0" r="0" b="0"/>
            <wp:docPr id="23" name="image18.jpeg" descr=""/>
            <wp:cNvGraphicFramePr>
              <a:graphicFrameLocks noChangeAspect="1"/>
            </wp:cNvGraphicFramePr>
            <a:graphic>
              <a:graphicData uri="http://schemas.openxmlformats.org/drawingml/2006/picture">
                <pic:pic>
                  <pic:nvPicPr>
                    <pic:cNvPr id="24" name="image18.jpeg"/>
                    <pic:cNvPicPr/>
                  </pic:nvPicPr>
                  <pic:blipFill>
                    <a:blip r:embed="rId29" cstate="print"/>
                    <a:stretch>
                      <a:fillRect/>
                    </a:stretch>
                  </pic:blipFill>
                  <pic:spPr>
                    <a:xfrm>
                      <a:off x="0" y="0"/>
                      <a:ext cx="4644185" cy="3218688"/>
                    </a:xfrm>
                    <a:prstGeom prst="rect">
                      <a:avLst/>
                    </a:prstGeom>
                  </pic:spPr>
                </pic:pic>
              </a:graphicData>
            </a:graphic>
          </wp:inline>
        </w:drawing>
      </w:r>
      <w:r>
        <w:rPr>
          <w:sz w:val="20"/>
        </w:rPr>
      </w:r>
    </w:p>
    <w:p>
      <w:pPr>
        <w:pStyle w:val="BodyText"/>
        <w:spacing w:before="1"/>
        <w:rPr>
          <w:sz w:val="14"/>
        </w:rPr>
      </w:pPr>
    </w:p>
    <w:p>
      <w:pPr>
        <w:spacing w:before="99"/>
        <w:ind w:left="2649" w:right="0" w:firstLine="0"/>
        <w:jc w:val="left"/>
        <w:rPr>
          <w:i/>
          <w:sz w:val="14"/>
        </w:rPr>
      </w:pPr>
      <w:bookmarkStart w:name="_bookmark37" w:id="38"/>
      <w:bookmarkEnd w:id="38"/>
      <w:r>
        <w:rPr/>
      </w:r>
      <w:r>
        <w:rPr>
          <w:i/>
          <w:sz w:val="14"/>
        </w:rPr>
        <w:t>Figur 2.13: Eksempel på diagram for en MVD - her Architectural Design to Building Energy Analysis</w:t>
      </w:r>
    </w:p>
    <w:p>
      <w:pPr>
        <w:spacing w:after="0"/>
        <w:jc w:val="left"/>
        <w:rPr>
          <w:sz w:val="14"/>
        </w:rPr>
        <w:sectPr>
          <w:type w:val="continuous"/>
          <w:pgSz w:w="11910" w:h="16840"/>
          <w:pgMar w:top="1580" w:bottom="280" w:left="980" w:right="100"/>
        </w:sectPr>
      </w:pPr>
    </w:p>
    <w:p>
      <w:pPr>
        <w:pStyle w:val="BodyText"/>
        <w:rPr>
          <w:i/>
          <w:sz w:val="20"/>
        </w:rPr>
      </w:pPr>
    </w:p>
    <w:p>
      <w:pPr>
        <w:pStyle w:val="BodyText"/>
        <w:rPr>
          <w:i/>
          <w:sz w:val="20"/>
        </w:rPr>
      </w:pPr>
    </w:p>
    <w:p>
      <w:pPr>
        <w:pStyle w:val="BodyText"/>
        <w:spacing w:before="11"/>
        <w:rPr>
          <w:i/>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888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0"/>
          <w:numId w:val="10"/>
        </w:numPr>
        <w:tabs>
          <w:tab w:pos="2649" w:val="left" w:leader="none"/>
          <w:tab w:pos="2650" w:val="left" w:leader="none"/>
        </w:tabs>
        <w:spacing w:line="240" w:lineRule="auto" w:before="101" w:after="0"/>
        <w:ind w:left="2649" w:right="0" w:hanging="427"/>
        <w:jc w:val="left"/>
      </w:pPr>
      <w:bookmarkStart w:name="_bookmark38" w:id="39"/>
      <w:bookmarkEnd w:id="39"/>
      <w:r>
        <w:rPr/>
        <w:t>Da</w:t>
      </w:r>
      <w:r>
        <w:rPr/>
        <w:t>ta til brug for</w:t>
      </w:r>
      <w:r>
        <w:rPr>
          <w:spacing w:val="-3"/>
        </w:rPr>
        <w:t> </w:t>
      </w:r>
      <w:r>
        <w:rPr/>
        <w:t>energieffektivisering</w:t>
      </w:r>
    </w:p>
    <w:p>
      <w:pPr>
        <w:pStyle w:val="BodyText"/>
        <w:spacing w:line="278" w:lineRule="auto" w:before="37"/>
        <w:ind w:left="2649" w:right="1103"/>
      </w:pPr>
      <w:r>
        <w:rPr/>
        <w:t>De seneste årtiers teknologiske udvikling har givet kommuner, regioner og andre store bygningsejere en lang række nye muligheder for at overvåge, optimere og omlægge bygningsdriften på grundlag af detaljerede data om bygningernes til- stand, aktivitet, performance og energiforbrug. Målere bliver i stigende grad digi- tale, bygningsdriften automatiseres og data sammenkobles på nye måder. Mange kommuner, regioner og 3. parts aktører benytter sig allerede af de nye mulighe- der, som øget dataproduktion, digitalisering og automation giver i forhold til ener- gieffektivisering. Samtidigt viser erfaringerne dog, at der stadig er betydelige bar- rierer, der hæmmer udnyttelsen af data til energieffektivisering.</w:t>
      </w:r>
    </w:p>
    <w:p>
      <w:pPr>
        <w:pStyle w:val="BodyText"/>
        <w:spacing w:before="11"/>
        <w:rPr>
          <w:sz w:val="20"/>
        </w:rPr>
      </w:pPr>
    </w:p>
    <w:p>
      <w:pPr>
        <w:pStyle w:val="Heading2"/>
        <w:tabs>
          <w:tab w:pos="2649" w:val="left" w:leader="none"/>
        </w:tabs>
        <w:spacing w:line="264" w:lineRule="auto"/>
        <w:ind w:right="1320" w:hanging="656"/>
      </w:pPr>
      <w:r>
        <w:rPr/>
        <w:t>3.1</w:t>
        <w:tab/>
      </w:r>
      <w:bookmarkStart w:name="_bookmark39" w:id="40"/>
      <w:bookmarkEnd w:id="40"/>
      <w:r>
        <w:rPr/>
        <w:t>Oversig</w:t>
      </w:r>
      <w:r>
        <w:rPr/>
        <w:t>t over typiske datakilder til energieffektivi- sering</w:t>
      </w:r>
    </w:p>
    <w:p>
      <w:pPr>
        <w:pStyle w:val="BodyText"/>
        <w:spacing w:line="278" w:lineRule="auto" w:before="8"/>
        <w:ind w:left="2649" w:right="1061"/>
      </w:pPr>
      <w:r>
        <w:rPr/>
        <w:t>Kommuner og regioner kan potentielt udnytte en lang række forskellige datatyper og datakilder i forbindelse med energieffektivisering af bygningsmassen. Tabellen i </w:t>
      </w:r>
      <w:hyperlink w:history="true" w:anchor="_bookmark117">
        <w:r>
          <w:rPr/>
          <w:t>”Appendix 2: </w:t>
        </w:r>
      </w:hyperlink>
      <w:hyperlink w:history="true" w:anchor="_bookmark117">
        <w:r>
          <w:rPr/>
          <w:t>Data med relevans for energieffektivisering</w:t>
        </w:r>
      </w:hyperlink>
      <w:r>
        <w:rPr/>
        <w:t>” giver et skematisk over- blik over de datakilder, der indgår i kommuner og regioners arbejde med drift, vedligehold og energieffektivisering. Her angives anvendelsesmuligheder ved refe- rence til en indendørs steddatabase, samt en foreløbig vurdering af, hvorvidt an- vendelsespotentialet er lille, middel eller stort. Det vurderes at de data, der har det største anvendelsespotentiale ved reference til en steddatabase vil være dyna- miske data fra fx bi-målere, dataloggere og sensorer. Dette skyldes, at de vil kunne have den fornødne geografiske og tidsmæssige detaljeringsgrad, der er nødvendig for at matche steddatabasens behov for stedfæstelse. I ”</w:t>
      </w:r>
      <w:hyperlink w:history="true" w:anchor="_bookmark118">
        <w:r>
          <w:rPr/>
          <w:t>Appendix 3:</w:t>
        </w:r>
      </w:hyperlink>
      <w:r>
        <w:rPr/>
        <w:t> </w:t>
      </w:r>
      <w:hyperlink w:history="true" w:anchor="_bookmark118">
        <w:r>
          <w:rPr/>
          <w:t>Niveauer for stedfæstelse</w:t>
        </w:r>
      </w:hyperlink>
      <w:r>
        <w:rPr/>
        <w:t>” ses en liste over forskellige energi-relevante datatyper om energiforbrug, samt deres forventede stedfæstede</w:t>
      </w:r>
      <w:r>
        <w:rPr>
          <w:spacing w:val="-4"/>
        </w:rPr>
        <w:t> </w:t>
      </w:r>
      <w:r>
        <w:rPr/>
        <w:t>niveau.</w:t>
      </w:r>
    </w:p>
    <w:p>
      <w:pPr>
        <w:pStyle w:val="BodyText"/>
        <w:spacing w:before="12"/>
        <w:rPr>
          <w:sz w:val="21"/>
        </w:rPr>
      </w:pPr>
    </w:p>
    <w:p>
      <w:pPr>
        <w:pStyle w:val="Heading3"/>
        <w:tabs>
          <w:tab w:pos="2649" w:val="left" w:leader="none"/>
        </w:tabs>
        <w:ind w:left="1850" w:firstLine="0"/>
      </w:pPr>
      <w:r>
        <w:rPr/>
        <w:t>3.1.1</w:t>
        <w:tab/>
      </w:r>
      <w:bookmarkStart w:name="_bookmark40" w:id="41"/>
      <w:bookmarkEnd w:id="41"/>
      <w:r>
        <w:rPr/>
        <w:t>In</w:t>
      </w:r>
      <w:r>
        <w:rPr/>
        <w:t>dsamling af energi-relevante</w:t>
      </w:r>
      <w:r>
        <w:rPr>
          <w:spacing w:val="-2"/>
        </w:rPr>
        <w:t> </w:t>
      </w:r>
      <w:r>
        <w:rPr/>
        <w:t>data</w:t>
      </w:r>
    </w:p>
    <w:p>
      <w:pPr>
        <w:pStyle w:val="BodyText"/>
        <w:spacing w:line="278" w:lineRule="auto" w:before="34"/>
        <w:ind w:left="2649" w:right="1067"/>
      </w:pPr>
      <w:r>
        <w:rPr/>
        <w:t>Data om energiforbruget i bygninger og andre former for energi-relevante data, er af meget forskelligartet karakter. Bl.a. er der stor forskel på om der er tale om data om elforbrug, varme eller vand, ligesom data om energiforbruget kan leveres i forskellige måleenheder. For el opgøres forbruget i kWh, men for varme kan det både opgøres i kWh, GJ eller i kubikmeter afhængigt af varmekilden.</w:t>
      </w:r>
    </w:p>
    <w:p>
      <w:pPr>
        <w:pStyle w:val="BodyText"/>
        <w:spacing w:before="6"/>
        <w:rPr>
          <w:sz w:val="21"/>
        </w:rPr>
      </w:pPr>
    </w:p>
    <w:p>
      <w:pPr>
        <w:pStyle w:val="BodyText"/>
        <w:spacing w:line="278" w:lineRule="auto"/>
        <w:ind w:left="2649" w:right="1021"/>
      </w:pPr>
      <w:r>
        <w:rPr/>
        <w:t>Energi-relevante data fra bi-målere, sensorer og loggere mm. er ofte stedfæstet, og relaterer sig til bestemte rum eller zoner i bygningen. Forsyningsdata, dvs. data om energiforbrug fra forsyningsselskaber, opgøres derimod for afregningsmåleren og relaterer sig ofte til hele bygningen eller ejendommen, og dermed ikke speci- fikke dele af bygningen.</w:t>
      </w:r>
    </w:p>
    <w:p>
      <w:pPr>
        <w:pStyle w:val="BodyText"/>
        <w:spacing w:before="8"/>
        <w:rPr>
          <w:sz w:val="21"/>
        </w:rPr>
      </w:pPr>
    </w:p>
    <w:p>
      <w:pPr>
        <w:pStyle w:val="BodyText"/>
        <w:spacing w:line="278" w:lineRule="auto"/>
        <w:ind w:left="2649" w:right="1067"/>
      </w:pPr>
      <w:r>
        <w:rPr/>
        <w:t>Endelig er der også stor variation i aflæsningsintervallerne for målingerne. For el- målere er der krav om, at alle afregningsmålere skal være digitale og fjernaflæste senest i år 2020 og potentielt skal kunne levere data på time-, kvarter- eller fem- minutters-niveau. Mange fjernvarmemålere er i dag digitale og fjernaflæste, og le- verer målinger på timeniveau. Det er dog ikke alle målere som i dag er det, og flere målere aflæses derfor fortsat manuelt, fx får nogle kundetyper (skabelon-af- regnede) aflæst deres målere på årsniveau. I forhold til de egenproducerede data fra bi-målere, PIR-sensorer</w:t>
      </w:r>
      <w:r>
        <w:rPr>
          <w:position w:val="6"/>
          <w:sz w:val="11"/>
        </w:rPr>
        <w:t>19 </w:t>
      </w:r>
      <w:r>
        <w:rPr/>
        <w:t>eller temperaturmålere, er der også variation i inter-</w:t>
      </w: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1712;mso-wrap-distance-left:0;mso-wrap-distance-right:0" from="181.490005pt,16.314686pt" to="325.510005pt,16.314686pt" stroked="true" strokeweight=".47998pt" strokecolor="#000000">
            <v:stroke dashstyle="solid"/>
            <w10:wrap type="topAndBottom"/>
          </v:line>
        </w:pict>
      </w:r>
    </w:p>
    <w:p>
      <w:pPr>
        <w:pStyle w:val="BodyText"/>
        <w:spacing w:before="4"/>
      </w:pPr>
    </w:p>
    <w:p>
      <w:pPr>
        <w:spacing w:before="101"/>
        <w:ind w:left="2649" w:right="1038" w:firstLine="0"/>
        <w:jc w:val="left"/>
        <w:rPr>
          <w:sz w:val="15"/>
        </w:rPr>
      </w:pPr>
      <w:r>
        <w:rPr>
          <w:position w:val="5"/>
          <w:sz w:val="10"/>
        </w:rPr>
        <w:t>19 </w:t>
      </w:r>
      <w:r>
        <w:rPr>
          <w:sz w:val="15"/>
        </w:rPr>
        <w:t>PIR-sensorer: Passive Infrared Sensor. Registrerer infrarødt lys, og bruges ofte som bevæ- gelsessensorer</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879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241"/>
        <w:jc w:val="both"/>
      </w:pPr>
      <w:r>
        <w:rPr/>
        <w:t>vallerne for målingerne. Fælles for dem er, at der foretages relativ hyppig aflæs- ning (ofte på kvarters-niveau eller hyppigere), som er nødvendigt for en optimal styring af energiforbruget.</w:t>
      </w:r>
    </w:p>
    <w:p>
      <w:pPr>
        <w:pStyle w:val="BodyText"/>
        <w:spacing w:before="9"/>
        <w:rPr>
          <w:sz w:val="20"/>
        </w:rPr>
      </w:pPr>
    </w:p>
    <w:p>
      <w:pPr>
        <w:pStyle w:val="Heading2"/>
        <w:numPr>
          <w:ilvl w:val="1"/>
          <w:numId w:val="12"/>
        </w:numPr>
        <w:tabs>
          <w:tab w:pos="2649" w:val="left" w:leader="none"/>
          <w:tab w:pos="2650" w:val="left" w:leader="none"/>
        </w:tabs>
        <w:spacing w:line="240" w:lineRule="auto" w:before="0" w:after="0"/>
        <w:ind w:left="2649" w:right="0" w:hanging="655"/>
        <w:jc w:val="left"/>
      </w:pPr>
      <w:bookmarkStart w:name="_bookmark41" w:id="42"/>
      <w:bookmarkEnd w:id="42"/>
      <w:r>
        <w:rPr/>
        <w:t>Specif</w:t>
      </w:r>
      <w:r>
        <w:rPr/>
        <w:t>icering af energi-relevante</w:t>
      </w:r>
      <w:r>
        <w:rPr>
          <w:spacing w:val="-3"/>
        </w:rPr>
        <w:t> </w:t>
      </w:r>
      <w:r>
        <w:rPr/>
        <w:t>data</w:t>
      </w:r>
    </w:p>
    <w:p>
      <w:pPr>
        <w:pStyle w:val="BodyText"/>
        <w:spacing w:line="278" w:lineRule="auto" w:before="38"/>
        <w:ind w:left="2649" w:right="1033"/>
      </w:pPr>
      <w:r>
        <w:rPr/>
        <w:t>I dette kapitel beskrives hvordan data om energiforbrug i bygninger kan sammen- stilles med en indendørs steddatabase. Beskrivelsen har fokus på hvordan koncep- tet kan konkretiseres, hvilket bl.a. demonstreres med simple eksempler og illu- strationer. Dette har karakter af en grov prototype, som bl.a. demonstrerer data- koblinger og beskriver de muligheder, der kan relateres til konceptet for en sted- database. Der er særligt fokus på, hvordan data om energiforbrug kan transforme- res og struktureres til brug i et sådant koncept.</w:t>
      </w:r>
    </w:p>
    <w:p>
      <w:pPr>
        <w:pStyle w:val="BodyText"/>
        <w:spacing w:before="10"/>
        <w:rPr>
          <w:sz w:val="21"/>
        </w:rPr>
      </w:pPr>
    </w:p>
    <w:p>
      <w:pPr>
        <w:pStyle w:val="Heading3"/>
        <w:numPr>
          <w:ilvl w:val="2"/>
          <w:numId w:val="12"/>
        </w:numPr>
        <w:tabs>
          <w:tab w:pos="2649" w:val="left" w:leader="none"/>
          <w:tab w:pos="2650" w:val="left" w:leader="none"/>
        </w:tabs>
        <w:spacing w:line="240" w:lineRule="auto" w:before="0" w:after="0"/>
        <w:ind w:left="2649" w:right="0" w:hanging="799"/>
        <w:jc w:val="left"/>
      </w:pPr>
      <w:bookmarkStart w:name="_bookmark42" w:id="43"/>
      <w:bookmarkEnd w:id="43"/>
      <w:r>
        <w:rPr/>
        <w:t>Do</w:t>
      </w:r>
      <w:r>
        <w:rPr/>
        <w:t>mænespecifik datamodel for energi-relevante</w:t>
      </w:r>
      <w:r>
        <w:rPr>
          <w:spacing w:val="-4"/>
        </w:rPr>
        <w:t> </w:t>
      </w:r>
      <w:r>
        <w:rPr/>
        <w:t>data</w:t>
      </w:r>
    </w:p>
    <w:p>
      <w:pPr>
        <w:pStyle w:val="BodyText"/>
        <w:spacing w:line="278" w:lineRule="auto" w:before="35"/>
        <w:ind w:left="2649" w:right="1035"/>
      </w:pPr>
      <w:r>
        <w:rPr/>
        <w:t>For at kunne sammenstille de mange forskellige datakilder med en indendørs sted- database er det hensigtsmæssigt først at strukturere og ensarte formatet for de tilgængelige data om energiforbrug. Udkast til disse domænespecifikke egenska- ber ses eksempel på i </w:t>
      </w:r>
      <w:hyperlink w:history="true" w:anchor="_bookmark43">
        <w:r>
          <w:rPr/>
          <w:t>Tabel 3.1</w:t>
        </w:r>
      </w:hyperlink>
      <w:r>
        <w:rPr/>
        <w:t>, tilføjes den generelle datamodel (</w:t>
      </w:r>
      <w:hyperlink w:history="true" w:anchor="_bookmark18">
        <w:r>
          <w:rPr/>
          <w:t>Tabel 2.1: For-</w:t>
        </w:r>
      </w:hyperlink>
      <w:r>
        <w:rPr/>
        <w:t> </w:t>
      </w:r>
      <w:hyperlink w:history="true" w:anchor="_bookmark18">
        <w:r>
          <w:rPr/>
          <w:t>slag til en tværgående generaliseret datamodel for data relevante for en national</w:t>
        </w:r>
      </w:hyperlink>
      <w:r>
        <w:rPr/>
        <w:t> </w:t>
      </w:r>
      <w:hyperlink w:history="true" w:anchor="_bookmark18">
        <w:r>
          <w:rPr/>
          <w:t>indendørs steddatabase.</w:t>
        </w:r>
      </w:hyperlink>
      <w:r>
        <w:rPr/>
        <w:t>) for at danne en samlet domænespecifik datamodel.</w:t>
      </w:r>
    </w:p>
    <w:p>
      <w:pPr>
        <w:pStyle w:val="BodyText"/>
        <w:spacing w:before="6" w:after="1"/>
        <w:rPr>
          <w:sz w:val="18"/>
        </w:rPr>
      </w:pPr>
    </w:p>
    <w:tbl>
      <w:tblPr>
        <w:tblW w:w="0" w:type="auto"/>
        <w:jc w:val="left"/>
        <w:tblInd w:w="1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12"/>
        <w:gridCol w:w="1136"/>
        <w:gridCol w:w="1844"/>
        <w:gridCol w:w="2269"/>
        <w:gridCol w:w="3256"/>
      </w:tblGrid>
      <w:tr>
        <w:trPr>
          <w:trHeight w:val="412" w:hRule="atLeast"/>
        </w:trPr>
        <w:tc>
          <w:tcPr>
            <w:tcW w:w="1412" w:type="dxa"/>
            <w:tcBorders>
              <w:left w:val="nil"/>
            </w:tcBorders>
            <w:shd w:val="clear" w:color="auto" w:fill="2C647C"/>
          </w:tcPr>
          <w:p>
            <w:pPr>
              <w:pStyle w:val="TableParagraph"/>
              <w:spacing w:before="105"/>
              <w:ind w:left="103"/>
              <w:rPr>
                <w:b/>
                <w:sz w:val="17"/>
              </w:rPr>
            </w:pPr>
            <w:r>
              <w:rPr>
                <w:b/>
                <w:color w:val="FFFFFF"/>
                <w:sz w:val="17"/>
              </w:rPr>
              <w:t>Datatype</w:t>
            </w:r>
          </w:p>
        </w:tc>
        <w:tc>
          <w:tcPr>
            <w:tcW w:w="1136" w:type="dxa"/>
            <w:shd w:val="clear" w:color="auto" w:fill="2C647C"/>
          </w:tcPr>
          <w:p>
            <w:pPr>
              <w:pStyle w:val="TableParagraph"/>
              <w:spacing w:line="206" w:lineRule="exact" w:before="7"/>
              <w:ind w:left="105" w:right="109"/>
              <w:rPr>
                <w:b/>
                <w:sz w:val="17"/>
              </w:rPr>
            </w:pPr>
            <w:r>
              <w:rPr>
                <w:b/>
                <w:color w:val="FFFFFF"/>
                <w:sz w:val="17"/>
              </w:rPr>
              <w:t>Database variabel</w:t>
            </w:r>
          </w:p>
        </w:tc>
        <w:tc>
          <w:tcPr>
            <w:tcW w:w="1844" w:type="dxa"/>
            <w:tcBorders>
              <w:top w:val="nil"/>
              <w:bottom w:val="nil"/>
            </w:tcBorders>
            <w:shd w:val="clear" w:color="auto" w:fill="2C647C"/>
          </w:tcPr>
          <w:p>
            <w:pPr>
              <w:pStyle w:val="TableParagraph"/>
              <w:spacing w:before="105"/>
              <w:ind w:left="102"/>
              <w:rPr>
                <w:b/>
                <w:sz w:val="17"/>
              </w:rPr>
            </w:pPr>
            <w:r>
              <w:rPr>
                <w:b/>
                <w:color w:val="FFFFFF"/>
                <w:sz w:val="17"/>
              </w:rPr>
              <w:t>Datatype</w:t>
            </w:r>
          </w:p>
        </w:tc>
        <w:tc>
          <w:tcPr>
            <w:tcW w:w="2269" w:type="dxa"/>
            <w:tcBorders>
              <w:top w:val="nil"/>
              <w:bottom w:val="nil"/>
            </w:tcBorders>
            <w:shd w:val="clear" w:color="auto" w:fill="2C647C"/>
          </w:tcPr>
          <w:p>
            <w:pPr>
              <w:pStyle w:val="TableParagraph"/>
              <w:spacing w:before="105"/>
              <w:ind w:left="101"/>
              <w:rPr>
                <w:b/>
                <w:sz w:val="17"/>
              </w:rPr>
            </w:pPr>
            <w:r>
              <w:rPr>
                <w:b/>
                <w:color w:val="FFFFFF"/>
                <w:sz w:val="17"/>
              </w:rPr>
              <w:t>Værdisæt</w:t>
            </w:r>
          </w:p>
        </w:tc>
        <w:tc>
          <w:tcPr>
            <w:tcW w:w="3256" w:type="dxa"/>
            <w:tcBorders>
              <w:top w:val="nil"/>
              <w:bottom w:val="nil"/>
              <w:right w:val="nil"/>
            </w:tcBorders>
            <w:shd w:val="clear" w:color="auto" w:fill="2C647C"/>
          </w:tcPr>
          <w:p>
            <w:pPr>
              <w:pStyle w:val="TableParagraph"/>
              <w:spacing w:before="105"/>
              <w:ind w:left="101"/>
              <w:rPr>
                <w:b/>
                <w:sz w:val="17"/>
              </w:rPr>
            </w:pPr>
            <w:r>
              <w:rPr>
                <w:b/>
                <w:color w:val="FFFFFF"/>
                <w:sz w:val="17"/>
              </w:rPr>
              <w:t>Beskrivelse</w:t>
            </w:r>
          </w:p>
        </w:tc>
      </w:tr>
      <w:tr>
        <w:trPr>
          <w:trHeight w:val="407" w:hRule="atLeast"/>
        </w:trPr>
        <w:tc>
          <w:tcPr>
            <w:tcW w:w="1412" w:type="dxa"/>
            <w:tcBorders>
              <w:left w:val="nil"/>
            </w:tcBorders>
            <w:shd w:val="clear" w:color="auto" w:fill="C8E9E6"/>
          </w:tcPr>
          <w:p>
            <w:pPr>
              <w:pStyle w:val="TableParagraph"/>
              <w:spacing w:before="98"/>
              <w:ind w:left="103"/>
              <w:rPr>
                <w:b/>
                <w:sz w:val="17"/>
              </w:rPr>
            </w:pPr>
            <w:r>
              <w:rPr>
                <w:b/>
                <w:sz w:val="17"/>
              </w:rPr>
              <w:t>Data enhed</w:t>
            </w:r>
          </w:p>
        </w:tc>
        <w:tc>
          <w:tcPr>
            <w:tcW w:w="1136" w:type="dxa"/>
            <w:shd w:val="clear" w:color="auto" w:fill="C8E9E6"/>
          </w:tcPr>
          <w:p>
            <w:pPr>
              <w:pStyle w:val="TableParagraph"/>
              <w:spacing w:before="98"/>
              <w:ind w:left="105"/>
              <w:rPr>
                <w:sz w:val="17"/>
              </w:rPr>
            </w:pPr>
            <w:r>
              <w:rPr>
                <w:sz w:val="17"/>
              </w:rPr>
              <w:t>enhed</w:t>
            </w:r>
          </w:p>
        </w:tc>
        <w:tc>
          <w:tcPr>
            <w:tcW w:w="1844" w:type="dxa"/>
            <w:tcBorders>
              <w:top w:val="nil"/>
              <w:bottom w:val="nil"/>
            </w:tcBorders>
            <w:shd w:val="clear" w:color="auto" w:fill="C8E9E6"/>
          </w:tcPr>
          <w:p>
            <w:pPr>
              <w:pStyle w:val="TableParagraph"/>
              <w:spacing w:before="98"/>
              <w:ind w:left="102"/>
              <w:rPr>
                <w:sz w:val="17"/>
              </w:rPr>
            </w:pPr>
            <w:r>
              <w:rPr>
                <w:sz w:val="17"/>
              </w:rPr>
              <w:t>Tekst (kodificeres)</w:t>
            </w:r>
          </w:p>
        </w:tc>
        <w:tc>
          <w:tcPr>
            <w:tcW w:w="2269" w:type="dxa"/>
            <w:tcBorders>
              <w:top w:val="nil"/>
              <w:bottom w:val="nil"/>
            </w:tcBorders>
            <w:shd w:val="clear" w:color="auto" w:fill="C8E9E6"/>
          </w:tcPr>
          <w:p>
            <w:pPr>
              <w:pStyle w:val="TableParagraph"/>
              <w:spacing w:line="202" w:lineRule="exact"/>
              <w:ind w:left="101"/>
              <w:rPr>
                <w:sz w:val="17"/>
              </w:rPr>
            </w:pPr>
            <w:r>
              <w:rPr>
                <w:sz w:val="17"/>
              </w:rPr>
              <w:t>kWh, GJ, kubikmeter,</w:t>
            </w:r>
          </w:p>
          <w:p>
            <w:pPr>
              <w:pStyle w:val="TableParagraph"/>
              <w:spacing w:line="184" w:lineRule="exact" w:before="2"/>
              <w:ind w:left="101"/>
              <w:rPr>
                <w:sz w:val="17"/>
              </w:rPr>
            </w:pPr>
            <w:r>
              <w:rPr>
                <w:sz w:val="17"/>
              </w:rPr>
              <w:t>grader celsius osv.</w:t>
            </w:r>
          </w:p>
        </w:tc>
        <w:tc>
          <w:tcPr>
            <w:tcW w:w="3256" w:type="dxa"/>
            <w:tcBorders>
              <w:top w:val="nil"/>
              <w:bottom w:val="nil"/>
              <w:right w:val="nil"/>
            </w:tcBorders>
            <w:shd w:val="clear" w:color="auto" w:fill="C8E9E6"/>
          </w:tcPr>
          <w:p>
            <w:pPr>
              <w:pStyle w:val="TableParagraph"/>
              <w:spacing w:before="98"/>
              <w:ind w:left="101"/>
              <w:rPr>
                <w:sz w:val="17"/>
              </w:rPr>
            </w:pPr>
            <w:r>
              <w:rPr>
                <w:sz w:val="17"/>
              </w:rPr>
              <w:t>Enheden for forbruget angives,</w:t>
            </w:r>
          </w:p>
        </w:tc>
      </w:tr>
      <w:tr>
        <w:trPr>
          <w:trHeight w:val="619" w:hRule="atLeast"/>
        </w:trPr>
        <w:tc>
          <w:tcPr>
            <w:tcW w:w="1412" w:type="dxa"/>
            <w:tcBorders>
              <w:left w:val="nil"/>
            </w:tcBorders>
            <w:shd w:val="clear" w:color="auto" w:fill="E2F3F0"/>
          </w:tcPr>
          <w:p>
            <w:pPr>
              <w:pStyle w:val="TableParagraph"/>
              <w:spacing w:before="1"/>
              <w:rPr>
                <w:sz w:val="17"/>
              </w:rPr>
            </w:pPr>
          </w:p>
          <w:p>
            <w:pPr>
              <w:pStyle w:val="TableParagraph"/>
              <w:spacing w:before="1"/>
              <w:ind w:left="103"/>
              <w:rPr>
                <w:b/>
                <w:sz w:val="17"/>
              </w:rPr>
            </w:pPr>
            <w:r>
              <w:rPr>
                <w:b/>
                <w:sz w:val="17"/>
              </w:rPr>
              <w:t>Datatype</w:t>
            </w:r>
          </w:p>
        </w:tc>
        <w:tc>
          <w:tcPr>
            <w:tcW w:w="1136" w:type="dxa"/>
            <w:shd w:val="clear" w:color="auto" w:fill="E2F3F0"/>
          </w:tcPr>
          <w:p>
            <w:pPr>
              <w:pStyle w:val="TableParagraph"/>
              <w:spacing w:before="1"/>
              <w:rPr>
                <w:sz w:val="17"/>
              </w:rPr>
            </w:pPr>
          </w:p>
          <w:p>
            <w:pPr>
              <w:pStyle w:val="TableParagraph"/>
              <w:spacing w:before="1"/>
              <w:ind w:left="105"/>
              <w:rPr>
                <w:sz w:val="17"/>
              </w:rPr>
            </w:pPr>
            <w:r>
              <w:rPr>
                <w:sz w:val="17"/>
              </w:rPr>
              <w:t>datatype</w:t>
            </w:r>
          </w:p>
        </w:tc>
        <w:tc>
          <w:tcPr>
            <w:tcW w:w="1844" w:type="dxa"/>
            <w:tcBorders>
              <w:top w:val="nil"/>
              <w:bottom w:val="nil"/>
            </w:tcBorders>
            <w:shd w:val="clear" w:color="auto" w:fill="E2F3F0"/>
          </w:tcPr>
          <w:p>
            <w:pPr>
              <w:pStyle w:val="TableParagraph"/>
              <w:spacing w:before="1"/>
              <w:rPr>
                <w:sz w:val="17"/>
              </w:rPr>
            </w:pPr>
          </w:p>
          <w:p>
            <w:pPr>
              <w:pStyle w:val="TableParagraph"/>
              <w:spacing w:before="1"/>
              <w:ind w:left="102"/>
              <w:rPr>
                <w:sz w:val="17"/>
              </w:rPr>
            </w:pPr>
            <w:r>
              <w:rPr>
                <w:sz w:val="17"/>
              </w:rPr>
              <w:t>Tekst</w:t>
            </w:r>
          </w:p>
        </w:tc>
        <w:tc>
          <w:tcPr>
            <w:tcW w:w="2269" w:type="dxa"/>
            <w:tcBorders>
              <w:top w:val="nil"/>
              <w:bottom w:val="nil"/>
            </w:tcBorders>
            <w:shd w:val="clear" w:color="auto" w:fill="E2F3F0"/>
          </w:tcPr>
          <w:p>
            <w:pPr>
              <w:pStyle w:val="TableParagraph"/>
              <w:spacing w:before="1"/>
              <w:rPr>
                <w:sz w:val="17"/>
              </w:rPr>
            </w:pPr>
          </w:p>
          <w:p>
            <w:pPr>
              <w:pStyle w:val="TableParagraph"/>
              <w:spacing w:before="1"/>
              <w:ind w:left="101"/>
              <w:rPr>
                <w:sz w:val="17"/>
              </w:rPr>
            </w:pPr>
            <w:r>
              <w:rPr>
                <w:sz w:val="17"/>
              </w:rPr>
              <w:t>Kodeliste for datatyper</w:t>
            </w:r>
          </w:p>
        </w:tc>
        <w:tc>
          <w:tcPr>
            <w:tcW w:w="3256" w:type="dxa"/>
            <w:tcBorders>
              <w:top w:val="nil"/>
              <w:bottom w:val="nil"/>
              <w:right w:val="nil"/>
            </w:tcBorders>
            <w:shd w:val="clear" w:color="auto" w:fill="E2F3F0"/>
          </w:tcPr>
          <w:p>
            <w:pPr>
              <w:pStyle w:val="TableParagraph"/>
              <w:spacing w:line="206" w:lineRule="exact" w:before="7"/>
              <w:ind w:left="101" w:right="368"/>
              <w:jc w:val="both"/>
              <w:rPr>
                <w:sz w:val="17"/>
              </w:rPr>
            </w:pPr>
            <w:r>
              <w:rPr>
                <w:sz w:val="17"/>
              </w:rPr>
              <w:t>Datatypen - i en energikontekst handler det om el, varme, vand, temperatur mm.</w:t>
            </w:r>
          </w:p>
        </w:tc>
      </w:tr>
      <w:tr>
        <w:trPr>
          <w:trHeight w:val="406" w:hRule="atLeast"/>
        </w:trPr>
        <w:tc>
          <w:tcPr>
            <w:tcW w:w="1412" w:type="dxa"/>
            <w:tcBorders>
              <w:left w:val="nil"/>
            </w:tcBorders>
            <w:shd w:val="clear" w:color="auto" w:fill="C8E9E6"/>
          </w:tcPr>
          <w:p>
            <w:pPr>
              <w:pStyle w:val="TableParagraph"/>
              <w:spacing w:before="99"/>
              <w:ind w:left="103"/>
              <w:rPr>
                <w:b/>
                <w:sz w:val="17"/>
              </w:rPr>
            </w:pPr>
            <w:r>
              <w:rPr>
                <w:b/>
                <w:sz w:val="17"/>
              </w:rPr>
              <w:t>Forbrug ID</w:t>
            </w:r>
          </w:p>
        </w:tc>
        <w:tc>
          <w:tcPr>
            <w:tcW w:w="1136" w:type="dxa"/>
            <w:shd w:val="clear" w:color="auto" w:fill="C8E9E6"/>
          </w:tcPr>
          <w:p>
            <w:pPr>
              <w:pStyle w:val="TableParagraph"/>
              <w:spacing w:before="99"/>
              <w:ind w:left="105"/>
              <w:rPr>
                <w:sz w:val="17"/>
              </w:rPr>
            </w:pPr>
            <w:r>
              <w:rPr>
                <w:sz w:val="17"/>
              </w:rPr>
              <w:t>forbr_id</w:t>
            </w:r>
          </w:p>
        </w:tc>
        <w:tc>
          <w:tcPr>
            <w:tcW w:w="1844" w:type="dxa"/>
            <w:tcBorders>
              <w:top w:val="nil"/>
              <w:bottom w:val="nil"/>
            </w:tcBorders>
            <w:shd w:val="clear" w:color="auto" w:fill="C8E9E6"/>
          </w:tcPr>
          <w:p>
            <w:pPr>
              <w:pStyle w:val="TableParagraph"/>
              <w:spacing w:before="99"/>
              <w:ind w:left="102"/>
              <w:rPr>
                <w:sz w:val="17"/>
              </w:rPr>
            </w:pPr>
            <w:r>
              <w:rPr>
                <w:sz w:val="17"/>
              </w:rPr>
              <w:t>URI</w:t>
            </w:r>
          </w:p>
        </w:tc>
        <w:tc>
          <w:tcPr>
            <w:tcW w:w="2269" w:type="dxa"/>
            <w:tcBorders>
              <w:top w:val="nil"/>
              <w:bottom w:val="nil"/>
            </w:tcBorders>
            <w:shd w:val="clear" w:color="auto" w:fill="C8E9E6"/>
          </w:tcPr>
          <w:p>
            <w:pPr>
              <w:pStyle w:val="TableParagraph"/>
              <w:spacing w:before="99"/>
              <w:ind w:left="101"/>
              <w:rPr>
                <w:sz w:val="17"/>
              </w:rPr>
            </w:pPr>
            <w:r>
              <w:rPr>
                <w:sz w:val="17"/>
              </w:rPr>
              <w:t>Unik identifikation</w:t>
            </w:r>
          </w:p>
        </w:tc>
        <w:tc>
          <w:tcPr>
            <w:tcW w:w="3256" w:type="dxa"/>
            <w:tcBorders>
              <w:top w:val="nil"/>
              <w:bottom w:val="nil"/>
              <w:right w:val="nil"/>
            </w:tcBorders>
            <w:shd w:val="clear" w:color="auto" w:fill="C8E9E6"/>
          </w:tcPr>
          <w:p>
            <w:pPr>
              <w:pStyle w:val="TableParagraph"/>
              <w:spacing w:line="206" w:lineRule="exact" w:before="2"/>
              <w:ind w:left="101" w:right="92"/>
              <w:rPr>
                <w:sz w:val="17"/>
              </w:rPr>
            </w:pPr>
            <w:r>
              <w:rPr>
                <w:sz w:val="17"/>
              </w:rPr>
              <w:t>Unikt løbenummer til hver registre- ring af forbrug.</w:t>
            </w:r>
          </w:p>
        </w:tc>
      </w:tr>
      <w:tr>
        <w:trPr>
          <w:trHeight w:val="407" w:hRule="atLeast"/>
        </w:trPr>
        <w:tc>
          <w:tcPr>
            <w:tcW w:w="1412" w:type="dxa"/>
            <w:tcBorders>
              <w:left w:val="nil"/>
            </w:tcBorders>
            <w:shd w:val="clear" w:color="auto" w:fill="E2F3F0"/>
          </w:tcPr>
          <w:p>
            <w:pPr>
              <w:pStyle w:val="TableParagraph"/>
              <w:spacing w:before="100"/>
              <w:ind w:left="103"/>
              <w:rPr>
                <w:b/>
                <w:sz w:val="17"/>
              </w:rPr>
            </w:pPr>
            <w:r>
              <w:rPr>
                <w:b/>
                <w:sz w:val="17"/>
              </w:rPr>
              <w:t>Forbrug</w:t>
            </w:r>
          </w:p>
        </w:tc>
        <w:tc>
          <w:tcPr>
            <w:tcW w:w="1136" w:type="dxa"/>
            <w:shd w:val="clear" w:color="auto" w:fill="E2F3F0"/>
          </w:tcPr>
          <w:p>
            <w:pPr>
              <w:pStyle w:val="TableParagraph"/>
              <w:spacing w:before="100"/>
              <w:ind w:left="105"/>
              <w:rPr>
                <w:sz w:val="17"/>
              </w:rPr>
            </w:pPr>
            <w:r>
              <w:rPr>
                <w:sz w:val="17"/>
              </w:rPr>
              <w:t>forbrug</w:t>
            </w:r>
          </w:p>
        </w:tc>
        <w:tc>
          <w:tcPr>
            <w:tcW w:w="1844" w:type="dxa"/>
            <w:tcBorders>
              <w:top w:val="nil"/>
              <w:bottom w:val="nil"/>
            </w:tcBorders>
            <w:shd w:val="clear" w:color="auto" w:fill="E2F3F0"/>
          </w:tcPr>
          <w:p>
            <w:pPr>
              <w:pStyle w:val="TableParagraph"/>
              <w:spacing w:before="100"/>
              <w:ind w:left="102"/>
              <w:rPr>
                <w:sz w:val="17"/>
              </w:rPr>
            </w:pPr>
            <w:r>
              <w:rPr>
                <w:sz w:val="17"/>
              </w:rPr>
              <w:t>Real</w:t>
            </w:r>
          </w:p>
        </w:tc>
        <w:tc>
          <w:tcPr>
            <w:tcW w:w="2269" w:type="dxa"/>
            <w:tcBorders>
              <w:top w:val="nil"/>
              <w:bottom w:val="nil"/>
            </w:tcBorders>
            <w:shd w:val="clear" w:color="auto" w:fill="E2F3F0"/>
          </w:tcPr>
          <w:p>
            <w:pPr>
              <w:pStyle w:val="TableParagraph"/>
              <w:spacing w:before="100"/>
              <w:ind w:left="101"/>
              <w:rPr>
                <w:sz w:val="17"/>
              </w:rPr>
            </w:pPr>
            <w:r>
              <w:rPr>
                <w:sz w:val="17"/>
              </w:rPr>
              <w:t>0 til ∞</w:t>
            </w:r>
          </w:p>
        </w:tc>
        <w:tc>
          <w:tcPr>
            <w:tcW w:w="3256" w:type="dxa"/>
            <w:tcBorders>
              <w:top w:val="nil"/>
              <w:bottom w:val="nil"/>
              <w:right w:val="nil"/>
            </w:tcBorders>
            <w:shd w:val="clear" w:color="auto" w:fill="E2F3F0"/>
          </w:tcPr>
          <w:p>
            <w:pPr>
              <w:pStyle w:val="TableParagraph"/>
              <w:spacing w:line="206" w:lineRule="exact" w:before="3"/>
              <w:ind w:left="101" w:right="107"/>
              <w:rPr>
                <w:sz w:val="17"/>
              </w:rPr>
            </w:pPr>
            <w:r>
              <w:rPr>
                <w:sz w:val="17"/>
              </w:rPr>
              <w:t>Numerisk angivelse af størrelsen af forbruget</w:t>
            </w:r>
          </w:p>
        </w:tc>
      </w:tr>
      <w:tr>
        <w:trPr>
          <w:trHeight w:val="1023" w:hRule="atLeast"/>
        </w:trPr>
        <w:tc>
          <w:tcPr>
            <w:tcW w:w="1412" w:type="dxa"/>
            <w:tcBorders>
              <w:left w:val="nil"/>
            </w:tcBorders>
            <w:shd w:val="clear" w:color="auto" w:fill="C8E9E6"/>
          </w:tcPr>
          <w:p>
            <w:pPr>
              <w:pStyle w:val="TableParagraph"/>
              <w:rPr>
                <w:sz w:val="20"/>
              </w:rPr>
            </w:pPr>
          </w:p>
          <w:p>
            <w:pPr>
              <w:pStyle w:val="TableParagraph"/>
              <w:spacing w:before="164"/>
              <w:ind w:left="103"/>
              <w:rPr>
                <w:b/>
                <w:sz w:val="17"/>
              </w:rPr>
            </w:pPr>
            <w:r>
              <w:rPr>
                <w:b/>
                <w:sz w:val="17"/>
              </w:rPr>
              <w:t>Enheds ID</w:t>
            </w:r>
          </w:p>
        </w:tc>
        <w:tc>
          <w:tcPr>
            <w:tcW w:w="1136" w:type="dxa"/>
            <w:shd w:val="clear" w:color="auto" w:fill="C8E9E6"/>
          </w:tcPr>
          <w:p>
            <w:pPr>
              <w:pStyle w:val="TableParagraph"/>
              <w:rPr>
                <w:sz w:val="20"/>
              </w:rPr>
            </w:pPr>
          </w:p>
          <w:p>
            <w:pPr>
              <w:pStyle w:val="TableParagraph"/>
              <w:spacing w:before="164"/>
              <w:ind w:left="105"/>
              <w:rPr>
                <w:sz w:val="17"/>
              </w:rPr>
            </w:pPr>
            <w:r>
              <w:rPr>
                <w:sz w:val="17"/>
              </w:rPr>
              <w:t>enhd_id</w:t>
            </w:r>
          </w:p>
        </w:tc>
        <w:tc>
          <w:tcPr>
            <w:tcW w:w="1844" w:type="dxa"/>
            <w:tcBorders>
              <w:top w:val="nil"/>
              <w:bottom w:val="nil"/>
            </w:tcBorders>
            <w:shd w:val="clear" w:color="auto" w:fill="C8E9E6"/>
          </w:tcPr>
          <w:p>
            <w:pPr>
              <w:pStyle w:val="TableParagraph"/>
              <w:rPr>
                <w:sz w:val="20"/>
              </w:rPr>
            </w:pPr>
          </w:p>
          <w:p>
            <w:pPr>
              <w:pStyle w:val="TableParagraph"/>
              <w:spacing w:before="164"/>
              <w:ind w:left="102"/>
              <w:rPr>
                <w:sz w:val="17"/>
              </w:rPr>
            </w:pPr>
            <w:r>
              <w:rPr>
                <w:sz w:val="17"/>
              </w:rPr>
              <w:t>URI</w:t>
            </w:r>
          </w:p>
        </w:tc>
        <w:tc>
          <w:tcPr>
            <w:tcW w:w="2269" w:type="dxa"/>
            <w:tcBorders>
              <w:top w:val="nil"/>
              <w:bottom w:val="nil"/>
            </w:tcBorders>
            <w:shd w:val="clear" w:color="auto" w:fill="C8E9E6"/>
          </w:tcPr>
          <w:p>
            <w:pPr>
              <w:pStyle w:val="TableParagraph"/>
              <w:spacing w:before="12"/>
              <w:rPr>
                <w:sz w:val="24"/>
              </w:rPr>
            </w:pPr>
          </w:p>
          <w:p>
            <w:pPr>
              <w:pStyle w:val="TableParagraph"/>
              <w:ind w:left="101" w:right="590"/>
              <w:rPr>
                <w:sz w:val="17"/>
              </w:rPr>
            </w:pPr>
            <w:r>
              <w:rPr>
                <w:sz w:val="17"/>
              </w:rPr>
              <w:t>Unik identifikation (nøgle)</w:t>
            </w:r>
          </w:p>
        </w:tc>
        <w:tc>
          <w:tcPr>
            <w:tcW w:w="3256" w:type="dxa"/>
            <w:tcBorders>
              <w:top w:val="nil"/>
              <w:bottom w:val="nil"/>
              <w:right w:val="nil"/>
            </w:tcBorders>
            <w:shd w:val="clear" w:color="auto" w:fill="C8E9E6"/>
          </w:tcPr>
          <w:p>
            <w:pPr>
              <w:pStyle w:val="TableParagraph"/>
              <w:spacing w:line="206" w:lineRule="exact"/>
              <w:ind w:left="101" w:right="158"/>
              <w:rPr>
                <w:sz w:val="17"/>
              </w:rPr>
            </w:pPr>
            <w:r>
              <w:rPr>
                <w:sz w:val="17"/>
              </w:rPr>
              <w:t>Der bør tildeles et unikt identifika- tionsnummer til hver måler eller dataindsamlingsenhed. Det bør til- stræbes at danne en systematisk og unik struktur.</w:t>
            </w:r>
          </w:p>
        </w:tc>
      </w:tr>
      <w:tr>
        <w:trPr>
          <w:trHeight w:val="615" w:hRule="atLeast"/>
        </w:trPr>
        <w:tc>
          <w:tcPr>
            <w:tcW w:w="1412" w:type="dxa"/>
            <w:tcBorders>
              <w:left w:val="nil"/>
            </w:tcBorders>
            <w:shd w:val="clear" w:color="auto" w:fill="E2F3F0"/>
          </w:tcPr>
          <w:p>
            <w:pPr>
              <w:pStyle w:val="TableParagraph"/>
              <w:spacing w:before="10"/>
              <w:rPr>
                <w:sz w:val="16"/>
              </w:rPr>
            </w:pPr>
          </w:p>
          <w:p>
            <w:pPr>
              <w:pStyle w:val="TableParagraph"/>
              <w:ind w:left="103"/>
              <w:rPr>
                <w:b/>
                <w:sz w:val="17"/>
              </w:rPr>
            </w:pPr>
            <w:r>
              <w:rPr>
                <w:b/>
                <w:sz w:val="17"/>
              </w:rPr>
              <w:t>Forbrugstid</w:t>
            </w:r>
          </w:p>
        </w:tc>
        <w:tc>
          <w:tcPr>
            <w:tcW w:w="1136" w:type="dxa"/>
            <w:shd w:val="clear" w:color="auto" w:fill="E2F3F0"/>
          </w:tcPr>
          <w:p>
            <w:pPr>
              <w:pStyle w:val="TableParagraph"/>
              <w:spacing w:before="10"/>
              <w:rPr>
                <w:sz w:val="16"/>
              </w:rPr>
            </w:pPr>
          </w:p>
          <w:p>
            <w:pPr>
              <w:pStyle w:val="TableParagraph"/>
              <w:ind w:left="105"/>
              <w:rPr>
                <w:sz w:val="17"/>
              </w:rPr>
            </w:pPr>
            <w:r>
              <w:rPr>
                <w:sz w:val="17"/>
              </w:rPr>
              <w:t>forbr_time</w:t>
            </w:r>
          </w:p>
        </w:tc>
        <w:tc>
          <w:tcPr>
            <w:tcW w:w="1844" w:type="dxa"/>
            <w:tcBorders>
              <w:top w:val="nil"/>
              <w:bottom w:val="nil"/>
            </w:tcBorders>
            <w:shd w:val="clear" w:color="auto" w:fill="E2F3F0"/>
          </w:tcPr>
          <w:p>
            <w:pPr>
              <w:pStyle w:val="TableParagraph"/>
              <w:spacing w:before="10"/>
              <w:rPr>
                <w:sz w:val="16"/>
              </w:rPr>
            </w:pPr>
          </w:p>
          <w:p>
            <w:pPr>
              <w:pStyle w:val="TableParagraph"/>
              <w:ind w:left="102"/>
              <w:rPr>
                <w:sz w:val="17"/>
              </w:rPr>
            </w:pPr>
            <w:r>
              <w:rPr>
                <w:sz w:val="17"/>
              </w:rPr>
              <w:t>ISO date</w:t>
            </w:r>
          </w:p>
        </w:tc>
        <w:tc>
          <w:tcPr>
            <w:tcW w:w="2269" w:type="dxa"/>
            <w:tcBorders>
              <w:top w:val="nil"/>
              <w:bottom w:val="nil"/>
            </w:tcBorders>
            <w:shd w:val="clear" w:color="auto" w:fill="E2F3F0"/>
          </w:tcPr>
          <w:p>
            <w:pPr>
              <w:pStyle w:val="TableParagraph"/>
              <w:spacing w:before="10"/>
              <w:rPr>
                <w:sz w:val="16"/>
              </w:rPr>
            </w:pPr>
          </w:p>
          <w:p>
            <w:pPr>
              <w:pStyle w:val="TableParagraph"/>
              <w:ind w:left="101"/>
              <w:rPr>
                <w:sz w:val="17"/>
              </w:rPr>
            </w:pPr>
            <w:r>
              <w:rPr>
                <w:sz w:val="17"/>
              </w:rPr>
              <w:t>Tid</w:t>
            </w:r>
          </w:p>
        </w:tc>
        <w:tc>
          <w:tcPr>
            <w:tcW w:w="3256" w:type="dxa"/>
            <w:tcBorders>
              <w:top w:val="nil"/>
              <w:bottom w:val="nil"/>
              <w:right w:val="nil"/>
            </w:tcBorders>
            <w:shd w:val="clear" w:color="auto" w:fill="E2F3F0"/>
          </w:tcPr>
          <w:p>
            <w:pPr>
              <w:pStyle w:val="TableParagraph"/>
              <w:spacing w:line="202" w:lineRule="exact"/>
              <w:ind w:left="101"/>
              <w:rPr>
                <w:sz w:val="17"/>
              </w:rPr>
            </w:pPr>
            <w:r>
              <w:rPr>
                <w:sz w:val="17"/>
              </w:rPr>
              <w:t>Perioden for registreringen af ener-</w:t>
            </w:r>
          </w:p>
          <w:p>
            <w:pPr>
              <w:pStyle w:val="TableParagraph"/>
              <w:spacing w:line="206" w:lineRule="exact" w:before="8"/>
              <w:ind w:left="101" w:right="161"/>
              <w:rPr>
                <w:sz w:val="17"/>
              </w:rPr>
            </w:pPr>
            <w:r>
              <w:rPr>
                <w:sz w:val="17"/>
              </w:rPr>
              <w:t>giforbruget angives, fx ”yyyy-mm- dd:mm”</w:t>
            </w:r>
          </w:p>
        </w:tc>
      </w:tr>
    </w:tbl>
    <w:p>
      <w:pPr>
        <w:spacing w:before="1"/>
        <w:ind w:left="2649" w:right="0" w:firstLine="0"/>
        <w:jc w:val="left"/>
        <w:rPr>
          <w:i/>
          <w:sz w:val="14"/>
        </w:rPr>
      </w:pPr>
      <w:bookmarkStart w:name="_bookmark43" w:id="44"/>
      <w:bookmarkEnd w:id="44"/>
      <w:r>
        <w:rPr/>
      </w:r>
      <w:r>
        <w:rPr>
          <w:i/>
          <w:sz w:val="14"/>
        </w:rPr>
        <w:t>Tabel 3.1:Domænespecifikke egenskaber i relation til energi-relevante data</w:t>
      </w:r>
    </w:p>
    <w:p>
      <w:pPr>
        <w:pStyle w:val="BodyText"/>
        <w:spacing w:before="3"/>
        <w:rPr>
          <w:i/>
          <w:sz w:val="19"/>
        </w:rPr>
      </w:pPr>
    </w:p>
    <w:p>
      <w:pPr>
        <w:pStyle w:val="BodyText"/>
        <w:spacing w:line="278" w:lineRule="auto"/>
        <w:ind w:left="2649" w:right="1072"/>
      </w:pPr>
      <w:r>
        <w:rPr/>
        <w:t>Når data er struktureret, kan der foretages sammenkobling mellem steddatabasen og oplysninger om energiforbruget. Sammenkoblingen foregår som en stedfæ- stelse/geokodning af energidata.</w:t>
      </w:r>
    </w:p>
    <w:p>
      <w:pPr>
        <w:pStyle w:val="BodyText"/>
        <w:spacing w:before="9"/>
        <w:rPr>
          <w:sz w:val="21"/>
        </w:rPr>
      </w:pPr>
    </w:p>
    <w:p>
      <w:pPr>
        <w:pStyle w:val="ListParagraph"/>
        <w:numPr>
          <w:ilvl w:val="2"/>
          <w:numId w:val="12"/>
        </w:numPr>
        <w:tabs>
          <w:tab w:pos="2649" w:val="left" w:leader="none"/>
          <w:tab w:pos="2650" w:val="left" w:leader="none"/>
        </w:tabs>
        <w:spacing w:line="278" w:lineRule="auto" w:before="0" w:after="0"/>
        <w:ind w:left="2649" w:right="1066" w:hanging="799"/>
        <w:jc w:val="left"/>
        <w:rPr>
          <w:sz w:val="17"/>
        </w:rPr>
      </w:pPr>
      <w:bookmarkStart w:name="_bookmark44" w:id="45"/>
      <w:bookmarkEnd w:id="45"/>
      <w:r>
        <w:rPr>
          <w:b/>
          <w:sz w:val="20"/>
        </w:rPr>
        <w:t>Stedb</w:t>
      </w:r>
      <w:r>
        <w:rPr>
          <w:b/>
          <w:sz w:val="20"/>
        </w:rPr>
        <w:t>estemmelse af energi-relevante datas forsyningszoner </w:t>
      </w:r>
      <w:r>
        <w:rPr>
          <w:sz w:val="17"/>
        </w:rPr>
        <w:t>Hvis der er en naturlig sammenhæng mellem opdeling af rum samt forsyningszo- nerne kan måler og rum tilknyttes automatisk (se </w:t>
      </w:r>
      <w:hyperlink w:history="true" w:anchor="_bookmark45">
        <w:r>
          <w:rPr>
            <w:sz w:val="17"/>
          </w:rPr>
          <w:t>Figur 3.1</w:t>
        </w:r>
      </w:hyperlink>
      <w:r>
        <w:rPr>
          <w:sz w:val="17"/>
        </w:rPr>
        <w:t>). Måleren står installe- ret i rummet i nordøst, og denne måler betjener eller forsyner dette rum og rum- mer ved siden af med el til belysning. I rummet i nordvest er en anden måler in- stalleret, og denne måler betjener eller forsyner kun dette rum med el til belys- ning. Dermed er der en klar afgrænsning mellem forsyningszonerne, hvor energi- data kan knyttes til rummene beskrevet f.eks. ud fra rumpunkterne. I dette ek- sempel er nøgletallene entydige, da alt elforbrug til belysning kan henføres direkte til rummet, det er stedbestemt</w:t>
      </w:r>
      <w:r>
        <w:rPr>
          <w:spacing w:val="-3"/>
          <w:sz w:val="17"/>
        </w:rPr>
        <w:t> </w:t>
      </w:r>
      <w:r>
        <w:rPr>
          <w:sz w:val="17"/>
        </w:rPr>
        <w:t>til.</w:t>
      </w:r>
    </w:p>
    <w:p>
      <w:pPr>
        <w:spacing w:after="0" w:line="278" w:lineRule="auto"/>
        <w:jc w:val="lef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group style="position:absolute;margin-left:43.200001pt;margin-top:-.222301pt;width:126.2pt;height:841.1pt;mso-position-horizontal-relative:page;mso-position-vertical-relative:page;z-index:-178672" coordorigin="864,-4" coordsize="2524,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030;top:1997;width:1600;height:1505" type="#_x0000_t75" stroked="false">
              <v:imagedata r:id="rId30" o:title=""/>
            </v:shape>
            <v:shape style="position:absolute;left:864;top:7579;width:1551;height:1459" type="#_x0000_t75" stroked="false">
              <v:imagedata r:id="rId30" o:title=""/>
            </v:shape>
            <w10:wrap type="none"/>
          </v:group>
        </w:pict>
      </w:r>
    </w:p>
    <w:p>
      <w:pPr>
        <w:pStyle w:val="BodyText"/>
        <w:rPr>
          <w:sz w:val="20"/>
        </w:rPr>
      </w:pPr>
    </w:p>
    <w:p>
      <w:pPr>
        <w:pStyle w:val="BodyText"/>
        <w:rPr>
          <w:sz w:val="20"/>
        </w:rPr>
      </w:pPr>
    </w:p>
    <w:p>
      <w:pPr>
        <w:pStyle w:val="BodyText"/>
        <w:spacing w:before="2"/>
      </w:pPr>
    </w:p>
    <w:p>
      <w:pPr>
        <w:pStyle w:val="BodyText"/>
        <w:ind w:left="3392"/>
        <w:rPr>
          <w:sz w:val="20"/>
        </w:rPr>
      </w:pPr>
      <w:r>
        <w:rPr>
          <w:sz w:val="20"/>
        </w:rPr>
        <w:drawing>
          <wp:inline distT="0" distB="0" distL="0" distR="0">
            <wp:extent cx="3595788" cy="1458468"/>
            <wp:effectExtent l="0" t="0" r="0" b="0"/>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31" cstate="print"/>
                    <a:stretch>
                      <a:fillRect/>
                    </a:stretch>
                  </pic:blipFill>
                  <pic:spPr>
                    <a:xfrm>
                      <a:off x="0" y="0"/>
                      <a:ext cx="3595788" cy="1458468"/>
                    </a:xfrm>
                    <a:prstGeom prst="rect">
                      <a:avLst/>
                    </a:prstGeom>
                  </pic:spPr>
                </pic:pic>
              </a:graphicData>
            </a:graphic>
          </wp:inline>
        </w:drawing>
      </w:r>
      <w:r>
        <w:rPr>
          <w:sz w:val="20"/>
        </w:rPr>
      </w:r>
    </w:p>
    <w:p>
      <w:pPr>
        <w:spacing w:before="125"/>
        <w:ind w:left="4337" w:right="0" w:firstLine="0"/>
        <w:jc w:val="left"/>
        <w:rPr>
          <w:i/>
          <w:sz w:val="14"/>
        </w:rPr>
      </w:pPr>
      <w:bookmarkStart w:name="_bookmark45" w:id="46"/>
      <w:bookmarkEnd w:id="46"/>
      <w:r>
        <w:rPr/>
      </w:r>
      <w:r>
        <w:rPr>
          <w:i/>
          <w:sz w:val="14"/>
        </w:rPr>
        <w:t>Figur 3.1: Eksempel på forsyningszone adskilt af rum</w:t>
      </w:r>
    </w:p>
    <w:p>
      <w:pPr>
        <w:pStyle w:val="BodyText"/>
        <w:spacing w:before="6"/>
        <w:rPr>
          <w:i/>
          <w:sz w:val="19"/>
        </w:rPr>
      </w:pPr>
    </w:p>
    <w:p>
      <w:pPr>
        <w:pStyle w:val="BodyText"/>
        <w:spacing w:line="278" w:lineRule="auto" w:before="1"/>
        <w:ind w:left="2649" w:right="1043"/>
      </w:pPr>
      <w:r>
        <w:rPr/>
        <w:t>Hvis to forsyningszoner deler et rum, er det en mere udfordrende situation (se </w:t>
      </w:r>
      <w:hyperlink w:history="true" w:anchor="_bookmark46">
        <w:r>
          <w:rPr/>
          <w:t>Fi-</w:t>
        </w:r>
      </w:hyperlink>
      <w:r>
        <w:rPr/>
        <w:t> </w:t>
      </w:r>
      <w:hyperlink w:history="true" w:anchor="_bookmark46">
        <w:r>
          <w:rPr/>
          <w:t>gur 3.2</w:t>
        </w:r>
      </w:hyperlink>
      <w:r>
        <w:rPr/>
        <w:t>). Måleren, som er installeret i rummet i nordøst, forsyner det rum, den er installeret i, med el til belysning, men den forsyner også rummet i midten med el til belysning. Forsyningszonen for denne måler er således hele rummet i nordøst og ca. halvdelen af rummet i midten, hvor måleren leverer strøm til to ud af i alt fire belysningskilder. Måleren som er installeret i rummet i nordvest, leverer strøm til belysning til de fire lyskilder i dette rum og til to lyskilder i rummet i midten. For begge målere gælder det, at de begge leverer strøm til belysning til rummet i mid- ten, og derfor indgår dette rum i forsyningsområdet for begge målere, dvs. at begge målere kan knyttes til</w:t>
      </w:r>
      <w:r>
        <w:rPr>
          <w:spacing w:val="-2"/>
        </w:rPr>
        <w:t> </w:t>
      </w:r>
      <w:r>
        <w:rPr/>
        <w:t>rummidtpunktet.</w:t>
      </w:r>
    </w:p>
    <w:p>
      <w:pPr>
        <w:pStyle w:val="BodyText"/>
        <w:spacing w:before="9"/>
      </w:pPr>
      <w:r>
        <w:rPr/>
        <w:drawing>
          <wp:anchor distT="0" distB="0" distL="0" distR="0" allowOverlap="1" layoutInCell="1" locked="0" behindDoc="0" simplePos="0" relativeHeight="123">
            <wp:simplePos x="0" y="0"/>
            <wp:positionH relativeFrom="page">
              <wp:posOffset>2717951</wp:posOffset>
            </wp:positionH>
            <wp:positionV relativeFrom="paragraph">
              <wp:posOffset>161917</wp:posOffset>
            </wp:positionV>
            <wp:extent cx="3698843" cy="1517903"/>
            <wp:effectExtent l="0" t="0" r="0" b="0"/>
            <wp:wrapTopAndBottom/>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32" cstate="print"/>
                    <a:stretch>
                      <a:fillRect/>
                    </a:stretch>
                  </pic:blipFill>
                  <pic:spPr>
                    <a:xfrm>
                      <a:off x="0" y="0"/>
                      <a:ext cx="3698843" cy="1517903"/>
                    </a:xfrm>
                    <a:prstGeom prst="rect">
                      <a:avLst/>
                    </a:prstGeom>
                  </pic:spPr>
                </pic:pic>
              </a:graphicData>
            </a:graphic>
          </wp:anchor>
        </w:drawing>
      </w:r>
    </w:p>
    <w:p>
      <w:pPr>
        <w:spacing w:before="105"/>
        <w:ind w:left="3741" w:right="0" w:firstLine="0"/>
        <w:jc w:val="left"/>
        <w:rPr>
          <w:i/>
          <w:sz w:val="14"/>
        </w:rPr>
      </w:pPr>
      <w:bookmarkStart w:name="_bookmark46" w:id="47"/>
      <w:bookmarkEnd w:id="47"/>
      <w:r>
        <w:rPr/>
      </w:r>
      <w:r>
        <w:rPr>
          <w:i/>
          <w:sz w:val="14"/>
        </w:rPr>
        <w:t>Figur 3.2: Eksempel på forsyningszoner som udgør en andel af et rum</w:t>
      </w:r>
    </w:p>
    <w:p>
      <w:pPr>
        <w:pStyle w:val="BodyText"/>
        <w:spacing w:before="3"/>
        <w:rPr>
          <w:i/>
          <w:sz w:val="19"/>
        </w:rPr>
      </w:pPr>
    </w:p>
    <w:p>
      <w:pPr>
        <w:pStyle w:val="BodyText"/>
        <w:spacing w:line="278" w:lineRule="auto"/>
        <w:ind w:left="2649" w:right="1026"/>
        <w:jc w:val="both"/>
      </w:pPr>
      <w:r>
        <w:rPr/>
        <w:t>I dette eksempel opstår der naturligt udfordringer, når data skal fortolkes. Udfor- dringen opstår, idet forskellige datakilder sammenkøres, fx data om energiforbrug og</w:t>
      </w:r>
      <w:r>
        <w:rPr>
          <w:spacing w:val="-7"/>
        </w:rPr>
        <w:t> </w:t>
      </w:r>
      <w:r>
        <w:rPr/>
        <w:t>data</w:t>
      </w:r>
      <w:r>
        <w:rPr>
          <w:spacing w:val="-5"/>
        </w:rPr>
        <w:t> </w:t>
      </w:r>
      <w:r>
        <w:rPr/>
        <w:t>om</w:t>
      </w:r>
      <w:r>
        <w:rPr>
          <w:spacing w:val="-7"/>
        </w:rPr>
        <w:t> </w:t>
      </w:r>
      <w:r>
        <w:rPr/>
        <w:t>kvadratmeter.</w:t>
      </w:r>
      <w:r>
        <w:rPr>
          <w:spacing w:val="-6"/>
        </w:rPr>
        <w:t> </w:t>
      </w:r>
      <w:r>
        <w:rPr/>
        <w:t>Ønskes</w:t>
      </w:r>
      <w:r>
        <w:rPr>
          <w:spacing w:val="-6"/>
        </w:rPr>
        <w:t> </w:t>
      </w:r>
      <w:r>
        <w:rPr/>
        <w:t>fx</w:t>
      </w:r>
      <w:r>
        <w:rPr>
          <w:spacing w:val="-6"/>
        </w:rPr>
        <w:t> </w:t>
      </w:r>
      <w:r>
        <w:rPr/>
        <w:t>et</w:t>
      </w:r>
      <w:r>
        <w:rPr>
          <w:spacing w:val="-5"/>
        </w:rPr>
        <w:t> </w:t>
      </w:r>
      <w:r>
        <w:rPr/>
        <w:t>energiforbrug</w:t>
      </w:r>
      <w:r>
        <w:rPr>
          <w:spacing w:val="-6"/>
        </w:rPr>
        <w:t> </w:t>
      </w:r>
      <w:r>
        <w:rPr/>
        <w:t>per</w:t>
      </w:r>
      <w:r>
        <w:rPr>
          <w:spacing w:val="-7"/>
        </w:rPr>
        <w:t> </w:t>
      </w:r>
      <w:r>
        <w:rPr/>
        <w:t>kvadratmeter</w:t>
      </w:r>
      <w:r>
        <w:rPr>
          <w:spacing w:val="-7"/>
        </w:rPr>
        <w:t> </w:t>
      </w:r>
      <w:r>
        <w:rPr/>
        <w:t>for</w:t>
      </w:r>
      <w:r>
        <w:rPr>
          <w:spacing w:val="-7"/>
        </w:rPr>
        <w:t> </w:t>
      </w:r>
      <w:r>
        <w:rPr/>
        <w:t>det</w:t>
      </w:r>
      <w:r>
        <w:rPr>
          <w:spacing w:val="-6"/>
        </w:rPr>
        <w:t> </w:t>
      </w:r>
      <w:r>
        <w:rPr/>
        <w:t>om- råde som måleren i nordøst forsyner, vil det give anledning til fejlinformation, så- fremt man medregner hele arealet af rummet i midten. Datastrukturen for de</w:t>
      </w:r>
      <w:r>
        <w:rPr>
          <w:spacing w:val="-26"/>
        </w:rPr>
        <w:t> </w:t>
      </w:r>
      <w:r>
        <w:rPr/>
        <w:t>sam- menkoblede data viser, at måleren forsyner to rum, men den viser ikke hvor stor en</w:t>
      </w:r>
      <w:r>
        <w:rPr>
          <w:spacing w:val="-11"/>
        </w:rPr>
        <w:t> </w:t>
      </w:r>
      <w:r>
        <w:rPr/>
        <w:t>del</w:t>
      </w:r>
      <w:r>
        <w:rPr>
          <w:spacing w:val="-12"/>
        </w:rPr>
        <w:t> </w:t>
      </w:r>
      <w:r>
        <w:rPr/>
        <w:t>af</w:t>
      </w:r>
      <w:r>
        <w:rPr>
          <w:spacing w:val="-11"/>
        </w:rPr>
        <w:t> </w:t>
      </w:r>
      <w:r>
        <w:rPr/>
        <w:t>rummet</w:t>
      </w:r>
      <w:r>
        <w:rPr>
          <w:spacing w:val="-10"/>
        </w:rPr>
        <w:t> </w:t>
      </w:r>
      <w:r>
        <w:rPr/>
        <w:t>i</w:t>
      </w:r>
      <w:r>
        <w:rPr>
          <w:spacing w:val="-10"/>
        </w:rPr>
        <w:t> </w:t>
      </w:r>
      <w:r>
        <w:rPr/>
        <w:t>midten,</w:t>
      </w:r>
      <w:r>
        <w:rPr>
          <w:spacing w:val="-10"/>
        </w:rPr>
        <w:t> </w:t>
      </w:r>
      <w:r>
        <w:rPr/>
        <w:t>den</w:t>
      </w:r>
      <w:r>
        <w:rPr>
          <w:spacing w:val="-10"/>
        </w:rPr>
        <w:t> </w:t>
      </w:r>
      <w:r>
        <w:rPr/>
        <w:t>forsyner.</w:t>
      </w:r>
      <w:r>
        <w:rPr>
          <w:spacing w:val="-10"/>
        </w:rPr>
        <w:t> </w:t>
      </w:r>
      <w:r>
        <w:rPr/>
        <w:t>Rent</w:t>
      </w:r>
      <w:r>
        <w:rPr>
          <w:spacing w:val="-11"/>
        </w:rPr>
        <w:t> </w:t>
      </w:r>
      <w:r>
        <w:rPr/>
        <w:t>praktisk</w:t>
      </w:r>
      <w:r>
        <w:rPr>
          <w:spacing w:val="-10"/>
        </w:rPr>
        <w:t> </w:t>
      </w:r>
      <w:r>
        <w:rPr/>
        <w:t>lader</w:t>
      </w:r>
      <w:r>
        <w:rPr>
          <w:spacing w:val="-11"/>
        </w:rPr>
        <w:t> </w:t>
      </w:r>
      <w:r>
        <w:rPr/>
        <w:t>det</w:t>
      </w:r>
      <w:r>
        <w:rPr>
          <w:spacing w:val="-11"/>
        </w:rPr>
        <w:t> </w:t>
      </w:r>
      <w:r>
        <w:rPr/>
        <w:t>sig</w:t>
      </w:r>
      <w:r>
        <w:rPr>
          <w:spacing w:val="-11"/>
        </w:rPr>
        <w:t> </w:t>
      </w:r>
      <w:r>
        <w:rPr/>
        <w:t>heller</w:t>
      </w:r>
      <w:r>
        <w:rPr>
          <w:spacing w:val="-8"/>
        </w:rPr>
        <w:t> </w:t>
      </w:r>
      <w:r>
        <w:rPr/>
        <w:t>ikke</w:t>
      </w:r>
      <w:r>
        <w:rPr>
          <w:spacing w:val="-12"/>
        </w:rPr>
        <w:t> </w:t>
      </w:r>
      <w:r>
        <w:rPr/>
        <w:t>gøre, da hele rummet i forskellige grad bliver belyst af de forskellige lyskilder. Det kan give anledning til forkerte eller misvisende nøgletal og deraf</w:t>
      </w:r>
      <w:r>
        <w:rPr>
          <w:spacing w:val="-13"/>
        </w:rPr>
        <w:t> </w:t>
      </w:r>
      <w:r>
        <w:rPr/>
        <w:t>fejlfortolkninger.</w:t>
      </w:r>
    </w:p>
    <w:p>
      <w:pPr>
        <w:pStyle w:val="BodyText"/>
        <w:spacing w:before="11"/>
        <w:rPr>
          <w:sz w:val="21"/>
        </w:rPr>
      </w:pPr>
    </w:p>
    <w:p>
      <w:pPr>
        <w:pStyle w:val="Heading3"/>
        <w:numPr>
          <w:ilvl w:val="2"/>
          <w:numId w:val="12"/>
        </w:numPr>
        <w:tabs>
          <w:tab w:pos="2649" w:val="left" w:leader="none"/>
          <w:tab w:pos="2650" w:val="left" w:leader="none"/>
        </w:tabs>
        <w:spacing w:line="240" w:lineRule="auto" w:before="0" w:after="0"/>
        <w:ind w:left="2649" w:right="0" w:hanging="799"/>
        <w:jc w:val="left"/>
      </w:pPr>
      <w:bookmarkStart w:name="_bookmark47" w:id="48"/>
      <w:bookmarkEnd w:id="48"/>
      <w:r>
        <w:rPr/>
        <w:t>M</w:t>
      </w:r>
      <w:r>
        <w:rPr/>
        <w:t>anuel stedbestemmelse af energi-relevante</w:t>
      </w:r>
      <w:r>
        <w:rPr>
          <w:spacing w:val="-6"/>
        </w:rPr>
        <w:t> </w:t>
      </w:r>
      <w:r>
        <w:rPr/>
        <w:t>data</w:t>
      </w:r>
    </w:p>
    <w:p>
      <w:pPr>
        <w:pStyle w:val="BodyText"/>
        <w:spacing w:line="278" w:lineRule="auto" w:before="34"/>
        <w:ind w:left="2649" w:right="1069"/>
      </w:pPr>
      <w:r>
        <w:rPr/>
        <w:t>Når placeringen for måleren ikke er kendt nøjagtigt, foretages en manuel eller se- miautomatisk geokodning, hvor målernes fysiske placering kodes op på de rum, hvori de er placeret. For hver unikt registrerede måler i bygningen, vælges det rum, hvor måleren er installeret. Selve rummet er identificeret vha. rumpunktet i steddatabasen. </w:t>
      </w:r>
      <w:hyperlink w:history="true" w:anchor="_bookmark48">
        <w:r>
          <w:rPr/>
          <w:t>Figur 3.3 </w:t>
        </w:r>
      </w:hyperlink>
      <w:r>
        <w:rPr/>
        <w:t>på næste side illustrerer et eksempel på en datastruktur, hvor energidata kobles med en indendørs steddatabase. Eksemplet viser, at må- ler_ID ’X’ er installeret i rum ’M’, og at der er to målere, ’Y’ og ’Z’, installeret i rum ’N’. Med afsæt i den sammenstillede datastruktur vil det være muligt at danne en infrastruktur over målerinstallationer, som f.eks. kan visualiseres på et kort.</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tbl>
      <w:tblPr>
        <w:tblW w:w="0" w:type="auto"/>
        <w:jc w:val="left"/>
        <w:tblInd w:w="3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18"/>
        <w:gridCol w:w="883"/>
        <w:gridCol w:w="513"/>
        <w:gridCol w:w="671"/>
        <w:gridCol w:w="530"/>
        <w:gridCol w:w="644"/>
        <w:gridCol w:w="741"/>
        <w:gridCol w:w="661"/>
      </w:tblGrid>
      <w:tr>
        <w:trPr>
          <w:trHeight w:val="200" w:hRule="atLeast"/>
        </w:trPr>
        <w:tc>
          <w:tcPr>
            <w:tcW w:w="1118" w:type="dxa"/>
            <w:tcBorders>
              <w:left w:val="single" w:sz="4" w:space="0" w:color="000000"/>
            </w:tcBorders>
            <w:shd w:val="clear" w:color="auto" w:fill="D5DCE3"/>
          </w:tcPr>
          <w:p>
            <w:pPr>
              <w:pStyle w:val="TableParagraph"/>
              <w:spacing w:before="28"/>
              <w:ind w:left="271" w:right="258"/>
              <w:jc w:val="center"/>
              <w:rPr>
                <w:b/>
                <w:sz w:val="12"/>
              </w:rPr>
            </w:pPr>
            <w:r>
              <w:rPr>
                <w:b/>
                <w:w w:val="105"/>
                <w:sz w:val="12"/>
              </w:rPr>
              <w:t>Reg_ID</w:t>
            </w:r>
          </w:p>
        </w:tc>
        <w:tc>
          <w:tcPr>
            <w:tcW w:w="883" w:type="dxa"/>
            <w:shd w:val="clear" w:color="auto" w:fill="D5DCE3"/>
          </w:tcPr>
          <w:p>
            <w:pPr>
              <w:pStyle w:val="TableParagraph"/>
              <w:spacing w:before="28"/>
              <w:ind w:left="30" w:right="23"/>
              <w:jc w:val="center"/>
              <w:rPr>
                <w:b/>
                <w:sz w:val="12"/>
              </w:rPr>
            </w:pPr>
            <w:r>
              <w:rPr>
                <w:b/>
                <w:w w:val="105"/>
                <w:sz w:val="12"/>
              </w:rPr>
              <w:t>Ejer</w:t>
            </w:r>
          </w:p>
        </w:tc>
        <w:tc>
          <w:tcPr>
            <w:tcW w:w="513" w:type="dxa"/>
            <w:shd w:val="clear" w:color="auto" w:fill="D5DCE3"/>
          </w:tcPr>
          <w:p>
            <w:pPr>
              <w:pStyle w:val="TableParagraph"/>
              <w:spacing w:before="28"/>
              <w:ind w:left="20" w:right="9"/>
              <w:jc w:val="center"/>
              <w:rPr>
                <w:b/>
                <w:sz w:val="12"/>
              </w:rPr>
            </w:pPr>
            <w:r>
              <w:rPr>
                <w:b/>
                <w:w w:val="105"/>
                <w:sz w:val="12"/>
              </w:rPr>
              <w:t>Type</w:t>
            </w:r>
          </w:p>
        </w:tc>
        <w:tc>
          <w:tcPr>
            <w:tcW w:w="671" w:type="dxa"/>
            <w:shd w:val="clear" w:color="auto" w:fill="D5DCE3"/>
          </w:tcPr>
          <w:p>
            <w:pPr>
              <w:pStyle w:val="TableParagraph"/>
              <w:spacing w:before="28"/>
              <w:ind w:left="33" w:right="18"/>
              <w:jc w:val="center"/>
              <w:rPr>
                <w:b/>
                <w:sz w:val="12"/>
              </w:rPr>
            </w:pPr>
            <w:r>
              <w:rPr>
                <w:b/>
                <w:w w:val="105"/>
                <w:sz w:val="12"/>
              </w:rPr>
              <w:t>Forbrug</w:t>
            </w:r>
          </w:p>
        </w:tc>
        <w:tc>
          <w:tcPr>
            <w:tcW w:w="530" w:type="dxa"/>
            <w:shd w:val="clear" w:color="auto" w:fill="D5DCE3"/>
          </w:tcPr>
          <w:p>
            <w:pPr>
              <w:pStyle w:val="TableParagraph"/>
              <w:spacing w:before="28"/>
              <w:ind w:left="24" w:right="8"/>
              <w:jc w:val="center"/>
              <w:rPr>
                <w:b/>
                <w:sz w:val="12"/>
              </w:rPr>
            </w:pPr>
            <w:r>
              <w:rPr>
                <w:b/>
                <w:w w:val="105"/>
                <w:sz w:val="12"/>
              </w:rPr>
              <w:t>Enhed</w:t>
            </w:r>
          </w:p>
        </w:tc>
        <w:tc>
          <w:tcPr>
            <w:tcW w:w="644" w:type="dxa"/>
            <w:shd w:val="clear" w:color="auto" w:fill="D5DCE3"/>
          </w:tcPr>
          <w:p>
            <w:pPr>
              <w:pStyle w:val="TableParagraph"/>
              <w:spacing w:before="28"/>
              <w:ind w:left="28" w:right="16"/>
              <w:jc w:val="center"/>
              <w:rPr>
                <w:b/>
                <w:sz w:val="12"/>
              </w:rPr>
            </w:pPr>
            <w:r>
              <w:rPr>
                <w:b/>
                <w:w w:val="105"/>
                <w:sz w:val="12"/>
              </w:rPr>
              <w:t>Periode</w:t>
            </w:r>
          </w:p>
        </w:tc>
        <w:tc>
          <w:tcPr>
            <w:tcW w:w="741" w:type="dxa"/>
            <w:shd w:val="clear" w:color="auto" w:fill="ACB8C9"/>
          </w:tcPr>
          <w:p>
            <w:pPr>
              <w:pStyle w:val="TableParagraph"/>
              <w:spacing w:before="28"/>
              <w:ind w:left="41" w:right="14"/>
              <w:jc w:val="center"/>
              <w:rPr>
                <w:b/>
                <w:sz w:val="12"/>
              </w:rPr>
            </w:pPr>
            <w:r>
              <w:rPr>
                <w:b/>
                <w:sz w:val="12"/>
              </w:rPr>
              <w:t>Måler_ID</w:t>
            </w:r>
          </w:p>
        </w:tc>
        <w:tc>
          <w:tcPr>
            <w:tcW w:w="661" w:type="dxa"/>
            <w:shd w:val="clear" w:color="auto" w:fill="F8CAAC"/>
          </w:tcPr>
          <w:p>
            <w:pPr>
              <w:pStyle w:val="TableParagraph"/>
              <w:spacing w:before="28"/>
              <w:ind w:left="37" w:right="7"/>
              <w:jc w:val="center"/>
              <w:rPr>
                <w:b/>
                <w:sz w:val="12"/>
              </w:rPr>
            </w:pPr>
            <w:r>
              <w:rPr>
                <w:b/>
                <w:sz w:val="12"/>
              </w:rPr>
              <w:t>Rum_ID</w:t>
            </w:r>
          </w:p>
        </w:tc>
      </w:tr>
      <w:tr>
        <w:trPr>
          <w:trHeight w:val="200" w:hRule="atLeast"/>
        </w:trPr>
        <w:tc>
          <w:tcPr>
            <w:tcW w:w="1118" w:type="dxa"/>
            <w:tcBorders>
              <w:left w:val="single" w:sz="4" w:space="0" w:color="000000"/>
              <w:bottom w:val="single" w:sz="8" w:space="0" w:color="BEBEBE"/>
            </w:tcBorders>
            <w:shd w:val="clear" w:color="auto" w:fill="D5DCE3"/>
          </w:tcPr>
          <w:p>
            <w:pPr>
              <w:pStyle w:val="TableParagraph"/>
              <w:spacing w:before="28"/>
              <w:ind w:left="15"/>
              <w:jc w:val="center"/>
              <w:rPr>
                <w:sz w:val="12"/>
              </w:rPr>
            </w:pPr>
            <w:r>
              <w:rPr>
                <w:w w:val="103"/>
                <w:sz w:val="12"/>
              </w:rPr>
              <w:t>C</w:t>
            </w:r>
          </w:p>
        </w:tc>
        <w:tc>
          <w:tcPr>
            <w:tcW w:w="883" w:type="dxa"/>
            <w:tcBorders>
              <w:bottom w:val="single" w:sz="8" w:space="0" w:color="BEBEBE"/>
            </w:tcBorders>
            <w:shd w:val="clear" w:color="auto" w:fill="D5DCE3"/>
          </w:tcPr>
          <w:p>
            <w:pPr>
              <w:pStyle w:val="TableParagraph"/>
              <w:spacing w:before="28"/>
              <w:ind w:left="33" w:right="14"/>
              <w:jc w:val="center"/>
              <w:rPr>
                <w:sz w:val="12"/>
              </w:rPr>
            </w:pPr>
            <w:r>
              <w:rPr>
                <w:w w:val="105"/>
                <w:sz w:val="12"/>
              </w:rPr>
              <w:t>”DataHub”</w:t>
            </w:r>
          </w:p>
        </w:tc>
        <w:tc>
          <w:tcPr>
            <w:tcW w:w="513" w:type="dxa"/>
            <w:tcBorders>
              <w:bottom w:val="single" w:sz="8" w:space="0" w:color="BEBEBE"/>
            </w:tcBorders>
            <w:shd w:val="clear" w:color="auto" w:fill="D5DCE3"/>
          </w:tcPr>
          <w:p>
            <w:pPr>
              <w:pStyle w:val="TableParagraph"/>
              <w:spacing w:before="28"/>
              <w:ind w:left="26" w:right="9"/>
              <w:jc w:val="center"/>
              <w:rPr>
                <w:sz w:val="12"/>
              </w:rPr>
            </w:pPr>
            <w:r>
              <w:rPr>
                <w:w w:val="105"/>
                <w:sz w:val="12"/>
              </w:rPr>
              <w:t>El</w:t>
            </w:r>
          </w:p>
        </w:tc>
        <w:tc>
          <w:tcPr>
            <w:tcW w:w="671" w:type="dxa"/>
            <w:tcBorders>
              <w:bottom w:val="single" w:sz="8" w:space="0" w:color="BEBEBE"/>
            </w:tcBorders>
            <w:shd w:val="clear" w:color="auto" w:fill="D5DCE3"/>
          </w:tcPr>
          <w:p>
            <w:pPr>
              <w:pStyle w:val="TableParagraph"/>
              <w:spacing w:line="155" w:lineRule="exact" w:before="26"/>
              <w:ind w:left="18" w:right="18"/>
              <w:jc w:val="center"/>
              <w:rPr>
                <w:sz w:val="8"/>
              </w:rPr>
            </w:pPr>
            <w:r>
              <w:rPr>
                <w:position w:val="2"/>
                <w:sz w:val="12"/>
              </w:rPr>
              <w:t>m</w:t>
            </w:r>
            <w:r>
              <w:rPr>
                <w:sz w:val="8"/>
              </w:rPr>
              <w:t>1</w:t>
            </w:r>
          </w:p>
        </w:tc>
        <w:tc>
          <w:tcPr>
            <w:tcW w:w="530" w:type="dxa"/>
            <w:tcBorders>
              <w:bottom w:val="single" w:sz="8" w:space="0" w:color="BEBEBE"/>
            </w:tcBorders>
            <w:shd w:val="clear" w:color="auto" w:fill="D5DCE3"/>
          </w:tcPr>
          <w:p>
            <w:pPr>
              <w:pStyle w:val="TableParagraph"/>
              <w:spacing w:before="28"/>
              <w:ind w:left="16" w:right="8"/>
              <w:jc w:val="center"/>
              <w:rPr>
                <w:sz w:val="12"/>
              </w:rPr>
            </w:pPr>
            <w:r>
              <w:rPr>
                <w:w w:val="105"/>
                <w:sz w:val="12"/>
              </w:rPr>
              <w:t>kWh</w:t>
            </w:r>
          </w:p>
        </w:tc>
        <w:tc>
          <w:tcPr>
            <w:tcW w:w="644" w:type="dxa"/>
            <w:tcBorders>
              <w:bottom w:val="single" w:sz="8" w:space="0" w:color="BEBEBE"/>
            </w:tcBorders>
            <w:shd w:val="clear" w:color="auto" w:fill="D5DCE3"/>
          </w:tcPr>
          <w:p>
            <w:pPr>
              <w:pStyle w:val="TableParagraph"/>
              <w:spacing w:line="155" w:lineRule="exact" w:before="26"/>
              <w:ind w:left="16" w:right="16"/>
              <w:jc w:val="center"/>
              <w:rPr>
                <w:sz w:val="8"/>
              </w:rPr>
            </w:pPr>
            <w:r>
              <w:rPr>
                <w:position w:val="2"/>
                <w:sz w:val="12"/>
              </w:rPr>
              <w:t>t</w:t>
            </w:r>
            <w:r>
              <w:rPr>
                <w:sz w:val="8"/>
              </w:rPr>
              <w:t>1</w:t>
            </w:r>
          </w:p>
        </w:tc>
        <w:tc>
          <w:tcPr>
            <w:tcW w:w="741" w:type="dxa"/>
            <w:tcBorders>
              <w:bottom w:val="single" w:sz="8" w:space="0" w:color="BEBEBE"/>
            </w:tcBorders>
            <w:shd w:val="clear" w:color="auto" w:fill="ACB8C9"/>
          </w:tcPr>
          <w:p>
            <w:pPr>
              <w:pStyle w:val="TableParagraph"/>
              <w:spacing w:before="28"/>
              <w:ind w:left="9"/>
              <w:jc w:val="center"/>
              <w:rPr>
                <w:sz w:val="12"/>
              </w:rPr>
            </w:pPr>
            <w:r>
              <w:rPr>
                <w:w w:val="103"/>
                <w:sz w:val="12"/>
              </w:rPr>
              <w:t>X</w:t>
            </w:r>
          </w:p>
        </w:tc>
        <w:tc>
          <w:tcPr>
            <w:tcW w:w="661" w:type="dxa"/>
            <w:tcBorders>
              <w:bottom w:val="single" w:sz="8" w:space="0" w:color="BEBEBE"/>
            </w:tcBorders>
            <w:shd w:val="clear" w:color="auto" w:fill="F8CAAC"/>
          </w:tcPr>
          <w:p>
            <w:pPr>
              <w:pStyle w:val="TableParagraph"/>
              <w:spacing w:before="28"/>
              <w:ind w:left="23"/>
              <w:jc w:val="center"/>
              <w:rPr>
                <w:sz w:val="12"/>
              </w:rPr>
            </w:pPr>
            <w:r>
              <w:rPr>
                <w:w w:val="103"/>
                <w:sz w:val="12"/>
              </w:rPr>
              <w:t>M</w:t>
            </w:r>
          </w:p>
        </w:tc>
      </w:tr>
      <w:tr>
        <w:trPr>
          <w:trHeight w:val="200" w:hRule="atLeast"/>
        </w:trPr>
        <w:tc>
          <w:tcPr>
            <w:tcW w:w="1118" w:type="dxa"/>
            <w:tcBorders>
              <w:top w:val="single" w:sz="8" w:space="0" w:color="BEBEBE"/>
              <w:left w:val="single" w:sz="4" w:space="0" w:color="000000"/>
              <w:bottom w:val="single" w:sz="8" w:space="0" w:color="BEBEBE"/>
            </w:tcBorders>
            <w:shd w:val="clear" w:color="auto" w:fill="D5DCE3"/>
          </w:tcPr>
          <w:p>
            <w:pPr>
              <w:pStyle w:val="TableParagraph"/>
              <w:spacing w:before="28"/>
              <w:ind w:left="7"/>
              <w:jc w:val="center"/>
              <w:rPr>
                <w:sz w:val="12"/>
              </w:rPr>
            </w:pPr>
            <w:r>
              <w:rPr>
                <w:w w:val="103"/>
                <w:sz w:val="12"/>
              </w:rPr>
              <w:t>D</w:t>
            </w:r>
          </w:p>
        </w:tc>
        <w:tc>
          <w:tcPr>
            <w:tcW w:w="883" w:type="dxa"/>
            <w:tcBorders>
              <w:top w:val="single" w:sz="8" w:space="0" w:color="BEBEBE"/>
              <w:bottom w:val="single" w:sz="8" w:space="0" w:color="BEBEBE"/>
            </w:tcBorders>
            <w:shd w:val="clear" w:color="auto" w:fill="D5DCE3"/>
          </w:tcPr>
          <w:p>
            <w:pPr>
              <w:pStyle w:val="TableParagraph"/>
              <w:spacing w:before="28"/>
              <w:ind w:left="33" w:right="14"/>
              <w:jc w:val="center"/>
              <w:rPr>
                <w:sz w:val="12"/>
              </w:rPr>
            </w:pPr>
            <w:r>
              <w:rPr>
                <w:w w:val="105"/>
                <w:sz w:val="12"/>
              </w:rPr>
              <w:t>"Forsyning"</w:t>
            </w:r>
          </w:p>
        </w:tc>
        <w:tc>
          <w:tcPr>
            <w:tcW w:w="513" w:type="dxa"/>
            <w:tcBorders>
              <w:top w:val="single" w:sz="8" w:space="0" w:color="BEBEBE"/>
              <w:bottom w:val="single" w:sz="8" w:space="0" w:color="BEBEBE"/>
            </w:tcBorders>
            <w:shd w:val="clear" w:color="auto" w:fill="D5DCE3"/>
          </w:tcPr>
          <w:p>
            <w:pPr>
              <w:pStyle w:val="TableParagraph"/>
              <w:spacing w:before="28"/>
              <w:ind w:left="30" w:right="9"/>
              <w:jc w:val="center"/>
              <w:rPr>
                <w:sz w:val="12"/>
              </w:rPr>
            </w:pPr>
            <w:r>
              <w:rPr>
                <w:w w:val="105"/>
                <w:sz w:val="12"/>
              </w:rPr>
              <w:t>Varme</w:t>
            </w:r>
          </w:p>
        </w:tc>
        <w:tc>
          <w:tcPr>
            <w:tcW w:w="671" w:type="dxa"/>
            <w:tcBorders>
              <w:top w:val="single" w:sz="8" w:space="0" w:color="BEBEBE"/>
              <w:bottom w:val="single" w:sz="8" w:space="0" w:color="BEBEBE"/>
            </w:tcBorders>
            <w:shd w:val="clear" w:color="auto" w:fill="D5DCE3"/>
          </w:tcPr>
          <w:p>
            <w:pPr>
              <w:pStyle w:val="TableParagraph"/>
              <w:spacing w:line="155" w:lineRule="exact" w:before="26"/>
              <w:ind w:left="18" w:right="18"/>
              <w:jc w:val="center"/>
              <w:rPr>
                <w:sz w:val="8"/>
              </w:rPr>
            </w:pPr>
            <w:r>
              <w:rPr>
                <w:position w:val="2"/>
                <w:sz w:val="12"/>
              </w:rPr>
              <w:t>m</w:t>
            </w:r>
            <w:r>
              <w:rPr>
                <w:sz w:val="8"/>
              </w:rPr>
              <w:t>2</w:t>
            </w:r>
          </w:p>
        </w:tc>
        <w:tc>
          <w:tcPr>
            <w:tcW w:w="530" w:type="dxa"/>
            <w:tcBorders>
              <w:top w:val="single" w:sz="8" w:space="0" w:color="BEBEBE"/>
              <w:bottom w:val="single" w:sz="8" w:space="0" w:color="BEBEBE"/>
            </w:tcBorders>
            <w:shd w:val="clear" w:color="auto" w:fill="D5DCE3"/>
          </w:tcPr>
          <w:p>
            <w:pPr>
              <w:pStyle w:val="TableParagraph"/>
              <w:spacing w:before="28"/>
              <w:ind w:left="16" w:right="8"/>
              <w:jc w:val="center"/>
              <w:rPr>
                <w:sz w:val="12"/>
              </w:rPr>
            </w:pPr>
            <w:r>
              <w:rPr>
                <w:w w:val="105"/>
                <w:sz w:val="12"/>
              </w:rPr>
              <w:t>kWh</w:t>
            </w:r>
          </w:p>
        </w:tc>
        <w:tc>
          <w:tcPr>
            <w:tcW w:w="644" w:type="dxa"/>
            <w:tcBorders>
              <w:top w:val="single" w:sz="8" w:space="0" w:color="BEBEBE"/>
              <w:bottom w:val="single" w:sz="8" w:space="0" w:color="BEBEBE"/>
            </w:tcBorders>
            <w:shd w:val="clear" w:color="auto" w:fill="D5DCE3"/>
          </w:tcPr>
          <w:p>
            <w:pPr>
              <w:pStyle w:val="TableParagraph"/>
              <w:spacing w:line="155" w:lineRule="exact" w:before="26"/>
              <w:ind w:left="16" w:right="16"/>
              <w:jc w:val="center"/>
              <w:rPr>
                <w:sz w:val="8"/>
              </w:rPr>
            </w:pPr>
            <w:r>
              <w:rPr>
                <w:position w:val="2"/>
                <w:sz w:val="12"/>
              </w:rPr>
              <w:t>t</w:t>
            </w:r>
            <w:r>
              <w:rPr>
                <w:sz w:val="8"/>
              </w:rPr>
              <w:t>2</w:t>
            </w:r>
          </w:p>
        </w:tc>
        <w:tc>
          <w:tcPr>
            <w:tcW w:w="741" w:type="dxa"/>
            <w:tcBorders>
              <w:top w:val="single" w:sz="8" w:space="0" w:color="BEBEBE"/>
              <w:bottom w:val="single" w:sz="8" w:space="0" w:color="BEBEBE"/>
            </w:tcBorders>
            <w:shd w:val="clear" w:color="auto" w:fill="ACB8C9"/>
          </w:tcPr>
          <w:p>
            <w:pPr>
              <w:pStyle w:val="TableParagraph"/>
              <w:spacing w:before="28"/>
              <w:ind w:left="18"/>
              <w:jc w:val="center"/>
              <w:rPr>
                <w:sz w:val="12"/>
              </w:rPr>
            </w:pPr>
            <w:r>
              <w:rPr>
                <w:w w:val="103"/>
                <w:sz w:val="12"/>
              </w:rPr>
              <w:t>Y</w:t>
            </w:r>
          </w:p>
        </w:tc>
        <w:tc>
          <w:tcPr>
            <w:tcW w:w="661" w:type="dxa"/>
            <w:tcBorders>
              <w:top w:val="single" w:sz="8" w:space="0" w:color="BEBEBE"/>
              <w:bottom w:val="single" w:sz="8" w:space="0" w:color="BEBEBE"/>
            </w:tcBorders>
            <w:shd w:val="clear" w:color="auto" w:fill="F8CAAC"/>
          </w:tcPr>
          <w:p>
            <w:pPr>
              <w:pStyle w:val="TableParagraph"/>
              <w:spacing w:before="28"/>
              <w:ind w:left="29"/>
              <w:jc w:val="center"/>
              <w:rPr>
                <w:sz w:val="12"/>
              </w:rPr>
            </w:pPr>
            <w:r>
              <w:rPr>
                <w:w w:val="103"/>
                <w:sz w:val="12"/>
              </w:rPr>
              <w:t>N</w:t>
            </w:r>
          </w:p>
        </w:tc>
      </w:tr>
      <w:tr>
        <w:trPr>
          <w:trHeight w:val="200" w:hRule="atLeast"/>
        </w:trPr>
        <w:tc>
          <w:tcPr>
            <w:tcW w:w="1118" w:type="dxa"/>
            <w:tcBorders>
              <w:top w:val="single" w:sz="8" w:space="0" w:color="BEBEBE"/>
              <w:left w:val="single" w:sz="4" w:space="0" w:color="000000"/>
            </w:tcBorders>
            <w:shd w:val="clear" w:color="auto" w:fill="D5DCE3"/>
          </w:tcPr>
          <w:p>
            <w:pPr>
              <w:pStyle w:val="TableParagraph"/>
              <w:spacing w:before="28"/>
              <w:ind w:left="7"/>
              <w:jc w:val="center"/>
              <w:rPr>
                <w:sz w:val="12"/>
              </w:rPr>
            </w:pPr>
            <w:r>
              <w:rPr>
                <w:w w:val="103"/>
                <w:sz w:val="12"/>
              </w:rPr>
              <w:t>E</w:t>
            </w:r>
          </w:p>
        </w:tc>
        <w:tc>
          <w:tcPr>
            <w:tcW w:w="883" w:type="dxa"/>
            <w:tcBorders>
              <w:top w:val="single" w:sz="8" w:space="0" w:color="BEBEBE"/>
            </w:tcBorders>
            <w:shd w:val="clear" w:color="auto" w:fill="D5DCE3"/>
          </w:tcPr>
          <w:p>
            <w:pPr>
              <w:pStyle w:val="TableParagraph"/>
              <w:spacing w:before="28"/>
              <w:ind w:left="33" w:right="23"/>
              <w:jc w:val="center"/>
              <w:rPr>
                <w:sz w:val="12"/>
              </w:rPr>
            </w:pPr>
            <w:r>
              <w:rPr>
                <w:w w:val="105"/>
                <w:sz w:val="12"/>
              </w:rPr>
              <w:t>"Vand fors."</w:t>
            </w:r>
          </w:p>
        </w:tc>
        <w:tc>
          <w:tcPr>
            <w:tcW w:w="513" w:type="dxa"/>
            <w:tcBorders>
              <w:top w:val="single" w:sz="8" w:space="0" w:color="BEBEBE"/>
            </w:tcBorders>
            <w:shd w:val="clear" w:color="auto" w:fill="D5DCE3"/>
          </w:tcPr>
          <w:p>
            <w:pPr>
              <w:pStyle w:val="TableParagraph"/>
              <w:spacing w:before="28"/>
              <w:ind w:left="15" w:right="9"/>
              <w:jc w:val="center"/>
              <w:rPr>
                <w:sz w:val="12"/>
              </w:rPr>
            </w:pPr>
            <w:r>
              <w:rPr>
                <w:w w:val="105"/>
                <w:sz w:val="12"/>
              </w:rPr>
              <w:t>Vand</w:t>
            </w:r>
          </w:p>
        </w:tc>
        <w:tc>
          <w:tcPr>
            <w:tcW w:w="671" w:type="dxa"/>
            <w:tcBorders>
              <w:top w:val="single" w:sz="8" w:space="0" w:color="BEBEBE"/>
            </w:tcBorders>
            <w:shd w:val="clear" w:color="auto" w:fill="D5DCE3"/>
          </w:tcPr>
          <w:p>
            <w:pPr>
              <w:pStyle w:val="TableParagraph"/>
              <w:spacing w:line="155" w:lineRule="exact" w:before="26"/>
              <w:ind w:left="18" w:right="18"/>
              <w:jc w:val="center"/>
              <w:rPr>
                <w:sz w:val="8"/>
              </w:rPr>
            </w:pPr>
            <w:r>
              <w:rPr>
                <w:position w:val="2"/>
                <w:sz w:val="12"/>
              </w:rPr>
              <w:t>m</w:t>
            </w:r>
            <w:r>
              <w:rPr>
                <w:sz w:val="8"/>
              </w:rPr>
              <w:t>3</w:t>
            </w:r>
          </w:p>
        </w:tc>
        <w:tc>
          <w:tcPr>
            <w:tcW w:w="530" w:type="dxa"/>
            <w:tcBorders>
              <w:top w:val="single" w:sz="8" w:space="0" w:color="BEBEBE"/>
            </w:tcBorders>
            <w:shd w:val="clear" w:color="auto" w:fill="D5DCE3"/>
          </w:tcPr>
          <w:p>
            <w:pPr>
              <w:pStyle w:val="TableParagraph"/>
              <w:spacing w:before="28"/>
              <w:ind w:left="11" w:right="8"/>
              <w:jc w:val="center"/>
              <w:rPr>
                <w:sz w:val="12"/>
              </w:rPr>
            </w:pPr>
            <w:r>
              <w:rPr>
                <w:w w:val="105"/>
                <w:sz w:val="12"/>
              </w:rPr>
              <w:t>m3</w:t>
            </w:r>
          </w:p>
        </w:tc>
        <w:tc>
          <w:tcPr>
            <w:tcW w:w="644" w:type="dxa"/>
            <w:tcBorders>
              <w:top w:val="single" w:sz="8" w:space="0" w:color="BEBEBE"/>
            </w:tcBorders>
            <w:shd w:val="clear" w:color="auto" w:fill="D5DCE3"/>
          </w:tcPr>
          <w:p>
            <w:pPr>
              <w:pStyle w:val="TableParagraph"/>
              <w:spacing w:line="155" w:lineRule="exact" w:before="26"/>
              <w:ind w:left="16" w:right="16"/>
              <w:jc w:val="center"/>
              <w:rPr>
                <w:sz w:val="8"/>
              </w:rPr>
            </w:pPr>
            <w:r>
              <w:rPr>
                <w:position w:val="2"/>
                <w:sz w:val="12"/>
              </w:rPr>
              <w:t>t</w:t>
            </w:r>
            <w:r>
              <w:rPr>
                <w:sz w:val="8"/>
              </w:rPr>
              <w:t>3</w:t>
            </w:r>
          </w:p>
        </w:tc>
        <w:tc>
          <w:tcPr>
            <w:tcW w:w="741" w:type="dxa"/>
            <w:tcBorders>
              <w:top w:val="single" w:sz="8" w:space="0" w:color="BEBEBE"/>
            </w:tcBorders>
            <w:shd w:val="clear" w:color="auto" w:fill="ACB8C9"/>
          </w:tcPr>
          <w:p>
            <w:pPr>
              <w:pStyle w:val="TableParagraph"/>
              <w:spacing w:before="28"/>
              <w:ind w:left="9"/>
              <w:jc w:val="center"/>
              <w:rPr>
                <w:sz w:val="12"/>
              </w:rPr>
            </w:pPr>
            <w:r>
              <w:rPr>
                <w:w w:val="103"/>
                <w:sz w:val="12"/>
              </w:rPr>
              <w:t>Z</w:t>
            </w:r>
          </w:p>
        </w:tc>
        <w:tc>
          <w:tcPr>
            <w:tcW w:w="661" w:type="dxa"/>
            <w:tcBorders>
              <w:top w:val="single" w:sz="8" w:space="0" w:color="BEBEBE"/>
            </w:tcBorders>
            <w:shd w:val="clear" w:color="auto" w:fill="F8CAAC"/>
          </w:tcPr>
          <w:p>
            <w:pPr>
              <w:pStyle w:val="TableParagraph"/>
              <w:spacing w:before="28"/>
              <w:ind w:left="29"/>
              <w:jc w:val="center"/>
              <w:rPr>
                <w:sz w:val="12"/>
              </w:rPr>
            </w:pPr>
            <w:r>
              <w:rPr>
                <w:w w:val="103"/>
                <w:sz w:val="12"/>
              </w:rPr>
              <w:t>N</w:t>
            </w:r>
          </w:p>
        </w:tc>
      </w:tr>
    </w:tbl>
    <w:p>
      <w:pPr>
        <w:pStyle w:val="BodyText"/>
        <w:spacing w:before="1"/>
        <w:rPr>
          <w:sz w:val="18"/>
        </w:rPr>
      </w:pPr>
    </w:p>
    <w:p>
      <w:pPr>
        <w:spacing w:after="0"/>
        <w:rPr>
          <w:sz w:val="18"/>
        </w:rPr>
        <w:sectPr>
          <w:type w:val="continuous"/>
          <w:pgSz w:w="11910" w:h="16840"/>
          <w:pgMar w:top="1580" w:bottom="280" w:left="980" w:right="100"/>
        </w:sectPr>
      </w:pPr>
    </w:p>
    <w:p>
      <w:pPr>
        <w:spacing w:before="67"/>
        <w:ind w:left="0" w:right="0" w:firstLine="0"/>
        <w:jc w:val="right"/>
        <w:rPr>
          <w:rFonts w:ascii="Calibri"/>
          <w:b/>
          <w:sz w:val="16"/>
        </w:rPr>
      </w:pPr>
      <w:r>
        <w:rPr/>
        <w:pict>
          <v:group style="position:absolute;margin-left:215.711105pt;margin-top:-8.935445pt;width:285.850pt;height:15.85pt;mso-position-horizontal-relative:page;mso-position-vertical-relative:paragraph;z-index:-178552" coordorigin="4314,-179" coordsize="5717,317">
            <v:shape style="position:absolute;left:4314;top:-179;width:5082;height:317" coordorigin="4314,-179" coordsize="5082,317" path="m6851,-73l6849,-70,6847,-64,6846,-58,6844,-51,6843,-44,6840,-28,6839,-9,6838,11,6837,32,6839,138,6862,138,6864,32,6864,11,6863,-9,6861,-28,6860,-36,6857,-51,6856,-58,6854,-64,6852,-70,6851,-73xm6837,32l6837,33,6837,33,6837,32xm6864,32l6864,33,6864,33,6864,32xm9360,-86l6866,-86,6860,-84,6855,-79,6851,-75,6851,-73,6852,-70,6854,-64,6856,-58,6857,-51,6860,-36,6861,-28,6863,-9,6864,11,6864,32,6864,12,6865,-7,6865,-7,6867,-24,6867,-24,6868,-33,6869,-40,6869,-40,6870,-46,6870,-46,6871,-51,6871,-51,6872,-56,6872,-56,6874,-59,6873,-59,6874,-60,6868,-60,6871,-60,6875,-62,6875,-62,6876,-63,9375,-63,9378,-66,9382,-71,9384,-76,9386,-82,9386,-83,9358,-83,9358,-83,9358,-83,9359,-84,9359,-85,9359,-85,9360,-86xm6838,12l6837,12,6837,32,6838,12xm6864,12l6864,12,6864,12,6864,12xm6839,-8l6836,-8,6837,12,6837,12,6838,12,6838,11,6839,-8xm6840,-25l6834,-25,6836,-7,6836,-8,6839,-8,6839,-9,6840,-25xm6865,-8l6865,-7,6865,-7,6865,-8xm6867,-25l6867,-24,6867,-24,6867,-25xm6841,-33l6834,-33,6834,-25,6834,-25,6840,-25,6840,-28,6841,-33xm6842,-40l6832,-40,6834,-32,6834,-33,6841,-33,6842,-40xm6868,-33l6868,-33,6868,-32,6868,-33xm6844,-52l6830,-52,6831,-46,6831,-46,6832,-40,6832,-40,6842,-40,6843,-44,6844,-51,6844,-52xm6869,-40l6869,-40,6869,-40,6869,-40xm6831,-46l6831,-46,6831,-46,6831,-46xm6870,-46l6870,-46,6870,-46,6870,-46xm6830,-51l6830,-51,6830,-51,6830,-51xm6871,-52l6871,-51,6871,-51,6871,-52xm6830,-60l6827,-60,6828,-59,6828,-59,6829,-56,6829,-56,6830,-51,6830,-52,6844,-52,6846,-58,6846,-60,6833,-60,6833,-60,6831,-60,6829,-60,6830,-60,6830,-60xm6829,-57l6829,-56,6829,-56,6829,-57xm6873,-57l6872,-56,6872,-56,6873,-57xm6827,-60l6828,-59,6828,-59,6827,-60xm6874,-60l6873,-59,6874,-59,6874,-60xm4332,-179l4314,-178,4314,-85,4315,-82,4317,-76,4320,-71,4323,-66,4328,-62,4334,-60,6828,-60,6827,-61,6826,-62,6826,-63,6826,-63,6826,-63,6847,-63,6847,-64,6849,-70,6851,-73,6850,-75,6846,-79,6843,-82,4344,-82,4343,-83,4339,-86,4336,-86,4342,-86,4342,-87,4341,-89,4341,-89,4339,-94,4338,-99,4338,-99,4337,-106,4336,-113,4335,-121,4333,-139,4332,-157,4332,-179xm6847,-62l6826,-62,6827,-62,6830,-60,6833,-60,6846,-60,6847,-62xm6871,-60l6868,-60,6874,-60,6874,-60,6870,-60,6871,-60xm9375,-63l6876,-63,6875,-62,6874,-60,6874,-60,9367,-60,9374,-62,9375,-63xm6829,-60l6831,-60,6830,-60,6829,-60xm6830,-60l6831,-60,6833,-60,6830,-60xm6872,-60l6871,-60,6870,-60,6872,-60xm6874,-60l6872,-60,6870,-60,6874,-60,6874,-60xm6830,-60l6829,-60,6830,-60,6830,-60xm6875,-62l6871,-60,6872,-60,6874,-60,6874,-61,6874,-61,6874,-61,6874,-61,6875,-62xm6827,-61l6827,-61,6827,-60,6827,-60,6827,-60,6830,-60,6828,-61,6827,-61,6827,-61xm6874,-60l6874,-60,6874,-60,6874,-60xm6827,-61l6827,-61,6827,-61,6827,-61xm6827,-62l6827,-61,6827,-61,6827,-61,6827,-62xm6875,-62l6875,-62,6874,-61,6875,-62xm6875,-62l6874,-61,6874,-61,6875,-62xm6827,-62l6827,-61,6827,-61,6827,-62xm6827,-62l6827,-62,6827,-61,6828,-61,6827,-62xm6875,-62l6875,-62,6874,-61,6874,-62,6875,-62,6875,-62xm6875,-62l6874,-61,6874,-61,6875,-62xm6826,-62l6827,-61,6827,-62,6826,-62xm6827,-62l6827,-62,6827,-61,6827,-62,6827,-62xm6826,-62l6827,-62,6827,-62,6827,-62,6826,-62,6826,-62xm6875,-62l6875,-62,6875,-62,6875,-62xm6827,-62l6827,-62,6827,-62,6827,-62,6827,-62xm6875,-62l6875,-62,6875,-62,6875,-62xm6826,-63l6826,-62,6826,-62,6826,-63xm6876,-63l6875,-62,6875,-62,6876,-63xm6826,-62l6827,-62,6826,-62,6826,-62xm6847,-63l6826,-63,6826,-62,6827,-62,6826,-62,6847,-62,6847,-63xm6875,-62l6875,-62,6875,-62,6875,-62xm6826,-63l6826,-62,6826,-62,6826,-63xm6876,-63l6875,-62,6875,-62,6875,-62,6876,-63xm9375,-63l6876,-63,6875,-62,6876,-63,9375,-63,9375,-63xm6826,-63l6826,-63,6826,-62,6826,-63xm4343,-83l4343,-83,4344,-82,4343,-83xm4343,-83l4344,-82,6843,-82,6843,-83,4344,-83,4343,-83xm9358,-83l9358,-83,9358,-83,9358,-83xm9358,-84l9358,-83,9358,-83,9386,-83,9387,-83,9358,-83,9358,-84xm4343,-84l4343,-83,4343,-83,4344,-83,4343,-84xm6835,-86l4342,-86,4343,-84,4343,-84,4344,-83,6843,-83,6842,-84,6835,-86xm9358,-84l9358,-83,9358,-83,9358,-84xm9358,-83l9358,-83,9358,-83,9358,-83xm4343,-83l4343,-83,4343,-83,4343,-83,4343,-83xm4343,-83l4343,-83,4343,-83,4343,-83xm9359,-84l9358,-84,9358,-83,9359,-84xm9387,-86l9365,-86,9362,-86,9359,-84,9358,-83,9387,-83,9387,-86xm4343,-84l4343,-83,4343,-83,4343,-84,4343,-84xm9359,-84l9358,-84,9358,-83,9358,-83,9359,-84,9359,-84xm4343,-84l4343,-83,4343,-84,4343,-84xm4342,-85l4343,-83,4343,-83,4343,-84,4342,-85xm9359,-84l9358,-83,9359,-84,9359,-84xm4339,-86l4343,-83,4342,-85,4342,-85,4342,-85,4342,-85,4342,-85,4342,-85,4340,-85,4339,-86xm9360,-85l9359,-85,9359,-84,9359,-84,9360,-85xm4343,-84l4343,-84,4343,-84,4343,-84xm4342,-85l4343,-84,4343,-84,4343,-84,4342,-85xm9359,-84l9359,-84,9359,-84,9359,-84xm4342,-85l4342,-85,4343,-84,4342,-85xm9359,-85l9358,-84,9359,-84,9359,-84,9359,-85xm9359,-85l9359,-84,9359,-84,9359,-85xm4342,-85l4342,-85,4343,-84,4342,-85xm9359,-85l9359,-85,9359,-84,9359,-84,9359,-85xm9361,-85l9359,-85,9359,-84,9359,-85,9360,-85,9361,-85xm9387,-87l9360,-87,9359,-85,9359,-85,9359,-85,9361,-85,9362,-85,9361,-85,9363,-86,9365,-86,9365,-86,9387,-86,9387,-87xm4341,-87l4342,-85,4342,-86,4341,-87xm4342,-86l4342,-85,4342,-85,4342,-86xm9359,-86l9359,-85,9359,-85,9359,-86xm4338,-86l4339,-86,4340,-85,4338,-86xm4342,-86l4338,-86,4340,-85,4342,-85,4342,-86xm9363,-86l9361,-85,9362,-86,9363,-86xm9362,-86l9361,-85,9362,-85,9362,-86xm9365,-86l9363,-86,9362,-86,9365,-86xm4342,-86l4336,-86,4339,-86,4338,-86,4342,-86,4342,-86xm9388,-90l9361,-90,9359,-86,9360,-87,9387,-87,9388,-88,9388,-90xm4342,-87l4341,-87,4342,-86,4342,-87xm4341,-89l4341,-89,4341,-89,4341,-89xm9389,-94l9362,-94,9362,-94,9362,-94,9361,-89,9361,-90,9388,-90,9389,-94xm4340,-90l4340,-90,4341,-89,4340,-90xm9362,-94l9362,-94,9362,-94,9362,-94xm4339,-94l4339,-94,4339,-94,4339,-94xm4339,-94l4339,-94,4339,-94,4339,-94xm9390,-100l9363,-100,9362,-94,9362,-94,9389,-94,9390,-100xm4338,-100l4338,-99,4338,-99,4338,-100xm9369,-179l9369,-157,9369,-157,9368,-138,9368,-136,9366,-121,9366,-121,9366,-113,9365,-113,9364,-106,9364,-106,9363,-99,9363,-100,9390,-100,9392,-109,9393,-118,9394,-136,9396,-157,9396,-178,9369,-179xm4338,-100l4338,-100,4338,-100,4338,-100xm4337,-106l4337,-106,4337,-106,4337,-106xm9364,-106l9364,-106,9364,-106,9364,-106xm4337,-106l4337,-106,4337,-106,4337,-106xm9366,-113l9365,-113,9366,-113,9366,-113xm4336,-113l4336,-113,4336,-113,4336,-113xm4336,-113l4336,-113,4336,-113,4336,-113xm4335,-121l4335,-121,4335,-121,4335,-121xm9366,-121l9366,-121,9366,-121,9366,-121xm4335,-121l4335,-121,4335,-121,4335,-121xm9368,-139l9368,-138,9368,-138,9368,-139xm4333,-138l4333,-138,4333,-138,4333,-138xm4333,-138l4333,-138,4333,-138,4333,-138xm4332,-158l4332,-157,4332,-157,4332,-158xm9369,-158l9369,-157,9369,-157,9369,-158xm4332,-158l4332,-158,4332,-158,4332,-158xe" filled="true" fillcolor="#5b9bd4" stroked="false">
              <v:path arrowok="t"/>
              <v:fill type="solid"/>
            </v:shape>
            <v:shape style="position:absolute;left:8676;top:-38;width:1350;height:141" coordorigin="8677,-38" coordsize="1350,141" path="m10027,-38l10026,-10,10023,12,10019,27,10015,33,9363,33,9359,38,9355,53,9353,76,9352,103,9351,76,9348,53,9345,38,9340,33,8689,33,8684,27,8680,12,8678,-10,8677,-38e" filled="false" stroked="true" strokeweight=".440393pt" strokecolor="#6fac46">
              <v:path arrowok="t"/>
              <v:stroke dashstyle="shortdash"/>
            </v:shape>
            <w10:wrap type="none"/>
          </v:group>
        </w:pict>
      </w:r>
      <w:r>
        <w:rPr/>
        <w:pict>
          <v:group style="position:absolute;margin-left:308.563934pt;margin-top:-116.542564pt;width:195.4pt;height:80.350pt;mso-position-horizontal-relative:page;mso-position-vertical-relative:paragraph;z-index:-178480" coordorigin="6171,-2331" coordsize="3908,1607">
            <v:shape style="position:absolute;left:6171;top:-2331;width:3904;height:1607" type="#_x0000_t75" stroked="false">
              <v:imagedata r:id="rId33" o:title=""/>
            </v:shape>
            <v:shape style="position:absolute;left:6704;top:-2134;width:1688;height:761" type="#_x0000_t202" filled="false" stroked="false">
              <v:textbox inset="0,0,0,0">
                <w:txbxContent>
                  <w:p>
                    <w:pPr>
                      <w:spacing w:line="162" w:lineRule="exact" w:before="0"/>
                      <w:ind w:left="0" w:right="0" w:firstLine="0"/>
                      <w:jc w:val="left"/>
                      <w:rPr>
                        <w:rFonts w:ascii="Calibri" w:hAnsi="Calibri"/>
                        <w:b/>
                        <w:sz w:val="16"/>
                      </w:rPr>
                    </w:pPr>
                    <w:r>
                      <w:rPr>
                        <w:rFonts w:ascii="Calibri" w:hAnsi="Calibri"/>
                        <w:b/>
                        <w:sz w:val="16"/>
                      </w:rPr>
                      <w:t>Måler</w:t>
                    </w:r>
                    <w:r>
                      <w:rPr>
                        <w:rFonts w:ascii="Calibri" w:hAnsi="Calibri"/>
                        <w:b/>
                        <w:spacing w:val="-12"/>
                        <w:sz w:val="16"/>
                      </w:rPr>
                      <w:t> </w:t>
                    </w:r>
                    <w:r>
                      <w:rPr>
                        <w:rFonts w:ascii="Calibri" w:hAnsi="Calibri"/>
                        <w:b/>
                        <w:sz w:val="16"/>
                      </w:rPr>
                      <w:t>ID'erne</w:t>
                    </w:r>
                  </w:p>
                  <w:p>
                    <w:pPr>
                      <w:spacing w:line="244" w:lineRule="auto" w:before="8"/>
                      <w:ind w:left="0" w:right="5" w:firstLine="0"/>
                      <w:jc w:val="left"/>
                      <w:rPr>
                        <w:rFonts w:ascii="Calibri" w:hAnsi="Calibri"/>
                        <w:b/>
                        <w:sz w:val="16"/>
                      </w:rPr>
                    </w:pPr>
                    <w:r>
                      <w:rPr>
                        <w:rFonts w:ascii="Calibri" w:hAnsi="Calibri"/>
                        <w:b/>
                        <w:sz w:val="16"/>
                      </w:rPr>
                      <w:t>knyttes op på rum ID'erne fra den nationale steddatabase</w:t>
                    </w:r>
                  </w:p>
                </w:txbxContent>
              </v:textbox>
              <w10:wrap type="none"/>
            </v:shape>
            <v:shape style="position:absolute;left:9477;top:-2128;width:602;height:761" type="#_x0000_t202" filled="false" stroked="false">
              <v:textbox inset="0,0,0,0">
                <w:txbxContent>
                  <w:p>
                    <w:pPr>
                      <w:spacing w:line="162" w:lineRule="exact" w:before="0"/>
                      <w:ind w:left="105" w:right="0" w:firstLine="0"/>
                      <w:jc w:val="left"/>
                      <w:rPr>
                        <w:rFonts w:ascii="Calibri"/>
                        <w:b/>
                        <w:sz w:val="16"/>
                      </w:rPr>
                    </w:pPr>
                    <w:r>
                      <w:rPr>
                        <w:rFonts w:ascii="Calibri"/>
                        <w:b/>
                        <w:sz w:val="16"/>
                      </w:rPr>
                      <w:t>ID</w:t>
                    </w:r>
                    <w:r>
                      <w:rPr>
                        <w:rFonts w:ascii="Calibri"/>
                        <w:b/>
                        <w:spacing w:val="2"/>
                        <w:sz w:val="16"/>
                      </w:rPr>
                      <w:t> </w:t>
                    </w:r>
                    <w:r>
                      <w:rPr>
                        <w:rFonts w:ascii="Calibri"/>
                        <w:b/>
                        <w:sz w:val="16"/>
                      </w:rPr>
                      <w:t>fra</w:t>
                    </w:r>
                  </w:p>
                  <w:p>
                    <w:pPr>
                      <w:spacing w:line="244" w:lineRule="auto" w:before="8"/>
                      <w:ind w:left="0" w:right="18" w:firstLine="4"/>
                      <w:jc w:val="center"/>
                      <w:rPr>
                        <w:rFonts w:ascii="Calibri"/>
                        <w:b/>
                        <w:sz w:val="16"/>
                      </w:rPr>
                    </w:pPr>
                    <w:r>
                      <w:rPr>
                        <w:rFonts w:ascii="Calibri"/>
                        <w:b/>
                        <w:sz w:val="16"/>
                      </w:rPr>
                      <w:t>national </w:t>
                    </w:r>
                    <w:r>
                      <w:rPr>
                        <w:rFonts w:ascii="Calibri"/>
                        <w:b/>
                        <w:spacing w:val="-1"/>
                        <w:sz w:val="16"/>
                      </w:rPr>
                      <w:t>steddata </w:t>
                    </w:r>
                    <w:r>
                      <w:rPr>
                        <w:rFonts w:ascii="Calibri"/>
                        <w:b/>
                        <w:sz w:val="16"/>
                      </w:rPr>
                      <w:t>base</w:t>
                    </w:r>
                  </w:p>
                </w:txbxContent>
              </v:textbox>
              <w10:wrap type="none"/>
            </v:shape>
            <w10:wrap type="none"/>
          </v:group>
        </w:pict>
      </w:r>
      <w:r>
        <w:rPr>
          <w:rFonts w:ascii="Calibri"/>
          <w:b/>
          <w:sz w:val="16"/>
        </w:rPr>
        <w:t>Data om energiforbrug</w:t>
      </w:r>
    </w:p>
    <w:p>
      <w:pPr>
        <w:spacing w:before="108"/>
        <w:ind w:left="1376" w:right="0" w:firstLine="0"/>
        <w:jc w:val="left"/>
        <w:rPr>
          <w:rFonts w:ascii="Calibri"/>
          <w:b/>
          <w:sz w:val="16"/>
        </w:rPr>
      </w:pPr>
      <w:r>
        <w:rPr/>
        <w:br w:type="column"/>
      </w:r>
      <w:r>
        <w:rPr>
          <w:rFonts w:ascii="Calibri"/>
          <w:b/>
          <w:sz w:val="16"/>
        </w:rPr>
        <w:t>Installation</w:t>
      </w:r>
    </w:p>
    <w:p>
      <w:pPr>
        <w:spacing w:after="0"/>
        <w:jc w:val="left"/>
        <w:rPr>
          <w:rFonts w:ascii="Calibri"/>
          <w:sz w:val="16"/>
        </w:rPr>
        <w:sectPr>
          <w:type w:val="continuous"/>
          <w:pgSz w:w="11910" w:h="16840"/>
          <w:pgMar w:top="1580" w:bottom="280" w:left="980" w:right="100"/>
          <w:cols w:num="2" w:equalWidth="0">
            <w:col w:w="6565" w:space="40"/>
            <w:col w:w="4225"/>
          </w:cols>
        </w:sectPr>
      </w:pPr>
    </w:p>
    <w:p>
      <w:pPr>
        <w:spacing w:before="105"/>
        <w:ind w:left="3089" w:right="0" w:firstLine="0"/>
        <w:jc w:val="left"/>
        <w:rPr>
          <w:i/>
          <w:sz w:val="14"/>
        </w:rPr>
      </w:pPr>
      <w:r>
        <w:rPr/>
        <w:pict>
          <v:shape style="position:absolute;margin-left:.017151pt;margin-top:-157.190018pt;width:133.65pt;height:997.65pt;mso-position-horizontal-relative:page;mso-position-vertical-relative:page;z-index:-17857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bookmarkStart w:name="_bookmark48" w:id="49"/>
      <w:bookmarkEnd w:id="49"/>
      <w:r>
        <w:rPr/>
      </w:r>
      <w:r>
        <w:rPr>
          <w:i/>
          <w:sz w:val="14"/>
        </w:rPr>
        <w:t>Figur 3.3: Figuren viser hvordan måler_ID knytter sig til de Rum_ID hvor de er placeret.</w:t>
      </w:r>
    </w:p>
    <w:p>
      <w:pPr>
        <w:pStyle w:val="BodyText"/>
        <w:spacing w:before="3"/>
        <w:rPr>
          <w:i/>
          <w:sz w:val="19"/>
        </w:rPr>
      </w:pPr>
    </w:p>
    <w:p>
      <w:pPr>
        <w:pStyle w:val="BodyText"/>
        <w:spacing w:line="278" w:lineRule="auto" w:before="1"/>
        <w:ind w:left="2649" w:right="1059"/>
      </w:pPr>
      <w:r>
        <w:rPr/>
        <w:pict>
          <v:group style="position:absolute;margin-left:309.884399pt;margin-top:107.948051pt;width:190.15pt;height:78.3pt;mso-position-horizontal-relative:page;mso-position-vertical-relative:paragraph;z-index:-178408" coordorigin="6198,2159" coordsize="3803,1566">
            <v:rect style="position:absolute;left:8631;top:3345;width:723;height:215" filled="true" fillcolor="#acb8c9" stroked="false">
              <v:fill type="solid"/>
            </v:rect>
            <v:shape style="position:absolute;left:6197;top:2158;width:3803;height:1566" type="#_x0000_t75" stroked="false">
              <v:imagedata r:id="rId34" o:title=""/>
            </v:shape>
            <v:shape style="position:absolute;left:6716;top:2351;width:1644;height:740" type="#_x0000_t202" filled="false" stroked="false">
              <v:textbox inset="0,0,0,0">
                <w:txbxContent>
                  <w:p>
                    <w:pPr>
                      <w:spacing w:line="156" w:lineRule="exact" w:before="0"/>
                      <w:ind w:left="0" w:right="0" w:firstLine="0"/>
                      <w:jc w:val="left"/>
                      <w:rPr>
                        <w:rFonts w:ascii="Calibri" w:hAnsi="Calibri"/>
                        <w:b/>
                        <w:sz w:val="15"/>
                      </w:rPr>
                    </w:pPr>
                    <w:r>
                      <w:rPr>
                        <w:rFonts w:ascii="Calibri" w:hAnsi="Calibri"/>
                        <w:b/>
                        <w:w w:val="105"/>
                        <w:sz w:val="15"/>
                      </w:rPr>
                      <w:t>Måler</w:t>
                    </w:r>
                    <w:r>
                      <w:rPr>
                        <w:rFonts w:ascii="Calibri" w:hAnsi="Calibri"/>
                        <w:b/>
                        <w:spacing w:val="-21"/>
                        <w:w w:val="105"/>
                        <w:sz w:val="15"/>
                      </w:rPr>
                      <w:t> </w:t>
                    </w:r>
                    <w:r>
                      <w:rPr>
                        <w:rFonts w:ascii="Calibri" w:hAnsi="Calibri"/>
                        <w:b/>
                        <w:w w:val="105"/>
                        <w:sz w:val="15"/>
                      </w:rPr>
                      <w:t>ID'erne</w:t>
                    </w:r>
                  </w:p>
                  <w:p>
                    <w:pPr>
                      <w:spacing w:line="254" w:lineRule="auto" w:before="14"/>
                      <w:ind w:left="0" w:right="6" w:firstLine="0"/>
                      <w:jc w:val="left"/>
                      <w:rPr>
                        <w:rFonts w:ascii="Calibri" w:hAnsi="Calibri"/>
                        <w:b/>
                        <w:sz w:val="15"/>
                      </w:rPr>
                    </w:pPr>
                    <w:r>
                      <w:rPr>
                        <w:rFonts w:ascii="Calibri" w:hAnsi="Calibri"/>
                        <w:b/>
                        <w:w w:val="105"/>
                        <w:sz w:val="15"/>
                      </w:rPr>
                      <w:t>knyttes op på rum ID'erne fra den</w:t>
                    </w:r>
                    <w:r>
                      <w:rPr>
                        <w:rFonts w:ascii="Calibri" w:hAnsi="Calibri"/>
                        <w:b/>
                        <w:spacing w:val="-19"/>
                        <w:w w:val="105"/>
                        <w:sz w:val="15"/>
                      </w:rPr>
                      <w:t> </w:t>
                    </w:r>
                    <w:r>
                      <w:rPr>
                        <w:rFonts w:ascii="Calibri" w:hAnsi="Calibri"/>
                        <w:b/>
                        <w:w w:val="105"/>
                        <w:sz w:val="15"/>
                      </w:rPr>
                      <w:t>nationale steddatabase</w:t>
                    </w:r>
                  </w:p>
                </w:txbxContent>
              </v:textbox>
              <w10:wrap type="none"/>
            </v:shape>
            <v:shape style="position:absolute;left:9374;top:2324;width:586;height:741" type="#_x0000_t202" filled="false" stroked="false">
              <v:textbox inset="0,0,0,0">
                <w:txbxContent>
                  <w:p>
                    <w:pPr>
                      <w:spacing w:line="156" w:lineRule="exact" w:before="0"/>
                      <w:ind w:left="103" w:right="0" w:firstLine="0"/>
                      <w:jc w:val="left"/>
                      <w:rPr>
                        <w:rFonts w:ascii="Calibri"/>
                        <w:b/>
                        <w:sz w:val="15"/>
                      </w:rPr>
                    </w:pPr>
                    <w:r>
                      <w:rPr>
                        <w:rFonts w:ascii="Calibri"/>
                        <w:b/>
                        <w:w w:val="105"/>
                        <w:sz w:val="15"/>
                      </w:rPr>
                      <w:t>ID</w:t>
                    </w:r>
                    <w:r>
                      <w:rPr>
                        <w:rFonts w:ascii="Calibri"/>
                        <w:b/>
                        <w:spacing w:val="-3"/>
                        <w:w w:val="105"/>
                        <w:sz w:val="15"/>
                      </w:rPr>
                      <w:t> </w:t>
                    </w:r>
                    <w:r>
                      <w:rPr>
                        <w:rFonts w:ascii="Calibri"/>
                        <w:b/>
                        <w:w w:val="105"/>
                        <w:sz w:val="15"/>
                      </w:rPr>
                      <w:t>fra</w:t>
                    </w:r>
                  </w:p>
                  <w:p>
                    <w:pPr>
                      <w:spacing w:line="254" w:lineRule="auto" w:before="15"/>
                      <w:ind w:left="0" w:right="18" w:firstLine="4"/>
                      <w:jc w:val="center"/>
                      <w:rPr>
                        <w:rFonts w:ascii="Calibri"/>
                        <w:b/>
                        <w:sz w:val="15"/>
                      </w:rPr>
                    </w:pPr>
                    <w:r>
                      <w:rPr>
                        <w:rFonts w:ascii="Calibri"/>
                        <w:b/>
                        <w:w w:val="105"/>
                        <w:sz w:val="15"/>
                      </w:rPr>
                      <w:t>national </w:t>
                    </w:r>
                    <w:r>
                      <w:rPr>
                        <w:rFonts w:ascii="Calibri"/>
                        <w:b/>
                        <w:spacing w:val="-1"/>
                        <w:sz w:val="15"/>
                      </w:rPr>
                      <w:t>steddata </w:t>
                    </w:r>
                    <w:r>
                      <w:rPr>
                        <w:rFonts w:ascii="Calibri"/>
                        <w:b/>
                        <w:w w:val="105"/>
                        <w:sz w:val="15"/>
                      </w:rPr>
                      <w:t>base</w:t>
                    </w:r>
                  </w:p>
                </w:txbxContent>
              </v:textbox>
              <w10:wrap type="none"/>
            </v:shape>
            <w10:wrap type="none"/>
          </v:group>
        </w:pict>
      </w:r>
      <w:r>
        <w:rPr/>
        <w:t>Såfremt målerne forsyner områder, zoner eller flere rum i en bygning, vælges præcist det antal rum, som måleren forsyner. I eksemplet på </w:t>
      </w:r>
      <w:hyperlink w:history="true" w:anchor="_bookmark49">
        <w:r>
          <w:rPr/>
          <w:t>Figur 3.4 </w:t>
        </w:r>
      </w:hyperlink>
      <w:r>
        <w:rPr/>
        <w:t>ses et ek- sempel på en tabelstruktur, hvor Måler_ID ’X’ forsyner Rum_ID ’M’ og ’N’. Dvs. at denne måler forsyner et område eller en zone i bygningen, som udgøres af disse to rum. Eksemplet illustrerer to el-målinger for to forskellige perioder, som kan re- lateres til de to rum. Disse to rum er også forsynet af Måler_ID ’Y’, som er en var- memåler, og hvor der er registreret to målinger for to forskellige perioder. Endelig er der måler ’Z’, som er en vandmåler, og som kun forsyner rum</w:t>
      </w:r>
      <w:r>
        <w:rPr>
          <w:spacing w:val="-9"/>
        </w:rPr>
        <w:t> </w:t>
      </w:r>
      <w:r>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6"/>
        </w:rPr>
      </w:pPr>
    </w:p>
    <w:tbl>
      <w:tblPr>
        <w:tblW w:w="0" w:type="auto"/>
        <w:jc w:val="left"/>
        <w:tblInd w:w="3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89"/>
        <w:gridCol w:w="861"/>
        <w:gridCol w:w="500"/>
        <w:gridCol w:w="654"/>
        <w:gridCol w:w="517"/>
        <w:gridCol w:w="628"/>
        <w:gridCol w:w="723"/>
        <w:gridCol w:w="646"/>
      </w:tblGrid>
      <w:tr>
        <w:trPr>
          <w:trHeight w:val="194" w:hRule="atLeast"/>
        </w:trPr>
        <w:tc>
          <w:tcPr>
            <w:tcW w:w="1089" w:type="dxa"/>
            <w:tcBorders>
              <w:left w:val="single" w:sz="4" w:space="0" w:color="000000"/>
            </w:tcBorders>
            <w:shd w:val="clear" w:color="auto" w:fill="D5DCE3"/>
          </w:tcPr>
          <w:p>
            <w:pPr>
              <w:pStyle w:val="TableParagraph"/>
              <w:spacing w:before="24"/>
              <w:ind w:left="269" w:right="256"/>
              <w:jc w:val="center"/>
              <w:rPr>
                <w:b/>
                <w:sz w:val="12"/>
              </w:rPr>
            </w:pPr>
            <w:r>
              <w:rPr>
                <w:b/>
                <w:sz w:val="12"/>
              </w:rPr>
              <w:t>Reg_ID</w:t>
            </w:r>
          </w:p>
        </w:tc>
        <w:tc>
          <w:tcPr>
            <w:tcW w:w="861" w:type="dxa"/>
            <w:shd w:val="clear" w:color="auto" w:fill="D5DCE3"/>
          </w:tcPr>
          <w:p>
            <w:pPr>
              <w:pStyle w:val="TableParagraph"/>
              <w:spacing w:before="24"/>
              <w:ind w:left="49" w:right="43"/>
              <w:jc w:val="center"/>
              <w:rPr>
                <w:b/>
                <w:sz w:val="12"/>
              </w:rPr>
            </w:pPr>
            <w:r>
              <w:rPr>
                <w:b/>
                <w:sz w:val="12"/>
              </w:rPr>
              <w:t>Ejer</w:t>
            </w:r>
          </w:p>
        </w:tc>
        <w:tc>
          <w:tcPr>
            <w:tcW w:w="500" w:type="dxa"/>
            <w:shd w:val="clear" w:color="auto" w:fill="D5DCE3"/>
          </w:tcPr>
          <w:p>
            <w:pPr>
              <w:pStyle w:val="TableParagraph"/>
              <w:spacing w:before="24"/>
              <w:ind w:left="22" w:right="14"/>
              <w:jc w:val="center"/>
              <w:rPr>
                <w:b/>
                <w:sz w:val="12"/>
              </w:rPr>
            </w:pPr>
            <w:r>
              <w:rPr>
                <w:b/>
                <w:sz w:val="12"/>
              </w:rPr>
              <w:t>Type</w:t>
            </w:r>
          </w:p>
        </w:tc>
        <w:tc>
          <w:tcPr>
            <w:tcW w:w="654" w:type="dxa"/>
            <w:shd w:val="clear" w:color="auto" w:fill="D5DCE3"/>
          </w:tcPr>
          <w:p>
            <w:pPr>
              <w:pStyle w:val="TableParagraph"/>
              <w:spacing w:before="24"/>
              <w:ind w:left="35" w:right="24"/>
              <w:jc w:val="center"/>
              <w:rPr>
                <w:b/>
                <w:sz w:val="12"/>
              </w:rPr>
            </w:pPr>
            <w:r>
              <w:rPr>
                <w:b/>
                <w:sz w:val="12"/>
              </w:rPr>
              <w:t>Forbrug</w:t>
            </w:r>
          </w:p>
        </w:tc>
        <w:tc>
          <w:tcPr>
            <w:tcW w:w="517" w:type="dxa"/>
            <w:shd w:val="clear" w:color="auto" w:fill="D5DCE3"/>
          </w:tcPr>
          <w:p>
            <w:pPr>
              <w:pStyle w:val="TableParagraph"/>
              <w:spacing w:before="24"/>
              <w:ind w:right="31"/>
              <w:jc w:val="right"/>
              <w:rPr>
                <w:b/>
                <w:sz w:val="12"/>
              </w:rPr>
            </w:pPr>
            <w:r>
              <w:rPr>
                <w:b/>
                <w:sz w:val="12"/>
              </w:rPr>
              <w:t>Enhed</w:t>
            </w:r>
          </w:p>
        </w:tc>
        <w:tc>
          <w:tcPr>
            <w:tcW w:w="628" w:type="dxa"/>
            <w:shd w:val="clear" w:color="auto" w:fill="D5DCE3"/>
          </w:tcPr>
          <w:p>
            <w:pPr>
              <w:pStyle w:val="TableParagraph"/>
              <w:spacing w:before="24"/>
              <w:ind w:left="29" w:right="24"/>
              <w:jc w:val="center"/>
              <w:rPr>
                <w:b/>
                <w:sz w:val="12"/>
              </w:rPr>
            </w:pPr>
            <w:r>
              <w:rPr>
                <w:b/>
                <w:sz w:val="12"/>
              </w:rPr>
              <w:t>Periode</w:t>
            </w:r>
          </w:p>
        </w:tc>
        <w:tc>
          <w:tcPr>
            <w:tcW w:w="723" w:type="dxa"/>
            <w:shd w:val="clear" w:color="auto" w:fill="ACB8C9"/>
          </w:tcPr>
          <w:p>
            <w:pPr>
              <w:pStyle w:val="TableParagraph"/>
              <w:spacing w:before="24"/>
              <w:ind w:left="28" w:right="10"/>
              <w:jc w:val="center"/>
              <w:rPr>
                <w:b/>
                <w:sz w:val="12"/>
              </w:rPr>
            </w:pPr>
            <w:r>
              <w:rPr>
                <w:b/>
                <w:sz w:val="12"/>
              </w:rPr>
              <w:t>Måler_ID</w:t>
            </w:r>
          </w:p>
        </w:tc>
        <w:tc>
          <w:tcPr>
            <w:tcW w:w="646" w:type="dxa"/>
            <w:shd w:val="clear" w:color="auto" w:fill="F8CAAC"/>
          </w:tcPr>
          <w:p>
            <w:pPr>
              <w:pStyle w:val="TableParagraph"/>
              <w:spacing w:before="24"/>
              <w:ind w:left="23" w:right="6"/>
              <w:jc w:val="center"/>
              <w:rPr>
                <w:b/>
                <w:sz w:val="12"/>
              </w:rPr>
            </w:pPr>
            <w:r>
              <w:rPr>
                <w:b/>
                <w:sz w:val="12"/>
              </w:rPr>
              <w:t>Rum_ID</w:t>
            </w:r>
          </w:p>
        </w:tc>
      </w:tr>
      <w:tr>
        <w:trPr>
          <w:trHeight w:val="195" w:hRule="atLeast"/>
        </w:trPr>
        <w:tc>
          <w:tcPr>
            <w:tcW w:w="1089" w:type="dxa"/>
            <w:tcBorders>
              <w:left w:val="single" w:sz="4" w:space="0" w:color="000000"/>
              <w:bottom w:val="single" w:sz="8" w:space="0" w:color="BEBEBE"/>
            </w:tcBorders>
            <w:shd w:val="clear" w:color="auto" w:fill="D5DCE3"/>
          </w:tcPr>
          <w:p>
            <w:pPr>
              <w:pStyle w:val="TableParagraph"/>
              <w:spacing w:before="24"/>
              <w:ind w:left="15"/>
              <w:jc w:val="center"/>
              <w:rPr>
                <w:sz w:val="12"/>
              </w:rPr>
            </w:pPr>
            <w:r>
              <w:rPr>
                <w:w w:val="100"/>
                <w:sz w:val="12"/>
              </w:rPr>
              <w:t>C</w:t>
            </w:r>
          </w:p>
        </w:tc>
        <w:tc>
          <w:tcPr>
            <w:tcW w:w="861" w:type="dxa"/>
            <w:tcBorders>
              <w:bottom w:val="single" w:sz="8" w:space="0" w:color="BEBEBE"/>
            </w:tcBorders>
            <w:shd w:val="clear" w:color="auto" w:fill="D5DCE3"/>
          </w:tcPr>
          <w:p>
            <w:pPr>
              <w:pStyle w:val="TableParagraph"/>
              <w:spacing w:before="24"/>
              <w:ind w:left="61" w:right="43"/>
              <w:jc w:val="center"/>
              <w:rPr>
                <w:sz w:val="12"/>
              </w:rPr>
            </w:pPr>
            <w:r>
              <w:rPr>
                <w:sz w:val="12"/>
              </w:rPr>
              <w:t>”DataHub”</w:t>
            </w:r>
          </w:p>
        </w:tc>
        <w:tc>
          <w:tcPr>
            <w:tcW w:w="500" w:type="dxa"/>
            <w:tcBorders>
              <w:bottom w:val="single" w:sz="8" w:space="0" w:color="BEBEBE"/>
            </w:tcBorders>
            <w:shd w:val="clear" w:color="auto" w:fill="D5DCE3"/>
          </w:tcPr>
          <w:p>
            <w:pPr>
              <w:pStyle w:val="TableParagraph"/>
              <w:spacing w:before="24"/>
              <w:ind w:left="28" w:right="14"/>
              <w:jc w:val="center"/>
              <w:rPr>
                <w:sz w:val="12"/>
              </w:rPr>
            </w:pPr>
            <w:r>
              <w:rPr>
                <w:sz w:val="12"/>
              </w:rPr>
              <w:t>El</w:t>
            </w:r>
          </w:p>
        </w:tc>
        <w:tc>
          <w:tcPr>
            <w:tcW w:w="654" w:type="dxa"/>
            <w:tcBorders>
              <w:bottom w:val="single" w:sz="8" w:space="0" w:color="BEBEBE"/>
            </w:tcBorders>
            <w:shd w:val="clear" w:color="auto" w:fill="D5DCE3"/>
          </w:tcPr>
          <w:p>
            <w:pPr>
              <w:pStyle w:val="TableParagraph"/>
              <w:spacing w:line="154" w:lineRule="exact" w:before="21"/>
              <w:ind w:left="21" w:right="24"/>
              <w:jc w:val="center"/>
              <w:rPr>
                <w:sz w:val="7"/>
              </w:rPr>
            </w:pPr>
            <w:r>
              <w:rPr>
                <w:w w:val="105"/>
                <w:position w:val="2"/>
                <w:sz w:val="12"/>
              </w:rPr>
              <w:t>m</w:t>
            </w:r>
            <w:r>
              <w:rPr>
                <w:w w:val="105"/>
                <w:sz w:val="7"/>
              </w:rPr>
              <w:t>1</w:t>
            </w:r>
          </w:p>
        </w:tc>
        <w:tc>
          <w:tcPr>
            <w:tcW w:w="517" w:type="dxa"/>
            <w:tcBorders>
              <w:bottom w:val="single" w:sz="8" w:space="0" w:color="BEBEBE"/>
            </w:tcBorders>
            <w:shd w:val="clear" w:color="auto" w:fill="D5DCE3"/>
          </w:tcPr>
          <w:p>
            <w:pPr>
              <w:pStyle w:val="TableParagraph"/>
              <w:spacing w:before="24"/>
              <w:ind w:right="107"/>
              <w:jc w:val="right"/>
              <w:rPr>
                <w:sz w:val="12"/>
              </w:rPr>
            </w:pPr>
            <w:r>
              <w:rPr>
                <w:sz w:val="12"/>
              </w:rPr>
              <w:t>kWh</w:t>
            </w:r>
          </w:p>
        </w:tc>
        <w:tc>
          <w:tcPr>
            <w:tcW w:w="628" w:type="dxa"/>
            <w:tcBorders>
              <w:bottom w:val="single" w:sz="8" w:space="0" w:color="BEBEBE"/>
            </w:tcBorders>
            <w:shd w:val="clear" w:color="auto" w:fill="D5DCE3"/>
          </w:tcPr>
          <w:p>
            <w:pPr>
              <w:pStyle w:val="TableParagraph"/>
              <w:spacing w:line="154" w:lineRule="exact" w:before="21"/>
              <w:ind w:left="20" w:right="24"/>
              <w:jc w:val="center"/>
              <w:rPr>
                <w:sz w:val="7"/>
              </w:rPr>
            </w:pPr>
            <w:r>
              <w:rPr>
                <w:w w:val="105"/>
                <w:position w:val="2"/>
                <w:sz w:val="12"/>
              </w:rPr>
              <w:t>t</w:t>
            </w:r>
            <w:r>
              <w:rPr>
                <w:w w:val="105"/>
                <w:sz w:val="7"/>
              </w:rPr>
              <w:t>1</w:t>
            </w:r>
          </w:p>
        </w:tc>
        <w:tc>
          <w:tcPr>
            <w:tcW w:w="723" w:type="dxa"/>
            <w:tcBorders>
              <w:bottom w:val="single" w:sz="8" w:space="0" w:color="BEBEBE"/>
            </w:tcBorders>
            <w:shd w:val="clear" w:color="auto" w:fill="D5DCE3"/>
          </w:tcPr>
          <w:p>
            <w:pPr>
              <w:pStyle w:val="TableParagraph"/>
              <w:spacing w:before="24"/>
              <w:ind w:left="1"/>
              <w:jc w:val="center"/>
              <w:rPr>
                <w:sz w:val="12"/>
              </w:rPr>
            </w:pPr>
            <w:r>
              <w:rPr>
                <w:w w:val="100"/>
                <w:sz w:val="12"/>
              </w:rPr>
              <w:t>X</w:t>
            </w:r>
          </w:p>
        </w:tc>
        <w:tc>
          <w:tcPr>
            <w:tcW w:w="646" w:type="dxa"/>
            <w:tcBorders>
              <w:bottom w:val="single" w:sz="8" w:space="0" w:color="BEBEBE"/>
            </w:tcBorders>
            <w:shd w:val="clear" w:color="auto" w:fill="F8CAAC"/>
          </w:tcPr>
          <w:p>
            <w:pPr>
              <w:pStyle w:val="TableParagraph"/>
              <w:spacing w:before="24"/>
              <w:ind w:left="11"/>
              <w:jc w:val="center"/>
              <w:rPr>
                <w:sz w:val="12"/>
              </w:rPr>
            </w:pPr>
            <w:r>
              <w:rPr>
                <w:w w:val="100"/>
                <w:sz w:val="12"/>
              </w:rPr>
              <w:t>M</w:t>
            </w:r>
          </w:p>
        </w:tc>
      </w:tr>
      <w:tr>
        <w:trPr>
          <w:trHeight w:val="195" w:hRule="atLeast"/>
        </w:trPr>
        <w:tc>
          <w:tcPr>
            <w:tcW w:w="1089" w:type="dxa"/>
            <w:tcBorders>
              <w:top w:val="single" w:sz="8" w:space="0" w:color="BEBEBE"/>
              <w:left w:val="single" w:sz="4" w:space="0" w:color="000000"/>
              <w:bottom w:val="single" w:sz="8" w:space="0" w:color="BEBEBE"/>
            </w:tcBorders>
            <w:shd w:val="clear" w:color="auto" w:fill="D5DCE3"/>
          </w:tcPr>
          <w:p>
            <w:pPr>
              <w:pStyle w:val="TableParagraph"/>
              <w:spacing w:before="24"/>
              <w:ind w:left="7"/>
              <w:jc w:val="center"/>
              <w:rPr>
                <w:sz w:val="12"/>
              </w:rPr>
            </w:pPr>
            <w:r>
              <w:rPr>
                <w:w w:val="100"/>
                <w:sz w:val="12"/>
              </w:rPr>
              <w:t>D</w:t>
            </w:r>
          </w:p>
        </w:tc>
        <w:tc>
          <w:tcPr>
            <w:tcW w:w="861" w:type="dxa"/>
            <w:tcBorders>
              <w:top w:val="single" w:sz="8" w:space="0" w:color="BEBEBE"/>
              <w:bottom w:val="single" w:sz="8" w:space="0" w:color="BEBEBE"/>
            </w:tcBorders>
            <w:shd w:val="clear" w:color="auto" w:fill="D5DCE3"/>
          </w:tcPr>
          <w:p>
            <w:pPr>
              <w:pStyle w:val="TableParagraph"/>
              <w:spacing w:before="24"/>
              <w:ind w:left="61" w:right="43"/>
              <w:jc w:val="center"/>
              <w:rPr>
                <w:sz w:val="12"/>
              </w:rPr>
            </w:pPr>
            <w:r>
              <w:rPr>
                <w:sz w:val="12"/>
              </w:rPr>
              <w:t>”DataHub”</w:t>
            </w:r>
          </w:p>
        </w:tc>
        <w:tc>
          <w:tcPr>
            <w:tcW w:w="500" w:type="dxa"/>
            <w:tcBorders>
              <w:top w:val="single" w:sz="8" w:space="0" w:color="BEBEBE"/>
              <w:bottom w:val="single" w:sz="8" w:space="0" w:color="BEBEBE"/>
            </w:tcBorders>
            <w:shd w:val="clear" w:color="auto" w:fill="D5DCE3"/>
          </w:tcPr>
          <w:p>
            <w:pPr>
              <w:pStyle w:val="TableParagraph"/>
              <w:spacing w:before="24"/>
              <w:ind w:left="28" w:right="14"/>
              <w:jc w:val="center"/>
              <w:rPr>
                <w:sz w:val="12"/>
              </w:rPr>
            </w:pPr>
            <w:r>
              <w:rPr>
                <w:sz w:val="12"/>
              </w:rPr>
              <w:t>El</w:t>
            </w:r>
          </w:p>
        </w:tc>
        <w:tc>
          <w:tcPr>
            <w:tcW w:w="654" w:type="dxa"/>
            <w:tcBorders>
              <w:top w:val="single" w:sz="8" w:space="0" w:color="BEBEBE"/>
              <w:bottom w:val="single" w:sz="8" w:space="0" w:color="BEBEBE"/>
            </w:tcBorders>
            <w:shd w:val="clear" w:color="auto" w:fill="D5DCE3"/>
          </w:tcPr>
          <w:p>
            <w:pPr>
              <w:pStyle w:val="TableParagraph"/>
              <w:spacing w:line="154" w:lineRule="exact" w:before="21"/>
              <w:ind w:left="21" w:right="24"/>
              <w:jc w:val="center"/>
              <w:rPr>
                <w:sz w:val="7"/>
              </w:rPr>
            </w:pPr>
            <w:r>
              <w:rPr>
                <w:w w:val="105"/>
                <w:position w:val="2"/>
                <w:sz w:val="12"/>
              </w:rPr>
              <w:t>m</w:t>
            </w:r>
            <w:r>
              <w:rPr>
                <w:w w:val="105"/>
                <w:sz w:val="7"/>
              </w:rPr>
              <w:t>2</w:t>
            </w:r>
          </w:p>
        </w:tc>
        <w:tc>
          <w:tcPr>
            <w:tcW w:w="517" w:type="dxa"/>
            <w:tcBorders>
              <w:top w:val="single" w:sz="8" w:space="0" w:color="BEBEBE"/>
              <w:bottom w:val="single" w:sz="8" w:space="0" w:color="BEBEBE"/>
            </w:tcBorders>
            <w:shd w:val="clear" w:color="auto" w:fill="D5DCE3"/>
          </w:tcPr>
          <w:p>
            <w:pPr>
              <w:pStyle w:val="TableParagraph"/>
              <w:spacing w:before="24"/>
              <w:ind w:right="107"/>
              <w:jc w:val="right"/>
              <w:rPr>
                <w:sz w:val="12"/>
              </w:rPr>
            </w:pPr>
            <w:r>
              <w:rPr>
                <w:sz w:val="12"/>
              </w:rPr>
              <w:t>kWh</w:t>
            </w:r>
          </w:p>
        </w:tc>
        <w:tc>
          <w:tcPr>
            <w:tcW w:w="628" w:type="dxa"/>
            <w:tcBorders>
              <w:top w:val="single" w:sz="8" w:space="0" w:color="BEBEBE"/>
              <w:bottom w:val="single" w:sz="8" w:space="0" w:color="BEBEBE"/>
            </w:tcBorders>
            <w:shd w:val="clear" w:color="auto" w:fill="D5DCE3"/>
          </w:tcPr>
          <w:p>
            <w:pPr>
              <w:pStyle w:val="TableParagraph"/>
              <w:spacing w:line="154" w:lineRule="exact" w:before="21"/>
              <w:ind w:left="20" w:right="24"/>
              <w:jc w:val="center"/>
              <w:rPr>
                <w:sz w:val="7"/>
              </w:rPr>
            </w:pPr>
            <w:r>
              <w:rPr>
                <w:w w:val="105"/>
                <w:position w:val="2"/>
                <w:sz w:val="12"/>
              </w:rPr>
              <w:t>t</w:t>
            </w:r>
            <w:r>
              <w:rPr>
                <w:w w:val="105"/>
                <w:sz w:val="7"/>
              </w:rPr>
              <w:t>2</w:t>
            </w:r>
          </w:p>
        </w:tc>
        <w:tc>
          <w:tcPr>
            <w:tcW w:w="723" w:type="dxa"/>
            <w:tcBorders>
              <w:top w:val="single" w:sz="8" w:space="0" w:color="BEBEBE"/>
              <w:bottom w:val="single" w:sz="8" w:space="0" w:color="BEBEBE"/>
            </w:tcBorders>
            <w:shd w:val="clear" w:color="auto" w:fill="D5DCE3"/>
          </w:tcPr>
          <w:p>
            <w:pPr>
              <w:pStyle w:val="TableParagraph"/>
              <w:spacing w:before="24"/>
              <w:ind w:left="1"/>
              <w:jc w:val="center"/>
              <w:rPr>
                <w:sz w:val="12"/>
              </w:rPr>
            </w:pPr>
            <w:r>
              <w:rPr>
                <w:w w:val="100"/>
                <w:sz w:val="12"/>
              </w:rPr>
              <w:t>X</w:t>
            </w:r>
          </w:p>
        </w:tc>
        <w:tc>
          <w:tcPr>
            <w:tcW w:w="646" w:type="dxa"/>
            <w:tcBorders>
              <w:top w:val="single" w:sz="8" w:space="0" w:color="BEBEBE"/>
              <w:bottom w:val="single" w:sz="8" w:space="0" w:color="BEBEBE"/>
            </w:tcBorders>
            <w:shd w:val="clear" w:color="auto" w:fill="F8CAAC"/>
          </w:tcPr>
          <w:p>
            <w:pPr>
              <w:pStyle w:val="TableParagraph"/>
              <w:spacing w:before="24"/>
              <w:ind w:left="16"/>
              <w:jc w:val="center"/>
              <w:rPr>
                <w:sz w:val="12"/>
              </w:rPr>
            </w:pPr>
            <w:r>
              <w:rPr>
                <w:w w:val="100"/>
                <w:sz w:val="12"/>
              </w:rPr>
              <w:t>N</w:t>
            </w:r>
          </w:p>
        </w:tc>
      </w:tr>
      <w:tr>
        <w:trPr>
          <w:trHeight w:val="194" w:hRule="atLeast"/>
        </w:trPr>
        <w:tc>
          <w:tcPr>
            <w:tcW w:w="1089" w:type="dxa"/>
            <w:tcBorders>
              <w:top w:val="single" w:sz="8" w:space="0" w:color="BEBEBE"/>
              <w:left w:val="single" w:sz="4" w:space="0" w:color="000000"/>
              <w:bottom w:val="single" w:sz="8" w:space="0" w:color="BEBEBE"/>
            </w:tcBorders>
            <w:shd w:val="clear" w:color="auto" w:fill="D5DCE3"/>
          </w:tcPr>
          <w:p>
            <w:pPr>
              <w:pStyle w:val="TableParagraph"/>
              <w:spacing w:before="24"/>
              <w:ind w:left="7"/>
              <w:jc w:val="center"/>
              <w:rPr>
                <w:sz w:val="12"/>
              </w:rPr>
            </w:pPr>
            <w:r>
              <w:rPr>
                <w:w w:val="100"/>
                <w:sz w:val="12"/>
              </w:rPr>
              <w:t>E</w:t>
            </w:r>
          </w:p>
        </w:tc>
        <w:tc>
          <w:tcPr>
            <w:tcW w:w="861" w:type="dxa"/>
            <w:tcBorders>
              <w:top w:val="single" w:sz="8" w:space="0" w:color="BEBEBE"/>
              <w:bottom w:val="single" w:sz="8" w:space="0" w:color="BEBEBE"/>
            </w:tcBorders>
            <w:shd w:val="clear" w:color="auto" w:fill="D5DCE3"/>
          </w:tcPr>
          <w:p>
            <w:pPr>
              <w:pStyle w:val="TableParagraph"/>
              <w:spacing w:before="24"/>
              <w:ind w:left="61" w:right="43"/>
              <w:jc w:val="center"/>
              <w:rPr>
                <w:sz w:val="12"/>
              </w:rPr>
            </w:pPr>
            <w:r>
              <w:rPr>
                <w:sz w:val="12"/>
              </w:rPr>
              <w:t>"Forsyning"</w:t>
            </w:r>
          </w:p>
        </w:tc>
        <w:tc>
          <w:tcPr>
            <w:tcW w:w="500" w:type="dxa"/>
            <w:tcBorders>
              <w:top w:val="single" w:sz="8" w:space="0" w:color="BEBEBE"/>
              <w:bottom w:val="single" w:sz="8" w:space="0" w:color="BEBEBE"/>
            </w:tcBorders>
            <w:shd w:val="clear" w:color="auto" w:fill="D5DCE3"/>
          </w:tcPr>
          <w:p>
            <w:pPr>
              <w:pStyle w:val="TableParagraph"/>
              <w:spacing w:before="24"/>
              <w:ind w:left="31" w:right="14"/>
              <w:jc w:val="center"/>
              <w:rPr>
                <w:sz w:val="12"/>
              </w:rPr>
            </w:pPr>
            <w:r>
              <w:rPr>
                <w:sz w:val="12"/>
              </w:rPr>
              <w:t>Varme</w:t>
            </w:r>
          </w:p>
        </w:tc>
        <w:tc>
          <w:tcPr>
            <w:tcW w:w="654" w:type="dxa"/>
            <w:tcBorders>
              <w:top w:val="single" w:sz="8" w:space="0" w:color="BEBEBE"/>
              <w:bottom w:val="single" w:sz="8" w:space="0" w:color="BEBEBE"/>
            </w:tcBorders>
            <w:shd w:val="clear" w:color="auto" w:fill="D5DCE3"/>
          </w:tcPr>
          <w:p>
            <w:pPr>
              <w:pStyle w:val="TableParagraph"/>
              <w:spacing w:line="154" w:lineRule="exact" w:before="21"/>
              <w:ind w:left="21" w:right="24"/>
              <w:jc w:val="center"/>
              <w:rPr>
                <w:sz w:val="7"/>
              </w:rPr>
            </w:pPr>
            <w:r>
              <w:rPr>
                <w:w w:val="105"/>
                <w:position w:val="2"/>
                <w:sz w:val="12"/>
              </w:rPr>
              <w:t>m</w:t>
            </w:r>
            <w:r>
              <w:rPr>
                <w:w w:val="105"/>
                <w:sz w:val="7"/>
              </w:rPr>
              <w:t>3</w:t>
            </w:r>
          </w:p>
        </w:tc>
        <w:tc>
          <w:tcPr>
            <w:tcW w:w="517" w:type="dxa"/>
            <w:tcBorders>
              <w:top w:val="single" w:sz="8" w:space="0" w:color="BEBEBE"/>
              <w:bottom w:val="single" w:sz="8" w:space="0" w:color="BEBEBE"/>
            </w:tcBorders>
            <w:shd w:val="clear" w:color="auto" w:fill="D5DCE3"/>
          </w:tcPr>
          <w:p>
            <w:pPr>
              <w:pStyle w:val="TableParagraph"/>
              <w:spacing w:before="24"/>
              <w:ind w:right="107"/>
              <w:jc w:val="right"/>
              <w:rPr>
                <w:sz w:val="12"/>
              </w:rPr>
            </w:pPr>
            <w:r>
              <w:rPr>
                <w:sz w:val="12"/>
              </w:rPr>
              <w:t>kWh</w:t>
            </w:r>
          </w:p>
        </w:tc>
        <w:tc>
          <w:tcPr>
            <w:tcW w:w="628" w:type="dxa"/>
            <w:tcBorders>
              <w:top w:val="single" w:sz="8" w:space="0" w:color="BEBEBE"/>
              <w:bottom w:val="single" w:sz="8" w:space="0" w:color="BEBEBE"/>
            </w:tcBorders>
            <w:shd w:val="clear" w:color="auto" w:fill="D5DCE3"/>
          </w:tcPr>
          <w:p>
            <w:pPr>
              <w:pStyle w:val="TableParagraph"/>
              <w:spacing w:line="154" w:lineRule="exact" w:before="21"/>
              <w:ind w:left="20" w:right="24"/>
              <w:jc w:val="center"/>
              <w:rPr>
                <w:sz w:val="7"/>
              </w:rPr>
            </w:pPr>
            <w:r>
              <w:rPr>
                <w:w w:val="105"/>
                <w:position w:val="2"/>
                <w:sz w:val="12"/>
              </w:rPr>
              <w:t>t</w:t>
            </w:r>
            <w:r>
              <w:rPr>
                <w:w w:val="105"/>
                <w:sz w:val="7"/>
              </w:rPr>
              <w:t>3</w:t>
            </w:r>
          </w:p>
        </w:tc>
        <w:tc>
          <w:tcPr>
            <w:tcW w:w="723" w:type="dxa"/>
            <w:tcBorders>
              <w:top w:val="single" w:sz="8" w:space="0" w:color="BEBEBE"/>
              <w:bottom w:val="single" w:sz="8" w:space="0" w:color="BEBEBE"/>
            </w:tcBorders>
            <w:shd w:val="clear" w:color="auto" w:fill="D5DCE3"/>
          </w:tcPr>
          <w:p>
            <w:pPr>
              <w:pStyle w:val="TableParagraph"/>
              <w:spacing w:before="24"/>
              <w:ind w:left="9"/>
              <w:jc w:val="center"/>
              <w:rPr>
                <w:sz w:val="12"/>
              </w:rPr>
            </w:pPr>
            <w:r>
              <w:rPr>
                <w:w w:val="100"/>
                <w:sz w:val="12"/>
              </w:rPr>
              <w:t>Y</w:t>
            </w:r>
          </w:p>
        </w:tc>
        <w:tc>
          <w:tcPr>
            <w:tcW w:w="646" w:type="dxa"/>
            <w:tcBorders>
              <w:top w:val="single" w:sz="8" w:space="0" w:color="BEBEBE"/>
              <w:bottom w:val="single" w:sz="8" w:space="0" w:color="BEBEBE"/>
            </w:tcBorders>
            <w:shd w:val="clear" w:color="auto" w:fill="F8CAAC"/>
          </w:tcPr>
          <w:p>
            <w:pPr>
              <w:pStyle w:val="TableParagraph"/>
              <w:spacing w:before="24"/>
              <w:ind w:left="11"/>
              <w:jc w:val="center"/>
              <w:rPr>
                <w:sz w:val="12"/>
              </w:rPr>
            </w:pPr>
            <w:r>
              <w:rPr>
                <w:w w:val="100"/>
                <w:sz w:val="12"/>
              </w:rPr>
              <w:t>M</w:t>
            </w:r>
          </w:p>
        </w:tc>
      </w:tr>
      <w:tr>
        <w:trPr>
          <w:trHeight w:val="195" w:hRule="atLeast"/>
        </w:trPr>
        <w:tc>
          <w:tcPr>
            <w:tcW w:w="1089" w:type="dxa"/>
            <w:tcBorders>
              <w:top w:val="single" w:sz="8" w:space="0" w:color="BEBEBE"/>
              <w:left w:val="single" w:sz="4" w:space="0" w:color="000000"/>
              <w:bottom w:val="single" w:sz="8" w:space="0" w:color="BEBEBE"/>
            </w:tcBorders>
            <w:shd w:val="clear" w:color="auto" w:fill="D5DCE3"/>
          </w:tcPr>
          <w:p>
            <w:pPr>
              <w:pStyle w:val="TableParagraph"/>
              <w:spacing w:before="24"/>
              <w:ind w:left="17"/>
              <w:jc w:val="center"/>
              <w:rPr>
                <w:sz w:val="12"/>
              </w:rPr>
            </w:pPr>
            <w:r>
              <w:rPr>
                <w:w w:val="100"/>
                <w:sz w:val="12"/>
              </w:rPr>
              <w:t>F</w:t>
            </w:r>
          </w:p>
        </w:tc>
        <w:tc>
          <w:tcPr>
            <w:tcW w:w="861" w:type="dxa"/>
            <w:tcBorders>
              <w:top w:val="single" w:sz="8" w:space="0" w:color="BEBEBE"/>
              <w:bottom w:val="single" w:sz="8" w:space="0" w:color="BEBEBE"/>
            </w:tcBorders>
            <w:shd w:val="clear" w:color="auto" w:fill="D5DCE3"/>
          </w:tcPr>
          <w:p>
            <w:pPr>
              <w:pStyle w:val="TableParagraph"/>
              <w:spacing w:before="24"/>
              <w:ind w:left="61" w:right="43"/>
              <w:jc w:val="center"/>
              <w:rPr>
                <w:sz w:val="12"/>
              </w:rPr>
            </w:pPr>
            <w:r>
              <w:rPr>
                <w:sz w:val="12"/>
              </w:rPr>
              <w:t>"Forsyning"</w:t>
            </w:r>
          </w:p>
        </w:tc>
        <w:tc>
          <w:tcPr>
            <w:tcW w:w="500" w:type="dxa"/>
            <w:tcBorders>
              <w:top w:val="single" w:sz="8" w:space="0" w:color="BEBEBE"/>
              <w:bottom w:val="single" w:sz="8" w:space="0" w:color="BEBEBE"/>
            </w:tcBorders>
            <w:shd w:val="clear" w:color="auto" w:fill="D5DCE3"/>
          </w:tcPr>
          <w:p>
            <w:pPr>
              <w:pStyle w:val="TableParagraph"/>
              <w:spacing w:before="24"/>
              <w:ind w:left="31" w:right="14"/>
              <w:jc w:val="center"/>
              <w:rPr>
                <w:sz w:val="12"/>
              </w:rPr>
            </w:pPr>
            <w:r>
              <w:rPr>
                <w:sz w:val="12"/>
              </w:rPr>
              <w:t>Varme</w:t>
            </w:r>
          </w:p>
        </w:tc>
        <w:tc>
          <w:tcPr>
            <w:tcW w:w="654" w:type="dxa"/>
            <w:tcBorders>
              <w:top w:val="single" w:sz="8" w:space="0" w:color="BEBEBE"/>
              <w:bottom w:val="single" w:sz="8" w:space="0" w:color="BEBEBE"/>
            </w:tcBorders>
            <w:shd w:val="clear" w:color="auto" w:fill="D5DCE3"/>
          </w:tcPr>
          <w:p>
            <w:pPr>
              <w:pStyle w:val="TableParagraph"/>
              <w:spacing w:line="154" w:lineRule="exact" w:before="21"/>
              <w:ind w:left="21" w:right="24"/>
              <w:jc w:val="center"/>
              <w:rPr>
                <w:sz w:val="7"/>
              </w:rPr>
            </w:pPr>
            <w:r>
              <w:rPr>
                <w:w w:val="105"/>
                <w:position w:val="2"/>
                <w:sz w:val="12"/>
              </w:rPr>
              <w:t>m</w:t>
            </w:r>
            <w:r>
              <w:rPr>
                <w:w w:val="105"/>
                <w:sz w:val="7"/>
              </w:rPr>
              <w:t>4</w:t>
            </w:r>
          </w:p>
        </w:tc>
        <w:tc>
          <w:tcPr>
            <w:tcW w:w="517" w:type="dxa"/>
            <w:tcBorders>
              <w:top w:val="single" w:sz="8" w:space="0" w:color="BEBEBE"/>
              <w:bottom w:val="single" w:sz="8" w:space="0" w:color="BEBEBE"/>
            </w:tcBorders>
            <w:shd w:val="clear" w:color="auto" w:fill="D5DCE3"/>
          </w:tcPr>
          <w:p>
            <w:pPr>
              <w:pStyle w:val="TableParagraph"/>
              <w:spacing w:before="24"/>
              <w:ind w:right="107"/>
              <w:jc w:val="right"/>
              <w:rPr>
                <w:sz w:val="12"/>
              </w:rPr>
            </w:pPr>
            <w:r>
              <w:rPr>
                <w:sz w:val="12"/>
              </w:rPr>
              <w:t>kWh</w:t>
            </w:r>
          </w:p>
        </w:tc>
        <w:tc>
          <w:tcPr>
            <w:tcW w:w="628" w:type="dxa"/>
            <w:tcBorders>
              <w:top w:val="single" w:sz="8" w:space="0" w:color="BEBEBE"/>
              <w:bottom w:val="single" w:sz="8" w:space="0" w:color="BEBEBE"/>
            </w:tcBorders>
            <w:shd w:val="clear" w:color="auto" w:fill="D5DCE3"/>
          </w:tcPr>
          <w:p>
            <w:pPr>
              <w:pStyle w:val="TableParagraph"/>
              <w:spacing w:line="154" w:lineRule="exact" w:before="21"/>
              <w:ind w:left="20" w:right="24"/>
              <w:jc w:val="center"/>
              <w:rPr>
                <w:sz w:val="7"/>
              </w:rPr>
            </w:pPr>
            <w:r>
              <w:rPr>
                <w:w w:val="105"/>
                <w:position w:val="2"/>
                <w:sz w:val="12"/>
              </w:rPr>
              <w:t>t</w:t>
            </w:r>
            <w:r>
              <w:rPr>
                <w:w w:val="105"/>
                <w:sz w:val="7"/>
              </w:rPr>
              <w:t>4</w:t>
            </w:r>
          </w:p>
        </w:tc>
        <w:tc>
          <w:tcPr>
            <w:tcW w:w="723" w:type="dxa"/>
            <w:tcBorders>
              <w:top w:val="single" w:sz="8" w:space="0" w:color="BEBEBE"/>
              <w:bottom w:val="single" w:sz="8" w:space="0" w:color="BEBEBE"/>
            </w:tcBorders>
            <w:shd w:val="clear" w:color="auto" w:fill="D5DCE3"/>
          </w:tcPr>
          <w:p>
            <w:pPr>
              <w:pStyle w:val="TableParagraph"/>
              <w:spacing w:before="24"/>
              <w:ind w:left="9"/>
              <w:jc w:val="center"/>
              <w:rPr>
                <w:sz w:val="12"/>
              </w:rPr>
            </w:pPr>
            <w:r>
              <w:rPr>
                <w:w w:val="100"/>
                <w:sz w:val="12"/>
              </w:rPr>
              <w:t>Y</w:t>
            </w:r>
          </w:p>
        </w:tc>
        <w:tc>
          <w:tcPr>
            <w:tcW w:w="646" w:type="dxa"/>
            <w:tcBorders>
              <w:top w:val="single" w:sz="8" w:space="0" w:color="BEBEBE"/>
              <w:bottom w:val="single" w:sz="8" w:space="0" w:color="BEBEBE"/>
            </w:tcBorders>
            <w:shd w:val="clear" w:color="auto" w:fill="F8CAAC"/>
          </w:tcPr>
          <w:p>
            <w:pPr>
              <w:pStyle w:val="TableParagraph"/>
              <w:spacing w:before="24"/>
              <w:ind w:left="16"/>
              <w:jc w:val="center"/>
              <w:rPr>
                <w:sz w:val="12"/>
              </w:rPr>
            </w:pPr>
            <w:r>
              <w:rPr>
                <w:w w:val="100"/>
                <w:sz w:val="12"/>
              </w:rPr>
              <w:t>N</w:t>
            </w:r>
          </w:p>
        </w:tc>
      </w:tr>
      <w:tr>
        <w:trPr>
          <w:trHeight w:val="213" w:hRule="atLeast"/>
        </w:trPr>
        <w:tc>
          <w:tcPr>
            <w:tcW w:w="1089" w:type="dxa"/>
            <w:tcBorders>
              <w:top w:val="single" w:sz="8" w:space="0" w:color="BEBEBE"/>
              <w:left w:val="single" w:sz="4" w:space="0" w:color="000000"/>
              <w:bottom w:val="nil"/>
            </w:tcBorders>
            <w:shd w:val="clear" w:color="auto" w:fill="D5DCE3"/>
          </w:tcPr>
          <w:p>
            <w:pPr>
              <w:pStyle w:val="TableParagraph"/>
              <w:spacing w:before="24"/>
              <w:ind w:left="7"/>
              <w:jc w:val="center"/>
              <w:rPr>
                <w:sz w:val="12"/>
              </w:rPr>
            </w:pPr>
            <w:r>
              <w:rPr>
                <w:w w:val="100"/>
                <w:sz w:val="12"/>
              </w:rPr>
              <w:t>G</w:t>
            </w:r>
          </w:p>
        </w:tc>
        <w:tc>
          <w:tcPr>
            <w:tcW w:w="861" w:type="dxa"/>
            <w:tcBorders>
              <w:top w:val="single" w:sz="8" w:space="0" w:color="BEBEBE"/>
              <w:bottom w:val="nil"/>
            </w:tcBorders>
            <w:shd w:val="clear" w:color="auto" w:fill="D5DCE3"/>
          </w:tcPr>
          <w:p>
            <w:pPr>
              <w:pStyle w:val="TableParagraph"/>
              <w:spacing w:before="24"/>
              <w:ind w:left="52" w:right="43"/>
              <w:jc w:val="center"/>
              <w:rPr>
                <w:sz w:val="12"/>
              </w:rPr>
            </w:pPr>
            <w:r>
              <w:rPr>
                <w:sz w:val="12"/>
              </w:rPr>
              <w:t>"Vand se."</w:t>
            </w:r>
          </w:p>
        </w:tc>
        <w:tc>
          <w:tcPr>
            <w:tcW w:w="500" w:type="dxa"/>
            <w:tcBorders>
              <w:top w:val="single" w:sz="8" w:space="0" w:color="BEBEBE"/>
              <w:bottom w:val="nil"/>
            </w:tcBorders>
            <w:shd w:val="clear" w:color="auto" w:fill="D5DCE3"/>
          </w:tcPr>
          <w:p>
            <w:pPr>
              <w:pStyle w:val="TableParagraph"/>
              <w:spacing w:before="24"/>
              <w:ind w:left="17" w:right="14"/>
              <w:jc w:val="center"/>
              <w:rPr>
                <w:sz w:val="12"/>
              </w:rPr>
            </w:pPr>
            <w:r>
              <w:rPr>
                <w:sz w:val="12"/>
              </w:rPr>
              <w:t>Vand</w:t>
            </w:r>
          </w:p>
        </w:tc>
        <w:tc>
          <w:tcPr>
            <w:tcW w:w="654" w:type="dxa"/>
            <w:tcBorders>
              <w:top w:val="single" w:sz="8" w:space="0" w:color="BEBEBE"/>
              <w:bottom w:val="nil"/>
            </w:tcBorders>
            <w:shd w:val="clear" w:color="auto" w:fill="D5DCE3"/>
          </w:tcPr>
          <w:p>
            <w:pPr>
              <w:pStyle w:val="TableParagraph"/>
              <w:spacing w:before="21"/>
              <w:ind w:left="21" w:right="24"/>
              <w:jc w:val="center"/>
              <w:rPr>
                <w:sz w:val="7"/>
              </w:rPr>
            </w:pPr>
            <w:r>
              <w:rPr>
                <w:w w:val="105"/>
                <w:position w:val="2"/>
                <w:sz w:val="12"/>
              </w:rPr>
              <w:t>m</w:t>
            </w:r>
            <w:r>
              <w:rPr>
                <w:w w:val="105"/>
                <w:sz w:val="7"/>
              </w:rPr>
              <w:t>5</w:t>
            </w:r>
          </w:p>
        </w:tc>
        <w:tc>
          <w:tcPr>
            <w:tcW w:w="517" w:type="dxa"/>
            <w:tcBorders>
              <w:top w:val="single" w:sz="8" w:space="0" w:color="BEBEBE"/>
              <w:bottom w:val="nil"/>
            </w:tcBorders>
            <w:shd w:val="clear" w:color="auto" w:fill="D5DCE3"/>
          </w:tcPr>
          <w:p>
            <w:pPr>
              <w:pStyle w:val="TableParagraph"/>
              <w:spacing w:before="24"/>
              <w:ind w:left="156"/>
              <w:rPr>
                <w:sz w:val="12"/>
              </w:rPr>
            </w:pPr>
            <w:r>
              <w:rPr>
                <w:sz w:val="12"/>
              </w:rPr>
              <w:t>m3</w:t>
            </w:r>
          </w:p>
        </w:tc>
        <w:tc>
          <w:tcPr>
            <w:tcW w:w="628" w:type="dxa"/>
            <w:tcBorders>
              <w:top w:val="single" w:sz="8" w:space="0" w:color="BEBEBE"/>
              <w:bottom w:val="nil"/>
            </w:tcBorders>
            <w:shd w:val="clear" w:color="auto" w:fill="D5DCE3"/>
          </w:tcPr>
          <w:p>
            <w:pPr>
              <w:pStyle w:val="TableParagraph"/>
              <w:spacing w:before="21"/>
              <w:ind w:left="20" w:right="24"/>
              <w:jc w:val="center"/>
              <w:rPr>
                <w:sz w:val="7"/>
              </w:rPr>
            </w:pPr>
            <w:r>
              <w:rPr>
                <w:w w:val="105"/>
                <w:position w:val="2"/>
                <w:sz w:val="12"/>
              </w:rPr>
              <w:t>t</w:t>
            </w:r>
            <w:r>
              <w:rPr>
                <w:w w:val="105"/>
                <w:sz w:val="7"/>
              </w:rPr>
              <w:t>5</w:t>
            </w:r>
          </w:p>
        </w:tc>
        <w:tc>
          <w:tcPr>
            <w:tcW w:w="723" w:type="dxa"/>
            <w:tcBorders>
              <w:top w:val="single" w:sz="8" w:space="0" w:color="BEBEBE"/>
              <w:bottom w:val="nil"/>
            </w:tcBorders>
            <w:shd w:val="clear" w:color="auto" w:fill="D5DCE3"/>
          </w:tcPr>
          <w:p>
            <w:pPr>
              <w:pStyle w:val="TableParagraph"/>
              <w:spacing w:before="24"/>
              <w:ind w:left="1"/>
              <w:jc w:val="center"/>
              <w:rPr>
                <w:sz w:val="12"/>
              </w:rPr>
            </w:pPr>
            <w:r>
              <w:rPr>
                <w:w w:val="100"/>
                <w:sz w:val="12"/>
              </w:rPr>
              <w:t>Z</w:t>
            </w:r>
          </w:p>
        </w:tc>
        <w:tc>
          <w:tcPr>
            <w:tcW w:w="646" w:type="dxa"/>
            <w:tcBorders>
              <w:top w:val="single" w:sz="8" w:space="0" w:color="BEBEBE"/>
              <w:bottom w:val="nil"/>
            </w:tcBorders>
            <w:shd w:val="clear" w:color="auto" w:fill="F8CAAC"/>
          </w:tcPr>
          <w:p>
            <w:pPr>
              <w:pStyle w:val="TableParagraph"/>
              <w:spacing w:before="24"/>
              <w:ind w:left="16"/>
              <w:jc w:val="center"/>
              <w:rPr>
                <w:sz w:val="12"/>
              </w:rPr>
            </w:pPr>
            <w:r>
              <w:rPr>
                <w:w w:val="100"/>
                <w:sz w:val="12"/>
              </w:rPr>
              <w:t>N</w:t>
            </w:r>
          </w:p>
        </w:tc>
      </w:tr>
    </w:tbl>
    <w:p>
      <w:pPr>
        <w:pStyle w:val="BodyText"/>
        <w:spacing w:before="3"/>
        <w:rPr>
          <w:sz w:val="16"/>
        </w:rPr>
      </w:pPr>
    </w:p>
    <w:p>
      <w:pPr>
        <w:tabs>
          <w:tab w:pos="7977" w:val="left" w:leader="none"/>
        </w:tabs>
        <w:spacing w:before="77"/>
        <w:ind w:left="5055" w:right="0" w:firstLine="0"/>
        <w:jc w:val="left"/>
        <w:rPr>
          <w:rFonts w:ascii="Calibri"/>
          <w:b/>
          <w:sz w:val="15"/>
        </w:rPr>
      </w:pPr>
      <w:r>
        <w:rPr/>
        <w:drawing>
          <wp:anchor distT="0" distB="0" distL="0" distR="0" allowOverlap="1" layoutInCell="1" locked="0" behindDoc="1" simplePos="0" relativeHeight="268257071">
            <wp:simplePos x="0" y="0"/>
            <wp:positionH relativeFrom="page">
              <wp:posOffset>2787010</wp:posOffset>
            </wp:positionH>
            <wp:positionV relativeFrom="paragraph">
              <wp:posOffset>-230831</wp:posOffset>
            </wp:positionV>
            <wp:extent cx="3568369" cy="310301"/>
            <wp:effectExtent l="0" t="0" r="0" b="0"/>
            <wp:wrapNone/>
            <wp:docPr id="29" name="image24.png" descr=""/>
            <wp:cNvGraphicFramePr>
              <a:graphicFrameLocks noChangeAspect="1"/>
            </wp:cNvGraphicFramePr>
            <a:graphic>
              <a:graphicData uri="http://schemas.openxmlformats.org/drawingml/2006/picture">
                <pic:pic>
                  <pic:nvPicPr>
                    <pic:cNvPr id="30" name="image24.png"/>
                    <pic:cNvPicPr/>
                  </pic:nvPicPr>
                  <pic:blipFill>
                    <a:blip r:embed="rId35" cstate="print"/>
                    <a:stretch>
                      <a:fillRect/>
                    </a:stretch>
                  </pic:blipFill>
                  <pic:spPr>
                    <a:xfrm>
                      <a:off x="0" y="0"/>
                      <a:ext cx="3568369" cy="310301"/>
                    </a:xfrm>
                    <a:prstGeom prst="rect">
                      <a:avLst/>
                    </a:prstGeom>
                  </pic:spPr>
                </pic:pic>
              </a:graphicData>
            </a:graphic>
          </wp:anchor>
        </w:drawing>
      </w:r>
      <w:r>
        <w:rPr>
          <w:rFonts w:ascii="Calibri"/>
          <w:b/>
          <w:w w:val="105"/>
          <w:sz w:val="15"/>
        </w:rPr>
        <w:t>Data om</w:t>
      </w:r>
      <w:r>
        <w:rPr>
          <w:rFonts w:ascii="Calibri"/>
          <w:b/>
          <w:spacing w:val="-5"/>
          <w:w w:val="105"/>
          <w:sz w:val="15"/>
        </w:rPr>
        <w:t> </w:t>
      </w:r>
      <w:r>
        <w:rPr>
          <w:rFonts w:ascii="Calibri"/>
          <w:b/>
          <w:w w:val="105"/>
          <w:sz w:val="15"/>
        </w:rPr>
        <w:t>energiforbrug</w:t>
        <w:tab/>
        <w:t>Forsyning</w:t>
      </w:r>
    </w:p>
    <w:p>
      <w:pPr>
        <w:spacing w:before="134"/>
        <w:ind w:left="2781" w:right="0" w:firstLine="0"/>
        <w:jc w:val="left"/>
        <w:rPr>
          <w:i/>
          <w:sz w:val="14"/>
        </w:rPr>
      </w:pPr>
      <w:bookmarkStart w:name="_bookmark49" w:id="50"/>
      <w:bookmarkEnd w:id="50"/>
      <w:r>
        <w:rPr/>
      </w:r>
      <w:r>
        <w:rPr>
          <w:i/>
          <w:sz w:val="14"/>
        </w:rPr>
        <w:t>Figur 3.4: Figuren viser hvordan måler ID’erne knytter sig til de rum eller zoner som de forsyner.</w:t>
      </w:r>
    </w:p>
    <w:p>
      <w:pPr>
        <w:pStyle w:val="BodyText"/>
        <w:spacing w:before="3"/>
        <w:rPr>
          <w:i/>
          <w:sz w:val="19"/>
        </w:rPr>
      </w:pPr>
    </w:p>
    <w:p>
      <w:pPr>
        <w:pStyle w:val="BodyText"/>
        <w:spacing w:line="278" w:lineRule="auto"/>
        <w:ind w:left="2649" w:right="1127"/>
      </w:pPr>
      <w:r>
        <w:rPr/>
        <w:t>Med afsæt i de nu sammenstillede datastrukturer vil det være muligt at danne en opgørelse over energiforbruget i specifikke rum eller zoner, som kan beriges med andre relevante oplysninger, som fx kvadratmeter eller aktivitet, for på den måde at skabe relevante nøgletal. Resultaterne kan bl.a. visualiseres i 2D i GIS eller 3D BIM, eller der kan trækkes nøgletals-visning i tabeller eller i grafer. Tilsammen danner dette et godt overblik over energiforbruget for bygningens rum.</w:t>
      </w:r>
    </w:p>
    <w:p>
      <w:pPr>
        <w:pStyle w:val="BodyText"/>
        <w:spacing w:before="1"/>
        <w:rPr>
          <w:sz w:val="21"/>
        </w:rPr>
      </w:pPr>
    </w:p>
    <w:p>
      <w:pPr>
        <w:pStyle w:val="Heading2"/>
        <w:numPr>
          <w:ilvl w:val="1"/>
          <w:numId w:val="13"/>
        </w:numPr>
        <w:tabs>
          <w:tab w:pos="2649" w:val="left" w:leader="none"/>
          <w:tab w:pos="2650" w:val="left" w:leader="none"/>
        </w:tabs>
        <w:spacing w:line="261" w:lineRule="auto" w:before="0" w:after="0"/>
        <w:ind w:left="2649" w:right="1044" w:hanging="655"/>
        <w:jc w:val="left"/>
      </w:pPr>
      <w:bookmarkStart w:name="_bookmark50" w:id="51"/>
      <w:bookmarkEnd w:id="51"/>
      <w:r>
        <w:rPr/>
        <w:t>Tvær</w:t>
      </w:r>
      <w:r>
        <w:rPr/>
        <w:t>gående udfordringer for data til energieffektivi- sering</w:t>
      </w:r>
    </w:p>
    <w:p>
      <w:pPr>
        <w:pStyle w:val="BodyText"/>
        <w:spacing w:line="278" w:lineRule="auto" w:before="11"/>
        <w:ind w:left="2649" w:right="1169"/>
      </w:pPr>
      <w:r>
        <w:rPr/>
        <w:t>Kommuner og regioner oplever i høj grad udfordringer med at indsamle og/elle- producere valide, tilpas detaljerede og opdaterede data for forbruget i deres byg- ninger. Dette kan skyldes:</w:t>
      </w:r>
    </w:p>
    <w:p>
      <w:pPr>
        <w:pStyle w:val="BodyText"/>
        <w:spacing w:before="7"/>
        <w:rPr>
          <w:sz w:val="21"/>
        </w:rPr>
      </w:pPr>
    </w:p>
    <w:p>
      <w:pPr>
        <w:pStyle w:val="ListParagraph"/>
        <w:numPr>
          <w:ilvl w:val="2"/>
          <w:numId w:val="13"/>
        </w:numPr>
        <w:tabs>
          <w:tab w:pos="3216" w:val="left" w:leader="none"/>
          <w:tab w:pos="3217" w:val="left" w:leader="none"/>
        </w:tabs>
        <w:spacing w:line="240" w:lineRule="auto" w:before="0" w:after="0"/>
        <w:ind w:left="3216" w:right="0" w:hanging="283"/>
        <w:jc w:val="left"/>
        <w:rPr>
          <w:sz w:val="17"/>
        </w:rPr>
      </w:pPr>
      <w:r>
        <w:rPr>
          <w:sz w:val="17"/>
        </w:rPr>
        <w:t>Manglende levering af forsyningsdata fra</w:t>
      </w:r>
      <w:r>
        <w:rPr>
          <w:spacing w:val="-3"/>
          <w:sz w:val="17"/>
        </w:rPr>
        <w:t> </w:t>
      </w:r>
      <w:r>
        <w:rPr>
          <w:sz w:val="17"/>
        </w:rPr>
        <w:t>forsyningsselskaberne</w:t>
      </w:r>
    </w:p>
    <w:p>
      <w:pPr>
        <w:pStyle w:val="ListParagraph"/>
        <w:numPr>
          <w:ilvl w:val="2"/>
          <w:numId w:val="13"/>
        </w:numPr>
        <w:tabs>
          <w:tab w:pos="3216" w:val="left" w:leader="none"/>
          <w:tab w:pos="3217" w:val="left" w:leader="none"/>
        </w:tabs>
        <w:spacing w:line="240" w:lineRule="auto" w:before="32" w:after="0"/>
        <w:ind w:left="3216" w:right="0" w:hanging="283"/>
        <w:jc w:val="left"/>
        <w:rPr>
          <w:sz w:val="17"/>
        </w:rPr>
      </w:pPr>
      <w:r>
        <w:rPr>
          <w:sz w:val="17"/>
        </w:rPr>
        <w:t>Manglende intern målerinfrastruktur (fx bi-målere eller</w:t>
      </w:r>
      <w:r>
        <w:rPr>
          <w:spacing w:val="-22"/>
          <w:sz w:val="17"/>
        </w:rPr>
        <w:t> </w:t>
      </w:r>
      <w:r>
        <w:rPr>
          <w:sz w:val="17"/>
        </w:rPr>
        <w:t>data-loggere)</w:t>
      </w:r>
    </w:p>
    <w:p>
      <w:pPr>
        <w:pStyle w:val="ListParagraph"/>
        <w:numPr>
          <w:ilvl w:val="2"/>
          <w:numId w:val="13"/>
        </w:numPr>
        <w:tabs>
          <w:tab w:pos="3216" w:val="left" w:leader="none"/>
          <w:tab w:pos="3217" w:val="left" w:leader="none"/>
        </w:tabs>
        <w:spacing w:line="240" w:lineRule="auto" w:before="32" w:after="0"/>
        <w:ind w:left="3216" w:right="0" w:hanging="283"/>
        <w:jc w:val="left"/>
        <w:rPr>
          <w:sz w:val="17"/>
        </w:rPr>
      </w:pPr>
      <w:r>
        <w:rPr>
          <w:sz w:val="17"/>
        </w:rPr>
        <w:t>Manglende systemer, procedurer og kompetencer ift.</w:t>
      </w:r>
      <w:r>
        <w:rPr>
          <w:spacing w:val="-15"/>
          <w:sz w:val="17"/>
        </w:rPr>
        <w:t> </w:t>
      </w:r>
      <w:r>
        <w:rPr>
          <w:sz w:val="17"/>
        </w:rPr>
        <w:t>datahåndtering</w:t>
      </w:r>
    </w:p>
    <w:p>
      <w:pPr>
        <w:spacing w:after="0" w:line="240" w:lineRule="auto"/>
        <w:jc w:val="lef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14"/>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826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ListParagraph"/>
        <w:numPr>
          <w:ilvl w:val="1"/>
          <w:numId w:val="14"/>
        </w:numPr>
        <w:tabs>
          <w:tab w:pos="3216" w:val="left" w:leader="none"/>
          <w:tab w:pos="3217" w:val="left" w:leader="none"/>
        </w:tabs>
        <w:spacing w:line="240" w:lineRule="auto" w:before="101" w:after="0"/>
        <w:ind w:left="3216" w:right="0" w:hanging="283"/>
        <w:jc w:val="left"/>
        <w:rPr>
          <w:sz w:val="17"/>
        </w:rPr>
      </w:pPr>
      <w:r>
        <w:rPr>
          <w:sz w:val="17"/>
        </w:rPr>
        <w:t>Manglende mulighed for eksport/integration af data (fx fra</w:t>
      </w:r>
      <w:r>
        <w:rPr>
          <w:spacing w:val="-10"/>
          <w:sz w:val="17"/>
        </w:rPr>
        <w:t> </w:t>
      </w:r>
      <w:r>
        <w:rPr>
          <w:sz w:val="17"/>
        </w:rPr>
        <w:t>CTS-systemer</w:t>
      </w:r>
      <w:r>
        <w:rPr>
          <w:position w:val="6"/>
          <w:sz w:val="11"/>
        </w:rPr>
        <w:t>20</w:t>
      </w:r>
      <w:r>
        <w:rPr>
          <w:sz w:val="17"/>
        </w:rPr>
        <w:t>).</w:t>
      </w:r>
    </w:p>
    <w:p>
      <w:pPr>
        <w:pStyle w:val="BodyText"/>
        <w:spacing w:before="11"/>
        <w:rPr>
          <w:sz w:val="23"/>
        </w:rPr>
      </w:pPr>
    </w:p>
    <w:p>
      <w:pPr>
        <w:pStyle w:val="BodyText"/>
        <w:spacing w:line="278" w:lineRule="auto"/>
        <w:ind w:left="2649" w:right="1021"/>
      </w:pPr>
      <w:r>
        <w:rPr/>
        <w:t>Der kan udpeges seks primære tværgående dataudfordringer (for uddybning af disse se tabellen i </w:t>
      </w:r>
      <w:hyperlink w:history="true" w:anchor="_bookmark119">
        <w:r>
          <w:rPr/>
          <w:t>”Appendix 4: </w:t>
        </w:r>
      </w:hyperlink>
      <w:hyperlink w:history="true" w:anchor="_bookmark119">
        <w:r>
          <w:rPr/>
          <w:t>Tværgående udfordringer for anvendelse af data til</w:t>
        </w:r>
      </w:hyperlink>
      <w:r>
        <w:rPr/>
        <w:t> </w:t>
      </w:r>
      <w:hyperlink w:history="true" w:anchor="_bookmark119">
        <w:r>
          <w:rPr/>
          <w:t>energieffektivisering</w:t>
        </w:r>
      </w:hyperlink>
      <w:r>
        <w:rPr/>
        <w:t>”):</w:t>
      </w:r>
    </w:p>
    <w:p>
      <w:pPr>
        <w:pStyle w:val="BodyText"/>
        <w:spacing w:before="10"/>
        <w:rPr>
          <w:sz w:val="18"/>
        </w:rPr>
      </w:pPr>
    </w:p>
    <w:p>
      <w:pPr>
        <w:pStyle w:val="ListParagraph"/>
        <w:numPr>
          <w:ilvl w:val="0"/>
          <w:numId w:val="15"/>
        </w:numPr>
        <w:tabs>
          <w:tab w:pos="3357" w:val="left" w:leader="none"/>
          <w:tab w:pos="3358" w:val="left" w:leader="none"/>
        </w:tabs>
        <w:spacing w:line="207" w:lineRule="exact" w:before="1" w:after="0"/>
        <w:ind w:left="3357" w:right="0" w:hanging="424"/>
        <w:jc w:val="left"/>
        <w:rPr>
          <w:sz w:val="17"/>
        </w:rPr>
      </w:pPr>
      <w:r>
        <w:rPr>
          <w:sz w:val="17"/>
        </w:rPr>
        <w:t>Manglende data (fx manglende</w:t>
      </w:r>
      <w:r>
        <w:rPr>
          <w:spacing w:val="-3"/>
          <w:sz w:val="17"/>
        </w:rPr>
        <w:t> </w:t>
      </w:r>
      <w:r>
        <w:rPr>
          <w:sz w:val="17"/>
        </w:rPr>
        <w:t>målerdata)</w:t>
      </w:r>
    </w:p>
    <w:p>
      <w:pPr>
        <w:pStyle w:val="ListParagraph"/>
        <w:numPr>
          <w:ilvl w:val="0"/>
          <w:numId w:val="15"/>
        </w:numPr>
        <w:tabs>
          <w:tab w:pos="3357" w:val="left" w:leader="none"/>
          <w:tab w:pos="3358" w:val="left" w:leader="none"/>
        </w:tabs>
        <w:spacing w:line="206" w:lineRule="exact" w:before="0" w:after="0"/>
        <w:ind w:left="3357" w:right="0" w:hanging="424"/>
        <w:jc w:val="left"/>
        <w:rPr>
          <w:sz w:val="17"/>
        </w:rPr>
      </w:pPr>
      <w:r>
        <w:rPr>
          <w:sz w:val="17"/>
        </w:rPr>
        <w:t>Datakvalitet (fx manglende</w:t>
      </w:r>
      <w:r>
        <w:rPr>
          <w:spacing w:val="-3"/>
          <w:sz w:val="17"/>
        </w:rPr>
        <w:t> </w:t>
      </w:r>
      <w:r>
        <w:rPr>
          <w:sz w:val="17"/>
        </w:rPr>
        <w:t>detaljeringsgrad)</w:t>
      </w:r>
    </w:p>
    <w:p>
      <w:pPr>
        <w:pStyle w:val="ListParagraph"/>
        <w:numPr>
          <w:ilvl w:val="0"/>
          <w:numId w:val="15"/>
        </w:numPr>
        <w:tabs>
          <w:tab w:pos="3357" w:val="left" w:leader="none"/>
          <w:tab w:pos="3358" w:val="left" w:leader="none"/>
        </w:tabs>
        <w:spacing w:line="206" w:lineRule="exact" w:before="0" w:after="0"/>
        <w:ind w:left="3357" w:right="0" w:hanging="424"/>
        <w:jc w:val="left"/>
        <w:rPr>
          <w:sz w:val="17"/>
        </w:rPr>
      </w:pPr>
      <w:r>
        <w:rPr>
          <w:sz w:val="17"/>
        </w:rPr>
        <w:t>Adgang til data (fx besværlig adgang til</w:t>
      </w:r>
      <w:r>
        <w:rPr>
          <w:spacing w:val="-5"/>
          <w:sz w:val="17"/>
        </w:rPr>
        <w:t> </w:t>
      </w:r>
      <w:r>
        <w:rPr>
          <w:sz w:val="17"/>
        </w:rPr>
        <w:t>forsyningsdata)</w:t>
      </w:r>
    </w:p>
    <w:p>
      <w:pPr>
        <w:pStyle w:val="ListParagraph"/>
        <w:numPr>
          <w:ilvl w:val="0"/>
          <w:numId w:val="15"/>
        </w:numPr>
        <w:tabs>
          <w:tab w:pos="3357" w:val="left" w:leader="none"/>
          <w:tab w:pos="3358" w:val="left" w:leader="none"/>
        </w:tabs>
        <w:spacing w:line="206" w:lineRule="exact" w:before="0" w:after="0"/>
        <w:ind w:left="3357" w:right="0" w:hanging="424"/>
        <w:jc w:val="left"/>
        <w:rPr>
          <w:sz w:val="17"/>
        </w:rPr>
      </w:pPr>
      <w:r>
        <w:rPr>
          <w:sz w:val="17"/>
        </w:rPr>
        <w:t>Ajourføring (fx forældede</w:t>
      </w:r>
      <w:r>
        <w:rPr>
          <w:spacing w:val="-2"/>
          <w:sz w:val="17"/>
        </w:rPr>
        <w:t> </w:t>
      </w:r>
      <w:r>
        <w:rPr>
          <w:sz w:val="17"/>
        </w:rPr>
        <w:t>bygningsdata)</w:t>
      </w:r>
    </w:p>
    <w:p>
      <w:pPr>
        <w:pStyle w:val="ListParagraph"/>
        <w:numPr>
          <w:ilvl w:val="0"/>
          <w:numId w:val="15"/>
        </w:numPr>
        <w:tabs>
          <w:tab w:pos="3357" w:val="left" w:leader="none"/>
          <w:tab w:pos="3358" w:val="left" w:leader="none"/>
        </w:tabs>
        <w:spacing w:line="206" w:lineRule="exact" w:before="0" w:after="0"/>
        <w:ind w:left="3357" w:right="0" w:hanging="424"/>
        <w:jc w:val="left"/>
        <w:rPr>
          <w:sz w:val="17"/>
        </w:rPr>
      </w:pPr>
      <w:r>
        <w:rPr>
          <w:sz w:val="17"/>
        </w:rPr>
        <w:t>Indsamling og samkørsel af data (fx på tværs af</w:t>
      </w:r>
      <w:r>
        <w:rPr>
          <w:spacing w:val="-13"/>
          <w:sz w:val="17"/>
        </w:rPr>
        <w:t> </w:t>
      </w:r>
      <w:r>
        <w:rPr>
          <w:sz w:val="17"/>
        </w:rPr>
        <w:t>forvaltninger)</w:t>
      </w:r>
    </w:p>
    <w:p>
      <w:pPr>
        <w:pStyle w:val="ListParagraph"/>
        <w:numPr>
          <w:ilvl w:val="0"/>
          <w:numId w:val="15"/>
        </w:numPr>
        <w:tabs>
          <w:tab w:pos="3357" w:val="left" w:leader="none"/>
          <w:tab w:pos="3358" w:val="left" w:leader="none"/>
        </w:tabs>
        <w:spacing w:line="240" w:lineRule="auto" w:before="0" w:after="0"/>
        <w:ind w:left="3357" w:right="0" w:hanging="424"/>
        <w:jc w:val="left"/>
        <w:rPr>
          <w:sz w:val="17"/>
        </w:rPr>
      </w:pPr>
      <w:r>
        <w:rPr>
          <w:sz w:val="17"/>
        </w:rPr>
        <w:t>Datakompetencer (fx fagligt og</w:t>
      </w:r>
      <w:r>
        <w:rPr>
          <w:spacing w:val="-3"/>
          <w:sz w:val="17"/>
        </w:rPr>
        <w:t> </w:t>
      </w:r>
      <w:r>
        <w:rPr>
          <w:sz w:val="17"/>
        </w:rPr>
        <w:t>organisatorisk)</w:t>
      </w:r>
    </w:p>
    <w:p>
      <w:pPr>
        <w:pStyle w:val="BodyText"/>
        <w:spacing w:before="1"/>
        <w:rPr>
          <w:sz w:val="24"/>
        </w:rPr>
      </w:pPr>
    </w:p>
    <w:p>
      <w:pPr>
        <w:pStyle w:val="BodyText"/>
        <w:spacing w:line="278" w:lineRule="auto"/>
        <w:ind w:left="2649" w:right="1023"/>
      </w:pPr>
      <w:r>
        <w:rPr/>
        <w:t>Omfanget og betydningen af disse udfordringer afhænger af bygningstyperne. Ofte er dataudfordringen større, jo større og mere kompleks bygningen er i anvendelse, da en optimal energieffektivisering stiller større krav til data og kvalitet. Eksempel- vis er der stor forskel på databehovet og dataudfordringerne i en daginstitution og på et større hospital. På et hospital med mange afdelinger og et stort samlet ener- giforbrug, er der et reelt behov for at kunne optimere driften, og her er opsætning og implementering af en målerinfrastruktur til individuel måling og styring af ener- giforbruget et vigtigt redskab til at opnå energibesparelser. For en mindre dagin- stitution er der ofte ikke et reelt behov for egen målerinfrastruktur, og derfor vil der ikke i samme grad opleves dataudfordringer. Denne sammenhæng er dog ikke entydig, da komplekse, energitunge bygninger ofte vil have tilknyttet flere faglige ressourcer på energi- og dataområdet, som vil være bedre i stand til at over- komme dataudfordringerne.</w:t>
      </w:r>
    </w:p>
    <w:p>
      <w:pPr>
        <w:pStyle w:val="BodyText"/>
        <w:rPr>
          <w:sz w:val="22"/>
        </w:rPr>
      </w:pPr>
    </w:p>
    <w:p>
      <w:pPr>
        <w:pStyle w:val="Heading3"/>
        <w:numPr>
          <w:ilvl w:val="2"/>
          <w:numId w:val="16"/>
        </w:numPr>
        <w:tabs>
          <w:tab w:pos="2649" w:val="left" w:leader="none"/>
          <w:tab w:pos="2650" w:val="left" w:leader="none"/>
        </w:tabs>
        <w:spacing w:line="240" w:lineRule="auto" w:before="0" w:after="0"/>
        <w:ind w:left="2649" w:right="0" w:hanging="799"/>
        <w:jc w:val="left"/>
      </w:pPr>
      <w:bookmarkStart w:name="_bookmark51" w:id="52"/>
      <w:bookmarkEnd w:id="52"/>
      <w:r>
        <w:rPr/>
        <w:t>Økonom</w:t>
      </w:r>
      <w:r>
        <w:rPr/>
        <w:t>iske rammevilkår for</w:t>
      </w:r>
      <w:r>
        <w:rPr>
          <w:spacing w:val="2"/>
        </w:rPr>
        <w:t> </w:t>
      </w:r>
      <w:r>
        <w:rPr/>
        <w:t>data</w:t>
      </w:r>
    </w:p>
    <w:p>
      <w:pPr>
        <w:pStyle w:val="BodyText"/>
        <w:spacing w:line="278" w:lineRule="auto" w:before="34"/>
        <w:ind w:left="2649" w:right="1019"/>
      </w:pPr>
      <w:r>
        <w:rPr/>
        <w:t>En bagvedliggende udfordring for at kunne udnytte og skabe værdi af data er de økonomiske rammevilkår. Det kræver økonomiske ressourcer, at etablere de tek- niske og kompetencemæssige rammer, der skal til for at omsætte data til konkrete energibesparelser. Særligt er der behov for at investere i målerinfrastruktur, fx in- stallation af bi-målere og dataloggere for de enkelte zoner, lette adgangen til data fra forsyningsselskaberne og løfte datakompetencerne i de kommunale og regio- nale ejendomsorganisationer. De økonomiske udfordringer drejer sig både om:</w:t>
      </w:r>
    </w:p>
    <w:p>
      <w:pPr>
        <w:pStyle w:val="BodyText"/>
        <w:spacing w:before="9"/>
        <w:rPr>
          <w:sz w:val="21"/>
        </w:rPr>
      </w:pPr>
    </w:p>
    <w:p>
      <w:pPr>
        <w:pStyle w:val="ListParagraph"/>
        <w:numPr>
          <w:ilvl w:val="3"/>
          <w:numId w:val="16"/>
        </w:numPr>
        <w:tabs>
          <w:tab w:pos="2932" w:val="left" w:leader="none"/>
          <w:tab w:pos="2933" w:val="left" w:leader="none"/>
        </w:tabs>
        <w:spacing w:line="240" w:lineRule="auto" w:before="0" w:after="0"/>
        <w:ind w:left="2933" w:right="0" w:hanging="284"/>
        <w:jc w:val="left"/>
        <w:rPr>
          <w:sz w:val="17"/>
        </w:rPr>
      </w:pPr>
      <w:r>
        <w:rPr>
          <w:i/>
          <w:sz w:val="17"/>
        </w:rPr>
        <w:t>Likviditet </w:t>
      </w:r>
      <w:r>
        <w:rPr>
          <w:sz w:val="17"/>
        </w:rPr>
        <w:t>– er der midler til at foretage de nødvendige</w:t>
      </w:r>
      <w:r>
        <w:rPr>
          <w:spacing w:val="-10"/>
          <w:sz w:val="17"/>
        </w:rPr>
        <w:t> </w:t>
      </w:r>
      <w:r>
        <w:rPr>
          <w:sz w:val="17"/>
        </w:rPr>
        <w:t>investeringer?</w:t>
      </w:r>
    </w:p>
    <w:p>
      <w:pPr>
        <w:pStyle w:val="ListParagraph"/>
        <w:numPr>
          <w:ilvl w:val="3"/>
          <w:numId w:val="16"/>
        </w:numPr>
        <w:tabs>
          <w:tab w:pos="2933" w:val="left" w:leader="none"/>
        </w:tabs>
        <w:spacing w:line="278" w:lineRule="auto" w:before="32" w:after="0"/>
        <w:ind w:left="2933" w:right="1040" w:hanging="284"/>
        <w:jc w:val="both"/>
        <w:rPr>
          <w:sz w:val="17"/>
        </w:rPr>
      </w:pPr>
      <w:r>
        <w:rPr>
          <w:i/>
          <w:sz w:val="17"/>
        </w:rPr>
        <w:t>Budgetpraksis </w:t>
      </w:r>
      <w:r>
        <w:rPr>
          <w:sz w:val="17"/>
        </w:rPr>
        <w:t>– ubrugte driftsmidler kan ofte ikke overføres fra år til år, hvilket gør det vanskeligt at spare op til udskiftning af forældede ventilations- og CTS- anlæg.</w:t>
      </w:r>
    </w:p>
    <w:p>
      <w:pPr>
        <w:pStyle w:val="ListParagraph"/>
        <w:numPr>
          <w:ilvl w:val="3"/>
          <w:numId w:val="16"/>
        </w:numPr>
        <w:tabs>
          <w:tab w:pos="2932" w:val="left" w:leader="none"/>
          <w:tab w:pos="2933" w:val="left" w:leader="none"/>
        </w:tabs>
        <w:spacing w:line="276" w:lineRule="auto" w:before="0" w:after="0"/>
        <w:ind w:left="2933" w:right="1151" w:hanging="284"/>
        <w:jc w:val="left"/>
        <w:rPr>
          <w:sz w:val="17"/>
        </w:rPr>
      </w:pPr>
      <w:r>
        <w:rPr>
          <w:i/>
          <w:sz w:val="17"/>
        </w:rPr>
        <w:t>Usikkerhed om værdien af data </w:t>
      </w:r>
      <w:r>
        <w:rPr>
          <w:sz w:val="17"/>
        </w:rPr>
        <w:t>– kan forbedret målerinfrastruktur give garan- terede energibesparelser, som nye vinduer fx</w:t>
      </w:r>
      <w:r>
        <w:rPr>
          <w:spacing w:val="-4"/>
          <w:sz w:val="17"/>
        </w:rPr>
        <w:t> </w:t>
      </w:r>
      <w:r>
        <w:rPr>
          <w:sz w:val="17"/>
        </w:rPr>
        <w:t>kan?</w:t>
      </w:r>
    </w:p>
    <w:p>
      <w:pPr>
        <w:pStyle w:val="BodyText"/>
        <w:spacing w:before="6"/>
        <w:rPr>
          <w:sz w:val="21"/>
        </w:rPr>
      </w:pPr>
    </w:p>
    <w:p>
      <w:pPr>
        <w:pStyle w:val="BodyText"/>
        <w:spacing w:line="278" w:lineRule="auto"/>
        <w:ind w:left="2649" w:right="1046"/>
      </w:pPr>
      <w:r>
        <w:rPr/>
        <w:t>Tilsammen betyder det, at selvom ejendomsorganisationerne har en stigende er- kendelse af, at data er investeringen værd, oplever mange, at det er svært at få prioriteret data-investeringer. Dette forhold forstærkes af, at værdien af data ofte først realiseres på længere sigt, når der er opbygget de kompetencer og systemer, det kræver at omsætte data til konkrete energibesparelser.</w:t>
      </w:r>
    </w:p>
    <w:p>
      <w:pPr>
        <w:pStyle w:val="BodyText"/>
        <w:spacing w:before="9"/>
        <w:rPr>
          <w:sz w:val="21"/>
        </w:rPr>
      </w:pPr>
    </w:p>
    <w:p>
      <w:pPr>
        <w:pStyle w:val="Heading3"/>
        <w:numPr>
          <w:ilvl w:val="2"/>
          <w:numId w:val="16"/>
        </w:numPr>
        <w:tabs>
          <w:tab w:pos="2649" w:val="left" w:leader="none"/>
          <w:tab w:pos="2650" w:val="left" w:leader="none"/>
        </w:tabs>
        <w:spacing w:line="240" w:lineRule="auto" w:before="0" w:after="0"/>
        <w:ind w:left="2649" w:right="0" w:hanging="799"/>
        <w:jc w:val="left"/>
      </w:pPr>
      <w:bookmarkStart w:name="_bookmark52" w:id="53"/>
      <w:bookmarkEnd w:id="53"/>
      <w:r>
        <w:rPr/>
        <w:t>A</w:t>
      </w:r>
      <w:r>
        <w:rPr/>
        <w:t>nvendelsespotentialet for stedbestemte</w:t>
      </w:r>
      <w:r>
        <w:rPr>
          <w:spacing w:val="-5"/>
        </w:rPr>
        <w:t> </w:t>
      </w:r>
      <w:r>
        <w:rPr/>
        <w:t>energidata</w:t>
      </w:r>
    </w:p>
    <w:p>
      <w:pPr>
        <w:pStyle w:val="BodyText"/>
        <w:spacing w:line="278" w:lineRule="auto" w:before="35"/>
        <w:ind w:left="2649" w:right="1038"/>
      </w:pPr>
      <w:r>
        <w:rPr/>
        <w:pict>
          <v:line style="position:absolute;mso-position-horizontal-relative:page;mso-position-vertical-relative:paragraph;z-index:2336;mso-wrap-distance-left:0;mso-wrap-distance-right:0" from="181.490005pt,31.175669pt" to="325.510005pt,31.175669pt" stroked="true" strokeweight=".47998pt" strokecolor="#000000">
            <v:stroke dashstyle="solid"/>
            <w10:wrap type="topAndBottom"/>
          </v:line>
        </w:pict>
      </w:r>
      <w:r>
        <w:rPr/>
        <w:t>Særegne forhold for visse typer af energidata og installationer er vigtige at holde sig for øje, når stedbestemte energidata skal fortolkes. Anvendelsespotentialet for</w:t>
      </w:r>
    </w:p>
    <w:p>
      <w:pPr>
        <w:pStyle w:val="BodyText"/>
        <w:spacing w:before="4"/>
      </w:pPr>
    </w:p>
    <w:p>
      <w:pPr>
        <w:spacing w:before="101"/>
        <w:ind w:left="2649" w:right="1032" w:firstLine="0"/>
        <w:jc w:val="left"/>
        <w:rPr>
          <w:sz w:val="15"/>
        </w:rPr>
      </w:pPr>
      <w:r>
        <w:rPr>
          <w:position w:val="5"/>
          <w:sz w:val="10"/>
        </w:rPr>
        <w:t>20 </w:t>
      </w:r>
      <w:r>
        <w:rPr>
          <w:sz w:val="15"/>
        </w:rPr>
        <w:t>Mange af de relevante data vil typisk blive samlet i et CTS anlæg (Central Tilstandskontrol og Styring) som er en form for bygningsautomatik-system, der bruges til at registrere, over- </w:t>
      </w:r>
      <w:r>
        <w:rPr>
          <w:position w:val="1"/>
          <w:sz w:val="15"/>
        </w:rPr>
        <w:t>våge og styre indeklimaet, herunder fx lys, CO</w:t>
      </w:r>
      <w:r>
        <w:rPr>
          <w:sz w:val="10"/>
        </w:rPr>
        <w:t>2</w:t>
      </w:r>
      <w:r>
        <w:rPr>
          <w:position w:val="1"/>
          <w:sz w:val="15"/>
        </w:rPr>
        <w:t>, temperatur og energiforbrug, på baggrund af </w:t>
      </w:r>
      <w:r>
        <w:rPr>
          <w:sz w:val="15"/>
        </w:rPr>
        <w:t>data fra en række målepunkter og sensorer.</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816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27"/>
        <w:jc w:val="both"/>
      </w:pPr>
      <w:r>
        <w:rPr/>
        <w:t>en</w:t>
      </w:r>
      <w:r>
        <w:rPr>
          <w:spacing w:val="-7"/>
        </w:rPr>
        <w:t> </w:t>
      </w:r>
      <w:r>
        <w:rPr/>
        <w:t>indendørs</w:t>
      </w:r>
      <w:r>
        <w:rPr>
          <w:spacing w:val="-6"/>
        </w:rPr>
        <w:t> </w:t>
      </w:r>
      <w:r>
        <w:rPr/>
        <w:t>steddatabase</w:t>
      </w:r>
      <w:r>
        <w:rPr>
          <w:spacing w:val="-9"/>
        </w:rPr>
        <w:t> </w:t>
      </w:r>
      <w:r>
        <w:rPr/>
        <w:t>i</w:t>
      </w:r>
      <w:r>
        <w:rPr>
          <w:spacing w:val="-11"/>
        </w:rPr>
        <w:t> </w:t>
      </w:r>
      <w:r>
        <w:rPr/>
        <w:t>kombination</w:t>
      </w:r>
      <w:r>
        <w:rPr>
          <w:spacing w:val="-6"/>
        </w:rPr>
        <w:t> </w:t>
      </w:r>
      <w:r>
        <w:rPr/>
        <w:t>med</w:t>
      </w:r>
      <w:r>
        <w:rPr>
          <w:spacing w:val="-7"/>
        </w:rPr>
        <w:t> </w:t>
      </w:r>
      <w:r>
        <w:rPr/>
        <w:t>energidata</w:t>
      </w:r>
      <w:r>
        <w:rPr>
          <w:spacing w:val="-8"/>
        </w:rPr>
        <w:t> </w:t>
      </w:r>
      <w:r>
        <w:rPr/>
        <w:t>for</w:t>
      </w:r>
      <w:r>
        <w:rPr>
          <w:spacing w:val="-8"/>
        </w:rPr>
        <w:t> </w:t>
      </w:r>
      <w:r>
        <w:rPr/>
        <w:t>bygninger</w:t>
      </w:r>
      <w:r>
        <w:rPr>
          <w:spacing w:val="-7"/>
        </w:rPr>
        <w:t> </w:t>
      </w:r>
      <w:r>
        <w:rPr/>
        <w:t>vil</w:t>
      </w:r>
      <w:r>
        <w:rPr>
          <w:spacing w:val="-7"/>
        </w:rPr>
        <w:t> </w:t>
      </w:r>
      <w:r>
        <w:rPr/>
        <w:t>afhænge af hvilke typer af data, der er tale om. Hvor fx elforbrug til belysning, vandforbrug og temperaturmålinger kan henføres til rummene, hvori måleren er installeret (fx via</w:t>
      </w:r>
      <w:r>
        <w:rPr>
          <w:spacing w:val="-6"/>
        </w:rPr>
        <w:t> </w:t>
      </w:r>
      <w:r>
        <w:rPr/>
        <w:t>opsætning</w:t>
      </w:r>
      <w:r>
        <w:rPr>
          <w:spacing w:val="-6"/>
        </w:rPr>
        <w:t> </w:t>
      </w:r>
      <w:r>
        <w:rPr/>
        <w:t>af</w:t>
      </w:r>
      <w:r>
        <w:rPr>
          <w:spacing w:val="-6"/>
        </w:rPr>
        <w:t> </w:t>
      </w:r>
      <w:r>
        <w:rPr/>
        <w:t>bi-målere),</w:t>
      </w:r>
      <w:r>
        <w:rPr>
          <w:spacing w:val="-6"/>
        </w:rPr>
        <w:t> </w:t>
      </w:r>
      <w:r>
        <w:rPr/>
        <w:t>forholder</w:t>
      </w:r>
      <w:r>
        <w:rPr>
          <w:spacing w:val="-7"/>
        </w:rPr>
        <w:t> </w:t>
      </w:r>
      <w:r>
        <w:rPr/>
        <w:t>det</w:t>
      </w:r>
      <w:r>
        <w:rPr>
          <w:spacing w:val="-7"/>
        </w:rPr>
        <w:t> </w:t>
      </w:r>
      <w:r>
        <w:rPr/>
        <w:t>sig</w:t>
      </w:r>
      <w:r>
        <w:rPr>
          <w:spacing w:val="-7"/>
        </w:rPr>
        <w:t> </w:t>
      </w:r>
      <w:r>
        <w:rPr/>
        <w:t>anderledes</w:t>
      </w:r>
      <w:r>
        <w:rPr>
          <w:spacing w:val="-4"/>
        </w:rPr>
        <w:t> </w:t>
      </w:r>
      <w:r>
        <w:rPr/>
        <w:t>med</w:t>
      </w:r>
      <w:r>
        <w:rPr>
          <w:spacing w:val="-7"/>
        </w:rPr>
        <w:t> </w:t>
      </w:r>
      <w:r>
        <w:rPr/>
        <w:t>data</w:t>
      </w:r>
      <w:r>
        <w:rPr>
          <w:spacing w:val="-5"/>
        </w:rPr>
        <w:t> </w:t>
      </w:r>
      <w:r>
        <w:rPr/>
        <w:t>for</w:t>
      </w:r>
      <w:r>
        <w:rPr>
          <w:spacing w:val="-7"/>
        </w:rPr>
        <w:t> </w:t>
      </w:r>
      <w:r>
        <w:rPr/>
        <w:t>fx</w:t>
      </w:r>
      <w:r>
        <w:rPr>
          <w:spacing w:val="-9"/>
        </w:rPr>
        <w:t> </w:t>
      </w:r>
      <w:r>
        <w:rPr/>
        <w:t>varmefor- brug og</w:t>
      </w:r>
      <w:r>
        <w:rPr>
          <w:spacing w:val="-2"/>
        </w:rPr>
        <w:t> </w:t>
      </w:r>
      <w:r>
        <w:rPr/>
        <w:t>ventilation.</w:t>
      </w:r>
    </w:p>
    <w:p>
      <w:pPr>
        <w:pStyle w:val="BodyText"/>
        <w:spacing w:before="5"/>
        <w:rPr>
          <w:sz w:val="21"/>
        </w:rPr>
      </w:pPr>
    </w:p>
    <w:p>
      <w:pPr>
        <w:pStyle w:val="BodyText"/>
        <w:spacing w:line="278" w:lineRule="auto" w:before="1"/>
        <w:ind w:left="2649" w:right="1026"/>
        <w:jc w:val="both"/>
      </w:pPr>
      <w:r>
        <w:rPr/>
        <w:t>For sidstnævnte tilfælde vil det ikke nødvendigvis give mening at tilknytte energi- forbrugsoplysninger til det enkelte rum, da varme og/eller ventilation ofte forsyner flere rum. Det vil derimod ofte give bedre mening at definere en klynge af rum, fx zoner eller fløje, som varme- eller indeklimaanlægget betjener. I mange tilfælde definerer klynger af rum dog ikke en forsyningszone, dvs. et område i bygningen som forsynes eller betjenes med en eller flere forskellige energiarter, fx el-</w:t>
      </w:r>
      <w:r>
        <w:rPr>
          <w:spacing w:val="-36"/>
        </w:rPr>
        <w:t> </w:t>
      </w:r>
      <w:r>
        <w:rPr/>
        <w:t>og/eller fjernvarme.</w:t>
      </w:r>
      <w:r>
        <w:rPr>
          <w:spacing w:val="-15"/>
        </w:rPr>
        <w:t> </w:t>
      </w:r>
      <w:r>
        <w:rPr/>
        <w:t>Forsyningszonerne</w:t>
      </w:r>
      <w:r>
        <w:rPr>
          <w:spacing w:val="-15"/>
        </w:rPr>
        <w:t> </w:t>
      </w:r>
      <w:r>
        <w:rPr/>
        <w:t>er</w:t>
      </w:r>
      <w:r>
        <w:rPr>
          <w:spacing w:val="-16"/>
        </w:rPr>
        <w:t> </w:t>
      </w:r>
      <w:r>
        <w:rPr/>
        <w:t>derimod</w:t>
      </w:r>
      <w:r>
        <w:rPr>
          <w:spacing w:val="-13"/>
        </w:rPr>
        <w:t> </w:t>
      </w:r>
      <w:r>
        <w:rPr/>
        <w:t>defineret</w:t>
      </w:r>
      <w:r>
        <w:rPr>
          <w:spacing w:val="-16"/>
        </w:rPr>
        <w:t> </w:t>
      </w:r>
      <w:r>
        <w:rPr/>
        <w:t>efter,</w:t>
      </w:r>
      <w:r>
        <w:rPr>
          <w:spacing w:val="-15"/>
        </w:rPr>
        <w:t> </w:t>
      </w:r>
      <w:r>
        <w:rPr/>
        <w:t>hvad</w:t>
      </w:r>
      <w:r>
        <w:rPr>
          <w:spacing w:val="-15"/>
        </w:rPr>
        <w:t> </w:t>
      </w:r>
      <w:r>
        <w:rPr/>
        <w:t>der</w:t>
      </w:r>
      <w:r>
        <w:rPr>
          <w:spacing w:val="-16"/>
        </w:rPr>
        <w:t> </w:t>
      </w:r>
      <w:r>
        <w:rPr/>
        <w:t>ud</w:t>
      </w:r>
      <w:r>
        <w:rPr>
          <w:spacing w:val="-15"/>
        </w:rPr>
        <w:t> </w:t>
      </w:r>
      <w:r>
        <w:rPr/>
        <w:t>fra</w:t>
      </w:r>
      <w:r>
        <w:rPr>
          <w:spacing w:val="-11"/>
        </w:rPr>
        <w:t> </w:t>
      </w:r>
      <w:r>
        <w:rPr/>
        <w:t>et</w:t>
      </w:r>
      <w:r>
        <w:rPr>
          <w:spacing w:val="-16"/>
        </w:rPr>
        <w:t> </w:t>
      </w:r>
      <w:r>
        <w:rPr/>
        <w:t>teknisk og/eller installationsmæssigt synspunkt giver bedst mening. De vil således, ikke</w:t>
      </w:r>
      <w:r>
        <w:rPr>
          <w:spacing w:val="-40"/>
        </w:rPr>
        <w:t> </w:t>
      </w:r>
      <w:r>
        <w:rPr/>
        <w:t>al- tid kunne defineres ud fra de fysiske rum eller grupperinger af rum i bygningen. Derfor</w:t>
      </w:r>
      <w:r>
        <w:rPr>
          <w:spacing w:val="-10"/>
        </w:rPr>
        <w:t> </w:t>
      </w:r>
      <w:r>
        <w:rPr/>
        <w:t>er</w:t>
      </w:r>
      <w:r>
        <w:rPr>
          <w:spacing w:val="-10"/>
        </w:rPr>
        <w:t> </w:t>
      </w:r>
      <w:r>
        <w:rPr/>
        <w:t>det</w:t>
      </w:r>
      <w:r>
        <w:rPr>
          <w:spacing w:val="-9"/>
        </w:rPr>
        <w:t> </w:t>
      </w:r>
      <w:r>
        <w:rPr/>
        <w:t>vigtigt</w:t>
      </w:r>
      <w:r>
        <w:rPr>
          <w:spacing w:val="-9"/>
        </w:rPr>
        <w:t> </w:t>
      </w:r>
      <w:r>
        <w:rPr/>
        <w:t>at</w:t>
      </w:r>
      <w:r>
        <w:rPr>
          <w:spacing w:val="-9"/>
        </w:rPr>
        <w:t> </w:t>
      </w:r>
      <w:r>
        <w:rPr/>
        <w:t>skelne</w:t>
      </w:r>
      <w:r>
        <w:rPr>
          <w:spacing w:val="-10"/>
        </w:rPr>
        <w:t> </w:t>
      </w:r>
      <w:r>
        <w:rPr/>
        <w:t>mellem</w:t>
      </w:r>
      <w:r>
        <w:rPr>
          <w:spacing w:val="-8"/>
        </w:rPr>
        <w:t> </w:t>
      </w:r>
      <w:r>
        <w:rPr/>
        <w:t>forskellige</w:t>
      </w:r>
      <w:r>
        <w:rPr>
          <w:spacing w:val="-10"/>
        </w:rPr>
        <w:t> </w:t>
      </w:r>
      <w:r>
        <w:rPr/>
        <w:t>typer</w:t>
      </w:r>
      <w:r>
        <w:rPr>
          <w:spacing w:val="-10"/>
        </w:rPr>
        <w:t> </w:t>
      </w:r>
      <w:r>
        <w:rPr/>
        <w:t>af</w:t>
      </w:r>
      <w:r>
        <w:rPr>
          <w:spacing w:val="-9"/>
        </w:rPr>
        <w:t> </w:t>
      </w:r>
      <w:r>
        <w:rPr/>
        <w:t>zoneringer:</w:t>
      </w:r>
      <w:r>
        <w:rPr>
          <w:spacing w:val="-10"/>
        </w:rPr>
        <w:t> </w:t>
      </w:r>
      <w:r>
        <w:rPr/>
        <w:t>Zone-områder dvs.</w:t>
      </w:r>
      <w:r>
        <w:rPr>
          <w:spacing w:val="-7"/>
        </w:rPr>
        <w:t> </w:t>
      </w:r>
      <w:r>
        <w:rPr/>
        <w:t>ét</w:t>
      </w:r>
      <w:r>
        <w:rPr>
          <w:spacing w:val="-7"/>
        </w:rPr>
        <w:t> </w:t>
      </w:r>
      <w:r>
        <w:rPr/>
        <w:t>eller</w:t>
      </w:r>
      <w:r>
        <w:rPr>
          <w:spacing w:val="-7"/>
        </w:rPr>
        <w:t> </w:t>
      </w:r>
      <w:r>
        <w:rPr/>
        <w:t>flere</w:t>
      </w:r>
      <w:r>
        <w:rPr>
          <w:spacing w:val="-8"/>
        </w:rPr>
        <w:t> </w:t>
      </w:r>
      <w:r>
        <w:rPr/>
        <w:t>rum,</w:t>
      </w:r>
      <w:r>
        <w:rPr>
          <w:spacing w:val="-6"/>
        </w:rPr>
        <w:t> </w:t>
      </w:r>
      <w:r>
        <w:rPr/>
        <w:t>som</w:t>
      </w:r>
      <w:r>
        <w:rPr>
          <w:spacing w:val="-7"/>
        </w:rPr>
        <w:t> </w:t>
      </w:r>
      <w:r>
        <w:rPr/>
        <w:t>tilsammen</w:t>
      </w:r>
      <w:r>
        <w:rPr>
          <w:spacing w:val="-6"/>
        </w:rPr>
        <w:t> </w:t>
      </w:r>
      <w:r>
        <w:rPr/>
        <w:t>definerer</w:t>
      </w:r>
      <w:r>
        <w:rPr>
          <w:spacing w:val="-8"/>
        </w:rPr>
        <w:t> </w:t>
      </w:r>
      <w:r>
        <w:rPr/>
        <w:t>en</w:t>
      </w:r>
      <w:r>
        <w:rPr>
          <w:spacing w:val="-7"/>
        </w:rPr>
        <w:t> </w:t>
      </w:r>
      <w:r>
        <w:rPr/>
        <w:t>zone</w:t>
      </w:r>
      <w:r>
        <w:rPr>
          <w:spacing w:val="-5"/>
        </w:rPr>
        <w:t> </w:t>
      </w:r>
      <w:r>
        <w:rPr/>
        <w:t>eller</w:t>
      </w:r>
      <w:r>
        <w:rPr>
          <w:spacing w:val="-8"/>
        </w:rPr>
        <w:t> </w:t>
      </w:r>
      <w:r>
        <w:rPr/>
        <w:t>Forsyningszoner,</w:t>
      </w:r>
      <w:r>
        <w:rPr>
          <w:spacing w:val="-6"/>
        </w:rPr>
        <w:t> </w:t>
      </w:r>
      <w:r>
        <w:rPr/>
        <w:t>dvs. et område (ofte flere rum eller andele af rum) i bygningen som er forsynet med energi, og som ikke nødvendigvis udgør hele rummet. Inddeling af forsyningszoner eller</w:t>
      </w:r>
      <w:r>
        <w:rPr>
          <w:spacing w:val="-12"/>
        </w:rPr>
        <w:t> </w:t>
      </w:r>
      <w:r>
        <w:rPr/>
        <w:t>områder</w:t>
      </w:r>
      <w:r>
        <w:rPr>
          <w:spacing w:val="-12"/>
        </w:rPr>
        <w:t> </w:t>
      </w:r>
      <w:r>
        <w:rPr/>
        <w:t>defineres</w:t>
      </w:r>
      <w:r>
        <w:rPr>
          <w:spacing w:val="-10"/>
        </w:rPr>
        <w:t> </w:t>
      </w:r>
      <w:r>
        <w:rPr/>
        <w:t>af</w:t>
      </w:r>
      <w:r>
        <w:rPr>
          <w:spacing w:val="-12"/>
        </w:rPr>
        <w:t> </w:t>
      </w:r>
      <w:r>
        <w:rPr/>
        <w:t>administratoren</w:t>
      </w:r>
      <w:r>
        <w:rPr>
          <w:spacing w:val="-12"/>
        </w:rPr>
        <w:t> </w:t>
      </w:r>
      <w:r>
        <w:rPr/>
        <w:t>af</w:t>
      </w:r>
      <w:r>
        <w:rPr>
          <w:spacing w:val="-12"/>
        </w:rPr>
        <w:t> </w:t>
      </w:r>
      <w:r>
        <w:rPr/>
        <w:t>bygningen.</w:t>
      </w:r>
      <w:r>
        <w:rPr>
          <w:spacing w:val="-9"/>
        </w:rPr>
        <w:t> </w:t>
      </w:r>
      <w:r>
        <w:rPr/>
        <w:t>Inddelingen</w:t>
      </w:r>
      <w:r>
        <w:rPr>
          <w:spacing w:val="-12"/>
        </w:rPr>
        <w:t> </w:t>
      </w:r>
      <w:r>
        <w:rPr/>
        <w:t>bør</w:t>
      </w:r>
      <w:r>
        <w:rPr>
          <w:spacing w:val="-12"/>
        </w:rPr>
        <w:t> </w:t>
      </w:r>
      <w:r>
        <w:rPr/>
        <w:t>skrædder- syes</w:t>
      </w:r>
      <w:r>
        <w:rPr>
          <w:spacing w:val="-7"/>
        </w:rPr>
        <w:t> </w:t>
      </w:r>
      <w:r>
        <w:rPr/>
        <w:t>efter</w:t>
      </w:r>
      <w:r>
        <w:rPr>
          <w:spacing w:val="-7"/>
        </w:rPr>
        <w:t> </w:t>
      </w:r>
      <w:r>
        <w:rPr/>
        <w:t>de</w:t>
      </w:r>
      <w:r>
        <w:rPr>
          <w:spacing w:val="-4"/>
        </w:rPr>
        <w:t> </w:t>
      </w:r>
      <w:r>
        <w:rPr/>
        <w:t>zoner,</w:t>
      </w:r>
      <w:r>
        <w:rPr>
          <w:spacing w:val="-6"/>
        </w:rPr>
        <w:t> </w:t>
      </w:r>
      <w:r>
        <w:rPr/>
        <w:t>rum,</w:t>
      </w:r>
      <w:r>
        <w:rPr>
          <w:spacing w:val="-7"/>
        </w:rPr>
        <w:t> </w:t>
      </w:r>
      <w:r>
        <w:rPr/>
        <w:t>fløje</w:t>
      </w:r>
      <w:r>
        <w:rPr>
          <w:spacing w:val="-7"/>
        </w:rPr>
        <w:t> </w:t>
      </w:r>
      <w:r>
        <w:rPr/>
        <w:t>eller</w:t>
      </w:r>
      <w:r>
        <w:rPr>
          <w:spacing w:val="-4"/>
        </w:rPr>
        <w:t> </w:t>
      </w:r>
      <w:r>
        <w:rPr/>
        <w:t>områder</w:t>
      </w:r>
      <w:r>
        <w:rPr>
          <w:spacing w:val="-4"/>
        </w:rPr>
        <w:t> </w:t>
      </w:r>
      <w:r>
        <w:rPr/>
        <w:t>i</w:t>
      </w:r>
      <w:r>
        <w:rPr>
          <w:spacing w:val="-8"/>
        </w:rPr>
        <w:t> </w:t>
      </w:r>
      <w:r>
        <w:rPr/>
        <w:t>bygningen</w:t>
      </w:r>
      <w:r>
        <w:rPr>
          <w:spacing w:val="-4"/>
        </w:rPr>
        <w:t> </w:t>
      </w:r>
      <w:r>
        <w:rPr/>
        <w:t>som</w:t>
      </w:r>
      <w:r>
        <w:rPr>
          <w:spacing w:val="-6"/>
        </w:rPr>
        <w:t> </w:t>
      </w:r>
      <w:r>
        <w:rPr/>
        <w:t>trækker</w:t>
      </w:r>
      <w:r>
        <w:rPr>
          <w:spacing w:val="-7"/>
        </w:rPr>
        <w:t> </w:t>
      </w:r>
      <w:r>
        <w:rPr/>
        <w:t>på</w:t>
      </w:r>
      <w:r>
        <w:rPr>
          <w:spacing w:val="-6"/>
        </w:rPr>
        <w:t> </w:t>
      </w:r>
      <w:r>
        <w:rPr/>
        <w:t>energifor- bruget, og som benytter fx varmen og/eller</w:t>
      </w:r>
      <w:r>
        <w:rPr>
          <w:spacing w:val="-4"/>
        </w:rPr>
        <w:t> </w:t>
      </w:r>
      <w:r>
        <w:rPr/>
        <w:t>ventilationen.</w:t>
      </w:r>
    </w:p>
    <w:p>
      <w:pPr>
        <w:pStyle w:val="BodyText"/>
        <w:rPr>
          <w:sz w:val="22"/>
        </w:rPr>
      </w:pPr>
    </w:p>
    <w:p>
      <w:pPr>
        <w:pStyle w:val="BodyText"/>
        <w:spacing w:line="278" w:lineRule="auto"/>
        <w:ind w:left="2649" w:right="1030"/>
        <w:jc w:val="both"/>
      </w:pPr>
      <w:r>
        <w:rPr/>
        <w:t>Selvom der dannes zoner eller områder for varme- og/eller ventilationsområder,</w:t>
      </w:r>
      <w:r>
        <w:rPr>
          <w:spacing w:val="-42"/>
        </w:rPr>
        <w:t> </w:t>
      </w:r>
      <w:r>
        <w:rPr/>
        <w:t>vil det i praksis ikke være muligt at henføre hele energiforbruget til disse områder. Et andet</w:t>
      </w:r>
      <w:r>
        <w:rPr>
          <w:spacing w:val="-5"/>
        </w:rPr>
        <w:t> </w:t>
      </w:r>
      <w:r>
        <w:rPr/>
        <w:t>eksempel</w:t>
      </w:r>
      <w:r>
        <w:rPr>
          <w:spacing w:val="-6"/>
        </w:rPr>
        <w:t> </w:t>
      </w:r>
      <w:r>
        <w:rPr/>
        <w:t>herpå</w:t>
      </w:r>
      <w:r>
        <w:rPr>
          <w:spacing w:val="-4"/>
        </w:rPr>
        <w:t> </w:t>
      </w:r>
      <w:r>
        <w:rPr/>
        <w:t>er</w:t>
      </w:r>
      <w:r>
        <w:rPr>
          <w:spacing w:val="-7"/>
        </w:rPr>
        <w:t> </w:t>
      </w:r>
      <w:r>
        <w:rPr/>
        <w:t>nøgletal,</w:t>
      </w:r>
      <w:r>
        <w:rPr>
          <w:spacing w:val="-4"/>
        </w:rPr>
        <w:t> </w:t>
      </w:r>
      <w:r>
        <w:rPr/>
        <w:t>fx</w:t>
      </w:r>
      <w:r>
        <w:rPr>
          <w:spacing w:val="-5"/>
        </w:rPr>
        <w:t> </w:t>
      </w:r>
      <w:r>
        <w:rPr/>
        <w:t>varme</w:t>
      </w:r>
      <w:r>
        <w:rPr>
          <w:spacing w:val="-7"/>
        </w:rPr>
        <w:t> </w:t>
      </w:r>
      <w:r>
        <w:rPr/>
        <w:t>per</w:t>
      </w:r>
      <w:r>
        <w:rPr>
          <w:spacing w:val="-5"/>
        </w:rPr>
        <w:t> </w:t>
      </w:r>
      <w:r>
        <w:rPr/>
        <w:t>kvadratmeter</w:t>
      </w:r>
      <w:r>
        <w:rPr>
          <w:spacing w:val="-5"/>
        </w:rPr>
        <w:t> </w:t>
      </w:r>
      <w:r>
        <w:rPr/>
        <w:t>i</w:t>
      </w:r>
      <w:r>
        <w:rPr>
          <w:spacing w:val="-6"/>
        </w:rPr>
        <w:t> </w:t>
      </w:r>
      <w:r>
        <w:rPr/>
        <w:t>en</w:t>
      </w:r>
      <w:r>
        <w:rPr>
          <w:spacing w:val="-3"/>
        </w:rPr>
        <w:t> </w:t>
      </w:r>
      <w:r>
        <w:rPr/>
        <w:t>hel</w:t>
      </w:r>
      <w:r>
        <w:rPr>
          <w:spacing w:val="-6"/>
        </w:rPr>
        <w:t> </w:t>
      </w:r>
      <w:r>
        <w:rPr/>
        <w:t>zone</w:t>
      </w:r>
      <w:r>
        <w:rPr>
          <w:spacing w:val="-6"/>
        </w:rPr>
        <w:t> </w:t>
      </w:r>
      <w:r>
        <w:rPr/>
        <w:t>eller</w:t>
      </w:r>
      <w:r>
        <w:rPr>
          <w:spacing w:val="-5"/>
        </w:rPr>
        <w:t> </w:t>
      </w:r>
      <w:r>
        <w:rPr/>
        <w:t>for et helt rum i bygningen. Varmeforbruget for en given etage i en bygning kan ikke nødvendigvis sammenlignes med varmeforbruget på en anden etage. Højtliggende etager vil blive opvarmet af den varme der tilføres i etagerne nedenunder, da var- men naturligt stiger op. Alt andet lige vil det betyde, at højtliggende etager i ud- gangspunktet vil have et lavere varmeforbrug end lavtliggende etager, dog i varie- rende omfang alt efter bygningens egenskaber og</w:t>
      </w:r>
      <w:r>
        <w:rPr>
          <w:spacing w:val="-7"/>
        </w:rPr>
        <w:t> </w:t>
      </w:r>
      <w:r>
        <w:rPr/>
        <w:t>beskaffenhed.</w:t>
      </w:r>
    </w:p>
    <w:p>
      <w:pPr>
        <w:pStyle w:val="BodyText"/>
        <w:spacing w:before="10"/>
        <w:rPr>
          <w:sz w:val="21"/>
        </w:rPr>
      </w:pPr>
    </w:p>
    <w:p>
      <w:pPr>
        <w:pStyle w:val="Heading3"/>
        <w:numPr>
          <w:ilvl w:val="2"/>
          <w:numId w:val="16"/>
        </w:numPr>
        <w:tabs>
          <w:tab w:pos="2649" w:val="left" w:leader="none"/>
          <w:tab w:pos="2650" w:val="left" w:leader="none"/>
        </w:tabs>
        <w:spacing w:line="240" w:lineRule="auto" w:before="1" w:after="0"/>
        <w:ind w:left="2649" w:right="0" w:hanging="799"/>
        <w:jc w:val="left"/>
      </w:pPr>
      <w:bookmarkStart w:name="_bookmark53" w:id="54"/>
      <w:bookmarkEnd w:id="54"/>
      <w:r>
        <w:rPr/>
        <w:t>N</w:t>
      </w:r>
      <w:r>
        <w:rPr/>
        <w:t>iveauer for</w:t>
      </w:r>
      <w:r>
        <w:rPr>
          <w:spacing w:val="-19"/>
        </w:rPr>
        <w:t> </w:t>
      </w:r>
      <w:r>
        <w:rPr/>
        <w:t>stedfæstelse</w:t>
      </w:r>
    </w:p>
    <w:p>
      <w:pPr>
        <w:pStyle w:val="BodyText"/>
        <w:spacing w:line="278" w:lineRule="auto" w:before="34"/>
        <w:ind w:left="2649" w:right="1028"/>
      </w:pPr>
      <w:r>
        <w:rPr/>
        <w:t>Det er en udfordring at knytte energi-relevante data til data i en national steddata- base, da der ofte ikke er tilknyttet geografiske informationer til de energi-rele- vante data. De forskellige datakilder, hvad angår energiforbrug, har også forskellig relevans for sammenstilling til en indendørs steddatabase. I </w:t>
      </w:r>
      <w:hyperlink w:history="true" w:anchor="_bookmark54">
        <w:r>
          <w:rPr/>
          <w:t>Figur 3.5 </w:t>
        </w:r>
      </w:hyperlink>
      <w:r>
        <w:rPr/>
        <w:t>er de for- skellige datakilder for energiforbrug, dvs. ’Forsyningsdata’, ’Dynamiske data’ og ’Faste data’, angivet med deres niveauer for stedfæstelse. Kategorien ’Bygning’ angiver, at energiforbrugsdata i langt de fleste tilfælde kun er tilgængelige på byg- nings- eller ejendomsniveau og kategorien ’Zone’ angiver, at energidata er tilgæn- gelig – og dækker – et område af bygningen. Zoner kan i denne sammenhæng være områder i bygningen bestående af ét eller flere rum, men en zone kan også dække over dele af et eller flere rum. En zone bør i denne forstand defineres ud fra de områder i bygningen, som forsynes med energi fra en eller flere energikil- der. Disse bør sammensættes ud fra hvad der giver bedst mening i forhold til energiforbruget, og her bør inddrages energifaglig ekspertise. Kategorien ’Rum’ angiver at energidata ofte er tilgængelig – og kan henføres til – et bestemte rum i bygningen.</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807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8"/>
        </w:rPr>
      </w:pPr>
    </w:p>
    <w:p>
      <w:pPr>
        <w:pStyle w:val="BodyText"/>
        <w:ind w:left="2815"/>
        <w:rPr>
          <w:sz w:val="20"/>
        </w:rPr>
      </w:pPr>
      <w:r>
        <w:rPr>
          <w:sz w:val="20"/>
        </w:rPr>
        <w:drawing>
          <wp:inline distT="0" distB="0" distL="0" distR="0">
            <wp:extent cx="4313058" cy="1275588"/>
            <wp:effectExtent l="0" t="0" r="0" b="0"/>
            <wp:docPr id="31" name="image25.png" descr=""/>
            <wp:cNvGraphicFramePr>
              <a:graphicFrameLocks noChangeAspect="1"/>
            </wp:cNvGraphicFramePr>
            <a:graphic>
              <a:graphicData uri="http://schemas.openxmlformats.org/drawingml/2006/picture">
                <pic:pic>
                  <pic:nvPicPr>
                    <pic:cNvPr id="32" name="image25.png"/>
                    <pic:cNvPicPr/>
                  </pic:nvPicPr>
                  <pic:blipFill>
                    <a:blip r:embed="rId36" cstate="print"/>
                    <a:stretch>
                      <a:fillRect/>
                    </a:stretch>
                  </pic:blipFill>
                  <pic:spPr>
                    <a:xfrm>
                      <a:off x="0" y="0"/>
                      <a:ext cx="4313058" cy="1275588"/>
                    </a:xfrm>
                    <a:prstGeom prst="rect">
                      <a:avLst/>
                    </a:prstGeom>
                  </pic:spPr>
                </pic:pic>
              </a:graphicData>
            </a:graphic>
          </wp:inline>
        </w:drawing>
      </w:r>
      <w:r>
        <w:rPr>
          <w:sz w:val="20"/>
        </w:rPr>
      </w:r>
    </w:p>
    <w:p>
      <w:pPr>
        <w:pStyle w:val="BodyText"/>
        <w:spacing w:before="5"/>
        <w:rPr>
          <w:sz w:val="13"/>
        </w:rPr>
      </w:pPr>
    </w:p>
    <w:p>
      <w:pPr>
        <w:spacing w:before="99"/>
        <w:ind w:left="3336" w:right="1120" w:hanging="586"/>
        <w:jc w:val="left"/>
        <w:rPr>
          <w:i/>
          <w:sz w:val="14"/>
        </w:rPr>
      </w:pPr>
      <w:bookmarkStart w:name="_bookmark54" w:id="55"/>
      <w:bookmarkEnd w:id="55"/>
      <w:r>
        <w:rPr/>
      </w:r>
      <w:r>
        <w:rPr>
          <w:i/>
          <w:sz w:val="14"/>
        </w:rPr>
        <w:t>Figur 3.5: Niveauer for stedfæstelse for energidata. De store orange prikker viser en forventet høj </w:t>
      </w:r>
      <w:r>
        <w:rPr>
          <w:i/>
          <w:sz w:val="14"/>
        </w:rPr>
        <w:t>grad af stedfæstelse, mens de blå prikker viser en mindre forventet stedfæstelse.</w:t>
      </w:r>
    </w:p>
    <w:p>
      <w:pPr>
        <w:pStyle w:val="BodyText"/>
        <w:spacing w:before="4"/>
        <w:rPr>
          <w:i/>
          <w:sz w:val="19"/>
        </w:rPr>
      </w:pPr>
    </w:p>
    <w:p>
      <w:pPr>
        <w:pStyle w:val="BodyText"/>
        <w:spacing w:line="278" w:lineRule="auto"/>
        <w:ind w:left="2649" w:right="1068"/>
      </w:pPr>
      <w:r>
        <w:rPr/>
        <w:t>Som det ses af </w:t>
      </w:r>
      <w:hyperlink w:history="true" w:anchor="_bookmark54">
        <w:r>
          <w:rPr/>
          <w:t>Figur 3.5</w:t>
        </w:r>
      </w:hyperlink>
      <w:r>
        <w:rPr/>
        <w:t>, er det særligt de dynamiske data, fx data fra CTS anlæg (bi-målere, sensorer og vejrstationer) der er relevante, da de ofte er relativt præ- cist stedfæstede. Ofte er det i store og komplekse bygninger der særligt er et be- hov for at opsamle oplysninger på dette niveau, hvorfor størrelsen af bygningen er afgørende for relevansen af en indendørs steddatabase. I ”</w:t>
      </w:r>
      <w:hyperlink w:history="true" w:anchor="_bookmark118">
        <w:r>
          <w:rPr/>
          <w:t>Appendix 3: </w:t>
        </w:r>
      </w:hyperlink>
      <w:hyperlink w:history="true" w:anchor="_bookmark118">
        <w:r>
          <w:rPr/>
          <w:t>Niveauer</w:t>
        </w:r>
      </w:hyperlink>
      <w:r>
        <w:rPr/>
        <w:t> </w:t>
      </w:r>
      <w:hyperlink w:history="true" w:anchor="_bookmark118">
        <w:r>
          <w:rPr/>
          <w:t>for stedfæstelse</w:t>
        </w:r>
      </w:hyperlink>
      <w:r>
        <w:rPr/>
        <w:t>” ses en liste over forskellige energi-relevante datatyper om ener- giforbrug, samt deres forventede stedfæstede niveau i relation til niveauerne for stedfæstelse angivet i </w:t>
      </w:r>
      <w:hyperlink w:history="true" w:anchor="_bookmark54">
        <w:r>
          <w:rPr/>
          <w:t>Figur 3.5 </w:t>
        </w:r>
      </w:hyperlink>
      <w:r>
        <w:rPr/>
        <w:t>(Orange prikker har et højt forventet niveau af stedfæstelse, blå i mindre grad).</w:t>
      </w:r>
    </w:p>
    <w:p>
      <w:pPr>
        <w:pStyle w:val="BodyText"/>
        <w:spacing w:before="7"/>
        <w:rPr>
          <w:sz w:val="21"/>
        </w:rPr>
      </w:pPr>
    </w:p>
    <w:p>
      <w:pPr>
        <w:pStyle w:val="BodyText"/>
        <w:spacing w:line="278" w:lineRule="auto"/>
        <w:ind w:left="2649" w:right="1075"/>
      </w:pPr>
      <w:r>
        <w:rPr/>
        <w:t>Som et værktøj til at vurdere et forestående arbejde med at stedfæste energi-re- levante data, kan der derfor opstilles en række niveauer for, hvor god stedfæstel- sen af de relevante data er. I </w:t>
      </w:r>
      <w:hyperlink w:history="true" w:anchor="_bookmark55">
        <w:r>
          <w:rPr/>
          <w:t>Tabel 3.2 </w:t>
        </w:r>
      </w:hyperlink>
      <w:r>
        <w:rPr/>
        <w:t>er beskrevet tre forskellige typiske cases for niveauer af stedfæstelse. For alle niveauer gælder, at der er etableret en brug- bar og bygningsspecifik steddatabase, dvs. at der eksisterer unikt identificerede rum, som energi-relevante data skal kobles til.</w:t>
      </w:r>
    </w:p>
    <w:p>
      <w:pPr>
        <w:pStyle w:val="BodyText"/>
        <w:spacing w:before="7"/>
        <w:rPr>
          <w:sz w:val="7"/>
        </w:rPr>
      </w:pPr>
    </w:p>
    <w:tbl>
      <w:tblPr>
        <w:tblCellSpacing w:w="4" w:type="dxa"/>
        <w:tblW w:w="0" w:type="auto"/>
        <w:jc w:val="left"/>
        <w:tblInd w:w="2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8"/>
        <w:gridCol w:w="2528"/>
        <w:gridCol w:w="3509"/>
      </w:tblGrid>
      <w:tr>
        <w:trPr>
          <w:trHeight w:val="611" w:hRule="atLeast"/>
        </w:trPr>
        <w:tc>
          <w:tcPr>
            <w:tcW w:w="1148" w:type="dxa"/>
            <w:tcBorders>
              <w:top w:val="nil"/>
              <w:left w:val="nil"/>
              <w:right w:val="nil"/>
            </w:tcBorders>
            <w:shd w:val="clear" w:color="auto" w:fill="2C647C"/>
          </w:tcPr>
          <w:p>
            <w:pPr>
              <w:pStyle w:val="TableParagraph"/>
              <w:spacing w:line="206" w:lineRule="exact" w:before="8"/>
              <w:ind w:left="103" w:right="202"/>
              <w:rPr>
                <w:b/>
                <w:sz w:val="17"/>
              </w:rPr>
            </w:pPr>
            <w:r>
              <w:rPr>
                <w:b/>
                <w:color w:val="FFFFFF"/>
                <w:sz w:val="17"/>
              </w:rPr>
              <w:t>Niveau for sted- fæstelse</w:t>
            </w:r>
          </w:p>
        </w:tc>
        <w:tc>
          <w:tcPr>
            <w:tcW w:w="2528" w:type="dxa"/>
            <w:tcBorders>
              <w:top w:val="nil"/>
              <w:left w:val="nil"/>
            </w:tcBorders>
            <w:shd w:val="clear" w:color="auto" w:fill="2C647C"/>
          </w:tcPr>
          <w:p>
            <w:pPr>
              <w:pStyle w:val="TableParagraph"/>
              <w:spacing w:line="206" w:lineRule="exact" w:before="8"/>
              <w:ind w:left="102" w:right="156"/>
              <w:rPr>
                <w:b/>
                <w:sz w:val="17"/>
              </w:rPr>
            </w:pPr>
            <w:r>
              <w:rPr>
                <w:b/>
                <w:color w:val="FFFFFF"/>
                <w:sz w:val="17"/>
              </w:rPr>
              <w:t>Modenhed af data om energiforbrug i forbin- delse med stedfæstelse</w:t>
            </w:r>
          </w:p>
        </w:tc>
        <w:tc>
          <w:tcPr>
            <w:tcW w:w="3509" w:type="dxa"/>
            <w:tcBorders>
              <w:top w:val="nil"/>
              <w:right w:val="nil"/>
            </w:tcBorders>
            <w:shd w:val="clear" w:color="auto" w:fill="2C647C"/>
          </w:tcPr>
          <w:p>
            <w:pPr>
              <w:pStyle w:val="TableParagraph"/>
              <w:spacing w:before="1"/>
              <w:rPr>
                <w:sz w:val="17"/>
              </w:rPr>
            </w:pPr>
          </w:p>
          <w:p>
            <w:pPr>
              <w:pStyle w:val="TableParagraph"/>
              <w:ind w:left="104"/>
              <w:rPr>
                <w:b/>
                <w:sz w:val="17"/>
              </w:rPr>
            </w:pPr>
            <w:r>
              <w:rPr>
                <w:b/>
                <w:color w:val="FFFFFF"/>
                <w:sz w:val="17"/>
              </w:rPr>
              <w:t>Kommentar</w:t>
            </w:r>
          </w:p>
        </w:tc>
      </w:tr>
      <w:tr>
        <w:trPr>
          <w:trHeight w:val="811" w:hRule="atLeast"/>
        </w:trPr>
        <w:tc>
          <w:tcPr>
            <w:tcW w:w="1148" w:type="dxa"/>
            <w:tcBorders>
              <w:left w:val="nil"/>
              <w:right w:val="nil"/>
            </w:tcBorders>
            <w:shd w:val="clear" w:color="auto" w:fill="C8E9E6"/>
          </w:tcPr>
          <w:p>
            <w:pPr>
              <w:pStyle w:val="TableParagraph"/>
              <w:spacing w:before="2"/>
              <w:rPr>
                <w:sz w:val="25"/>
              </w:rPr>
            </w:pPr>
          </w:p>
          <w:p>
            <w:pPr>
              <w:pStyle w:val="TableParagraph"/>
              <w:spacing w:before="1"/>
              <w:ind w:left="103"/>
              <w:rPr>
                <w:b/>
                <w:sz w:val="17"/>
              </w:rPr>
            </w:pPr>
            <w:r>
              <w:rPr>
                <w:b/>
                <w:sz w:val="17"/>
              </w:rPr>
              <w:t>God</w:t>
            </w:r>
          </w:p>
        </w:tc>
        <w:tc>
          <w:tcPr>
            <w:tcW w:w="2528" w:type="dxa"/>
            <w:tcBorders>
              <w:left w:val="nil"/>
            </w:tcBorders>
            <w:shd w:val="clear" w:color="auto" w:fill="C8E9E6"/>
          </w:tcPr>
          <w:p>
            <w:pPr>
              <w:pStyle w:val="TableParagraph"/>
              <w:spacing w:before="9"/>
              <w:rPr>
                <w:sz w:val="16"/>
              </w:rPr>
            </w:pPr>
          </w:p>
          <w:p>
            <w:pPr>
              <w:pStyle w:val="TableParagraph"/>
              <w:ind w:left="102" w:right="295"/>
              <w:rPr>
                <w:sz w:val="17"/>
              </w:rPr>
            </w:pPr>
            <w:r>
              <w:rPr>
                <w:sz w:val="17"/>
              </w:rPr>
              <w:t>Geodata på målere/regi- streringer</w:t>
            </w:r>
          </w:p>
        </w:tc>
        <w:tc>
          <w:tcPr>
            <w:tcW w:w="3509" w:type="dxa"/>
            <w:tcBorders>
              <w:right w:val="nil"/>
            </w:tcBorders>
            <w:shd w:val="clear" w:color="auto" w:fill="C8E9E6"/>
          </w:tcPr>
          <w:p>
            <w:pPr>
              <w:pStyle w:val="TableParagraph"/>
              <w:spacing w:line="206" w:lineRule="exact" w:before="3"/>
              <w:ind w:left="104" w:right="155"/>
              <w:rPr>
                <w:sz w:val="17"/>
              </w:rPr>
            </w:pPr>
            <w:r>
              <w:rPr>
                <w:sz w:val="17"/>
              </w:rPr>
              <w:t>Her vil det i et vist omfang være mu- ligt at foretage automatiske koblinger til steddatabasen vha. geometriske regler</w:t>
            </w:r>
          </w:p>
        </w:tc>
      </w:tr>
      <w:tr>
        <w:trPr>
          <w:trHeight w:val="2256" w:hRule="atLeast"/>
        </w:trPr>
        <w:tc>
          <w:tcPr>
            <w:tcW w:w="1148" w:type="dxa"/>
            <w:tcBorders>
              <w:left w:val="nil"/>
              <w:right w:val="nil"/>
            </w:tcBorders>
            <w:shd w:val="clear" w:color="auto" w:fill="E2F3F0"/>
          </w:tcPr>
          <w:p>
            <w:pPr>
              <w:pStyle w:val="TableParagraph"/>
              <w:rPr>
                <w:sz w:val="20"/>
              </w:rPr>
            </w:pPr>
          </w:p>
          <w:p>
            <w:pPr>
              <w:pStyle w:val="TableParagraph"/>
              <w:rPr>
                <w:sz w:val="20"/>
              </w:rPr>
            </w:pPr>
          </w:p>
          <w:p>
            <w:pPr>
              <w:pStyle w:val="TableParagraph"/>
              <w:rPr>
                <w:sz w:val="20"/>
              </w:rPr>
            </w:pPr>
          </w:p>
          <w:p>
            <w:pPr>
              <w:pStyle w:val="TableParagraph"/>
              <w:spacing w:before="2"/>
              <w:rPr>
                <w:sz w:val="16"/>
              </w:rPr>
            </w:pPr>
          </w:p>
          <w:p>
            <w:pPr>
              <w:pStyle w:val="TableParagraph"/>
              <w:spacing w:before="1"/>
              <w:ind w:left="103" w:right="368"/>
              <w:rPr>
                <w:b/>
                <w:sz w:val="17"/>
              </w:rPr>
            </w:pPr>
            <w:r>
              <w:rPr>
                <w:b/>
                <w:sz w:val="17"/>
              </w:rPr>
              <w:t>Mindre god</w:t>
            </w:r>
          </w:p>
        </w:tc>
        <w:tc>
          <w:tcPr>
            <w:tcW w:w="2528" w:type="dxa"/>
            <w:tcBorders>
              <w:left w:val="nil"/>
            </w:tcBorders>
            <w:shd w:val="clear" w:color="auto" w:fill="E2F3F0"/>
          </w:tcPr>
          <w:p>
            <w:pPr>
              <w:pStyle w:val="TableParagraph"/>
              <w:ind w:left="102" w:right="284"/>
              <w:rPr>
                <w:sz w:val="17"/>
              </w:rPr>
            </w:pPr>
            <w:r>
              <w:rPr>
                <w:sz w:val="17"/>
              </w:rPr>
              <w:t>Målinger/registreringer med delvis stedfæstelse, såsom:</w:t>
            </w:r>
          </w:p>
          <w:p>
            <w:pPr>
              <w:pStyle w:val="TableParagraph"/>
              <w:numPr>
                <w:ilvl w:val="0"/>
                <w:numId w:val="17"/>
              </w:numPr>
              <w:tabs>
                <w:tab w:pos="462" w:val="left" w:leader="none"/>
                <w:tab w:pos="463" w:val="left" w:leader="none"/>
              </w:tabs>
              <w:spacing w:line="242" w:lineRule="auto" w:before="0" w:after="0"/>
              <w:ind w:left="462" w:right="299" w:hanging="360"/>
              <w:jc w:val="left"/>
              <w:rPr>
                <w:sz w:val="17"/>
              </w:rPr>
            </w:pPr>
            <w:r>
              <w:rPr>
                <w:sz w:val="17"/>
              </w:rPr>
              <w:t>Stedfæstelse kun </w:t>
            </w:r>
            <w:r>
              <w:rPr>
                <w:spacing w:val="-7"/>
                <w:sz w:val="17"/>
              </w:rPr>
              <w:t>på </w:t>
            </w:r>
            <w:r>
              <w:rPr>
                <w:sz w:val="17"/>
              </w:rPr>
              <w:t>et udsnit af</w:t>
            </w:r>
            <w:r>
              <w:rPr>
                <w:spacing w:val="-3"/>
                <w:sz w:val="17"/>
              </w:rPr>
              <w:t> </w:t>
            </w:r>
            <w:r>
              <w:rPr>
                <w:sz w:val="17"/>
              </w:rPr>
              <w:t>målere.</w:t>
            </w:r>
          </w:p>
          <w:p>
            <w:pPr>
              <w:pStyle w:val="TableParagraph"/>
              <w:numPr>
                <w:ilvl w:val="0"/>
                <w:numId w:val="17"/>
              </w:numPr>
              <w:tabs>
                <w:tab w:pos="463" w:val="left" w:leader="none"/>
              </w:tabs>
              <w:spacing w:line="240" w:lineRule="auto" w:before="0" w:after="0"/>
              <w:ind w:left="462" w:right="243" w:hanging="360"/>
              <w:jc w:val="both"/>
              <w:rPr>
                <w:sz w:val="17"/>
              </w:rPr>
            </w:pPr>
            <w:r>
              <w:rPr>
                <w:sz w:val="17"/>
              </w:rPr>
              <w:t>Administratorer/nøg- lepersoner med </w:t>
            </w:r>
            <w:r>
              <w:rPr>
                <w:spacing w:val="-5"/>
                <w:sz w:val="17"/>
              </w:rPr>
              <w:t>egne </w:t>
            </w:r>
            <w:r>
              <w:rPr>
                <w:sz w:val="17"/>
              </w:rPr>
              <w:t>lokale</w:t>
            </w:r>
            <w:r>
              <w:rPr>
                <w:spacing w:val="-2"/>
                <w:sz w:val="17"/>
              </w:rPr>
              <w:t> </w:t>
            </w:r>
            <w:r>
              <w:rPr>
                <w:sz w:val="17"/>
              </w:rPr>
              <w:t>registre.</w:t>
            </w:r>
          </w:p>
          <w:p>
            <w:pPr>
              <w:pStyle w:val="TableParagraph"/>
              <w:numPr>
                <w:ilvl w:val="0"/>
                <w:numId w:val="17"/>
              </w:numPr>
              <w:tabs>
                <w:tab w:pos="462" w:val="left" w:leader="none"/>
                <w:tab w:pos="463" w:val="left" w:leader="none"/>
              </w:tabs>
              <w:spacing w:line="206" w:lineRule="exact" w:before="0" w:after="0"/>
              <w:ind w:left="462" w:right="204" w:hanging="360"/>
              <w:jc w:val="left"/>
              <w:rPr>
                <w:sz w:val="17"/>
              </w:rPr>
            </w:pPr>
            <w:r>
              <w:rPr>
                <w:sz w:val="17"/>
              </w:rPr>
              <w:t>Stedfæstelse kun på zone eller område-ni- veau.</w:t>
            </w:r>
          </w:p>
        </w:tc>
        <w:tc>
          <w:tcPr>
            <w:tcW w:w="3509" w:type="dxa"/>
            <w:tcBorders>
              <w:right w:val="nil"/>
            </w:tcBorders>
            <w:shd w:val="clear" w:color="auto" w:fill="E2F3F0"/>
          </w:tcPr>
          <w:p>
            <w:pPr>
              <w:pStyle w:val="TableParagraph"/>
              <w:rPr>
                <w:sz w:val="20"/>
              </w:rPr>
            </w:pPr>
          </w:p>
          <w:p>
            <w:pPr>
              <w:pStyle w:val="TableParagraph"/>
              <w:rPr>
                <w:sz w:val="22"/>
              </w:rPr>
            </w:pPr>
          </w:p>
          <w:p>
            <w:pPr>
              <w:pStyle w:val="TableParagraph"/>
              <w:spacing w:before="1"/>
              <w:ind w:left="104" w:right="185"/>
              <w:rPr>
                <w:sz w:val="17"/>
              </w:rPr>
            </w:pPr>
            <w:r>
              <w:rPr>
                <w:sz w:val="17"/>
              </w:rPr>
              <w:t>Semiautomatiske koblinger kan gen- nemføres i vist omfang. Det er nød- vendigt med inddragelse af driftsfolk eller administratorer, som med afsæt i viden manuelt kan knytte målere til rum og definere forsyningszoner.</w:t>
            </w:r>
          </w:p>
        </w:tc>
      </w:tr>
      <w:tr>
        <w:trPr>
          <w:trHeight w:val="603" w:hRule="atLeast"/>
        </w:trPr>
        <w:tc>
          <w:tcPr>
            <w:tcW w:w="1148" w:type="dxa"/>
            <w:tcBorders>
              <w:left w:val="nil"/>
              <w:bottom w:val="nil"/>
              <w:right w:val="nil"/>
            </w:tcBorders>
            <w:shd w:val="clear" w:color="auto" w:fill="C8E9E6"/>
          </w:tcPr>
          <w:p>
            <w:pPr>
              <w:pStyle w:val="TableParagraph"/>
              <w:spacing w:before="5"/>
              <w:rPr>
                <w:sz w:val="16"/>
              </w:rPr>
            </w:pPr>
          </w:p>
          <w:p>
            <w:pPr>
              <w:pStyle w:val="TableParagraph"/>
              <w:ind w:left="103"/>
              <w:rPr>
                <w:b/>
                <w:sz w:val="17"/>
              </w:rPr>
            </w:pPr>
            <w:r>
              <w:rPr>
                <w:b/>
                <w:sz w:val="17"/>
              </w:rPr>
              <w:t>Ringe</w:t>
            </w:r>
          </w:p>
        </w:tc>
        <w:tc>
          <w:tcPr>
            <w:tcW w:w="2528" w:type="dxa"/>
            <w:tcBorders>
              <w:left w:val="nil"/>
              <w:bottom w:val="nil"/>
            </w:tcBorders>
            <w:shd w:val="clear" w:color="auto" w:fill="C8E9E6"/>
          </w:tcPr>
          <w:p>
            <w:pPr>
              <w:pStyle w:val="TableParagraph"/>
              <w:spacing w:before="96"/>
              <w:ind w:left="102" w:right="470"/>
              <w:rPr>
                <w:sz w:val="17"/>
              </w:rPr>
            </w:pPr>
            <w:r>
              <w:rPr>
                <w:sz w:val="17"/>
              </w:rPr>
              <w:t>Målerdata kun på byg- ningsniveau</w:t>
            </w:r>
          </w:p>
        </w:tc>
        <w:tc>
          <w:tcPr>
            <w:tcW w:w="3509" w:type="dxa"/>
            <w:tcBorders>
              <w:bottom w:val="nil"/>
              <w:right w:val="nil"/>
            </w:tcBorders>
            <w:shd w:val="clear" w:color="auto" w:fill="C8E9E6"/>
          </w:tcPr>
          <w:p>
            <w:pPr>
              <w:pStyle w:val="TableParagraph"/>
              <w:ind w:left="104" w:right="155"/>
              <w:rPr>
                <w:sz w:val="17"/>
              </w:rPr>
            </w:pPr>
            <w:r>
              <w:rPr>
                <w:sz w:val="17"/>
              </w:rPr>
              <w:t>Her er det ikke muligt at knytte ener- gidata på enkelte rum. Energiforbrug</w:t>
            </w:r>
          </w:p>
          <w:p>
            <w:pPr>
              <w:pStyle w:val="TableParagraph"/>
              <w:spacing w:line="185" w:lineRule="exact"/>
              <w:ind w:left="104"/>
              <w:rPr>
                <w:sz w:val="17"/>
              </w:rPr>
            </w:pPr>
            <w:r>
              <w:rPr>
                <w:sz w:val="17"/>
              </w:rPr>
              <w:t>kan kun knyttes til bygningsID’et.</w:t>
            </w:r>
          </w:p>
        </w:tc>
      </w:tr>
    </w:tbl>
    <w:p>
      <w:pPr>
        <w:spacing w:before="11"/>
        <w:ind w:left="2649" w:right="1038" w:firstLine="0"/>
        <w:jc w:val="left"/>
        <w:rPr>
          <w:i/>
          <w:sz w:val="14"/>
        </w:rPr>
      </w:pPr>
      <w:bookmarkStart w:name="_bookmark55" w:id="56"/>
      <w:bookmarkEnd w:id="56"/>
      <w:r>
        <w:rPr/>
      </w:r>
      <w:r>
        <w:rPr>
          <w:i/>
          <w:sz w:val="14"/>
        </w:rPr>
        <w:t>Tabel 3.2: Niveauer som afspejler brugen af en bygningsspecifik steddatabase afhængigt af datas </w:t>
      </w:r>
      <w:r>
        <w:rPr>
          <w:i/>
          <w:sz w:val="14"/>
        </w:rPr>
        <w:t>modenhed</w:t>
      </w:r>
    </w:p>
    <w:p>
      <w:pPr>
        <w:pStyle w:val="BodyText"/>
        <w:rPr>
          <w:i/>
          <w:sz w:val="16"/>
        </w:rPr>
      </w:pPr>
    </w:p>
    <w:p>
      <w:pPr>
        <w:pStyle w:val="Heading3"/>
        <w:numPr>
          <w:ilvl w:val="2"/>
          <w:numId w:val="16"/>
        </w:numPr>
        <w:tabs>
          <w:tab w:pos="2649" w:val="left" w:leader="none"/>
          <w:tab w:pos="2650" w:val="left" w:leader="none"/>
        </w:tabs>
        <w:spacing w:line="240" w:lineRule="auto" w:before="103" w:after="0"/>
        <w:ind w:left="2649" w:right="0" w:hanging="799"/>
        <w:jc w:val="left"/>
      </w:pPr>
      <w:bookmarkStart w:name="_bookmark56" w:id="57"/>
      <w:bookmarkEnd w:id="57"/>
      <w:r>
        <w:rPr/>
        <w:t>Se</w:t>
      </w:r>
      <w:r>
        <w:rPr/>
        <w:t>lvforstærkende incitament for anvendelse af</w:t>
      </w:r>
      <w:r>
        <w:rPr>
          <w:spacing w:val="-8"/>
        </w:rPr>
        <w:t> </w:t>
      </w:r>
      <w:r>
        <w:rPr/>
        <w:t>data</w:t>
      </w:r>
    </w:p>
    <w:p>
      <w:pPr>
        <w:pStyle w:val="BodyText"/>
        <w:spacing w:line="278" w:lineRule="auto" w:before="34"/>
        <w:ind w:left="2649" w:right="1048"/>
      </w:pPr>
      <w:r>
        <w:rPr/>
        <w:t>Investering i data forudsætter tillid til, at data kan skabe værdi. Udfordringer med manglende data, ikke-ajourførte data og dårlig datakvalitet svækker tilliden til data og hæmmer incitamentet til at prioritere og investere i data. Data forbedres i takt med, at de bruges, fordi fejl løbende opdages og rettes. Forbedrede data styr- ker tilliden til at data kan skabe værdi, hvilket ansporer til yderligere prioritering og udnyttelse af data. </w:t>
      </w:r>
      <w:hyperlink w:history="true" w:anchor="_bookmark57">
        <w:r>
          <w:rPr/>
          <w:t>Figur 3.6 </w:t>
        </w:r>
      </w:hyperlink>
      <w:r>
        <w:rPr/>
        <w:t>illustrerer, hvordan incitamentet til at prioritere</w:t>
      </w:r>
      <w:r>
        <w:rPr>
          <w:spacing w:val="-22"/>
        </w:rPr>
        <w:t> </w:t>
      </w:r>
      <w:r>
        <w:rPr/>
        <w:t>og</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795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382"/>
      </w:pPr>
      <w:r>
        <w:rPr/>
        <w:t>udnytte data indgår i en selvforstærkende proces, der kan skabe både gode og onde cirkler.</w:t>
      </w:r>
    </w:p>
    <w:p>
      <w:pPr>
        <w:pStyle w:val="BodyText"/>
        <w:spacing w:before="3"/>
        <w:rPr>
          <w:sz w:val="15"/>
        </w:rPr>
      </w:pPr>
      <w:r>
        <w:rPr/>
        <w:drawing>
          <wp:anchor distT="0" distB="0" distL="0" distR="0" allowOverlap="1" layoutInCell="1" locked="0" behindDoc="0" simplePos="0" relativeHeight="153">
            <wp:simplePos x="0" y="0"/>
            <wp:positionH relativeFrom="page">
              <wp:posOffset>2304414</wp:posOffset>
            </wp:positionH>
            <wp:positionV relativeFrom="paragraph">
              <wp:posOffset>142704</wp:posOffset>
            </wp:positionV>
            <wp:extent cx="4742145" cy="1898903"/>
            <wp:effectExtent l="0" t="0" r="0" b="0"/>
            <wp:wrapTopAndBottom/>
            <wp:docPr id="33" name="image26.png" descr=""/>
            <wp:cNvGraphicFramePr>
              <a:graphicFrameLocks noChangeAspect="1"/>
            </wp:cNvGraphicFramePr>
            <a:graphic>
              <a:graphicData uri="http://schemas.openxmlformats.org/drawingml/2006/picture">
                <pic:pic>
                  <pic:nvPicPr>
                    <pic:cNvPr id="34" name="image26.png"/>
                    <pic:cNvPicPr/>
                  </pic:nvPicPr>
                  <pic:blipFill>
                    <a:blip r:embed="rId37" cstate="print"/>
                    <a:stretch>
                      <a:fillRect/>
                    </a:stretch>
                  </pic:blipFill>
                  <pic:spPr>
                    <a:xfrm>
                      <a:off x="0" y="0"/>
                      <a:ext cx="4742145" cy="1898903"/>
                    </a:xfrm>
                    <a:prstGeom prst="rect">
                      <a:avLst/>
                    </a:prstGeom>
                  </pic:spPr>
                </pic:pic>
              </a:graphicData>
            </a:graphic>
          </wp:anchor>
        </w:drawing>
      </w:r>
    </w:p>
    <w:p>
      <w:pPr>
        <w:pStyle w:val="BodyText"/>
        <w:spacing w:before="5"/>
      </w:pPr>
    </w:p>
    <w:p>
      <w:pPr>
        <w:spacing w:before="0"/>
        <w:ind w:left="2839" w:right="1208" w:firstLine="16"/>
        <w:jc w:val="left"/>
        <w:rPr>
          <w:i/>
          <w:sz w:val="14"/>
        </w:rPr>
      </w:pPr>
      <w:bookmarkStart w:name="_bookmark57" w:id="58"/>
      <w:bookmarkEnd w:id="58"/>
      <w:r>
        <w:rPr/>
      </w:r>
      <w:r>
        <w:rPr>
          <w:i/>
          <w:sz w:val="14"/>
        </w:rPr>
        <w:t>Figur 3.6: Selvforstærkende incitament for prioritering og udnyttelse af data. Tilpasset figur fra </w:t>
      </w:r>
      <w:hyperlink r:id="rId38">
        <w:r>
          <w:rPr>
            <w:i/>
            <w:color w:val="008EBA"/>
            <w:sz w:val="14"/>
            <w:u w:val="single" w:color="008EBA"/>
          </w:rPr>
          <w:t>analyse</w:t>
        </w:r>
        <w:r>
          <w:rPr>
            <w:i/>
            <w:color w:val="008EBA"/>
            <w:sz w:val="14"/>
          </w:rPr>
          <w:t> </w:t>
        </w:r>
      </w:hyperlink>
      <w:r>
        <w:rPr>
          <w:i/>
          <w:sz w:val="14"/>
        </w:rPr>
        <w:t>udført af NIRAS for Energistyrelsen og Styrelsen og for Dataforsyning og Effektivisering</w:t>
      </w:r>
    </w:p>
    <w:p>
      <w:pPr>
        <w:spacing w:after="0"/>
        <w:jc w:val="left"/>
        <w:rPr>
          <w:sz w:val="14"/>
        </w:rPr>
        <w:sectPr>
          <w:type w:val="continuous"/>
          <w:pgSz w:w="11910" w:h="16840"/>
          <w:pgMar w:top="1580" w:bottom="280" w:left="980" w:right="100"/>
        </w:sectPr>
      </w:pPr>
    </w:p>
    <w:p>
      <w:pPr>
        <w:pStyle w:val="BodyText"/>
        <w:rPr>
          <w:i/>
          <w:sz w:val="20"/>
        </w:rPr>
      </w:pPr>
    </w:p>
    <w:p>
      <w:pPr>
        <w:pStyle w:val="BodyText"/>
        <w:rPr>
          <w:i/>
          <w:sz w:val="20"/>
        </w:rPr>
      </w:pPr>
    </w:p>
    <w:p>
      <w:pPr>
        <w:pStyle w:val="BodyText"/>
        <w:spacing w:before="11"/>
        <w:rPr>
          <w:i/>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780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0"/>
          <w:numId w:val="13"/>
        </w:numPr>
        <w:tabs>
          <w:tab w:pos="2649" w:val="left" w:leader="none"/>
          <w:tab w:pos="2650" w:val="left" w:leader="none"/>
        </w:tabs>
        <w:spacing w:line="254" w:lineRule="auto" w:before="101" w:after="0"/>
        <w:ind w:left="2649" w:right="1471" w:hanging="427"/>
        <w:jc w:val="left"/>
      </w:pPr>
      <w:bookmarkStart w:name="_bookmark58" w:id="59"/>
      <w:bookmarkEnd w:id="59"/>
      <w:r>
        <w:rPr/>
        <w:t>A</w:t>
      </w:r>
      <w:r>
        <w:rPr/>
        <w:t>nvendelsesmuligheder for en national in- dendørs steddatabase i forbindelse med energi-relevante data</w:t>
      </w:r>
    </w:p>
    <w:p>
      <w:pPr>
        <w:pStyle w:val="BodyText"/>
        <w:spacing w:line="278" w:lineRule="auto" w:before="15"/>
        <w:ind w:left="2649" w:right="1067"/>
        <w:rPr>
          <w:sz w:val="11"/>
        </w:rPr>
      </w:pPr>
      <w:r>
        <w:rPr/>
        <w:t>I dette kapitel beskrives de typiske anvendelser i forhold til at kunne udnytte en national indendørs steddatabase i forhold til energieffektivisering. Kapitlet fokuse- rer på hvordan en indendørs steddatabase i kombination med data om energifor- brug, indeklima og aktivitetsdata kan være medvirkende til at identificere og reali- sere energibesparelsespotentialer i offentlige bygninger.</w:t>
      </w:r>
      <w:r>
        <w:rPr>
          <w:position w:val="6"/>
          <w:sz w:val="11"/>
        </w:rPr>
        <w:t>21</w:t>
      </w:r>
    </w:p>
    <w:p>
      <w:pPr>
        <w:pStyle w:val="BodyText"/>
        <w:spacing w:before="5"/>
        <w:rPr>
          <w:sz w:val="21"/>
        </w:rPr>
      </w:pPr>
    </w:p>
    <w:p>
      <w:pPr>
        <w:pStyle w:val="BodyText"/>
        <w:spacing w:line="278" w:lineRule="auto" w:before="1"/>
        <w:ind w:left="2649" w:right="1027"/>
        <w:jc w:val="both"/>
      </w:pPr>
      <w:r>
        <w:rPr/>
        <w:t>Det er NIRAS’ vurdering, at databasens overordnede anvendelse i forhold til ener- gieffektivisering handler om at understøtte, sammenkoble og visualisere de rele- vante</w:t>
      </w:r>
      <w:r>
        <w:rPr>
          <w:spacing w:val="-5"/>
        </w:rPr>
        <w:t> </w:t>
      </w:r>
      <w:r>
        <w:rPr/>
        <w:t>data</w:t>
      </w:r>
      <w:r>
        <w:rPr>
          <w:spacing w:val="-5"/>
        </w:rPr>
        <w:t> </w:t>
      </w:r>
      <w:r>
        <w:rPr/>
        <w:t>for</w:t>
      </w:r>
      <w:r>
        <w:rPr>
          <w:spacing w:val="-5"/>
        </w:rPr>
        <w:t> </w:t>
      </w:r>
      <w:r>
        <w:rPr/>
        <w:t>energiforbrug</w:t>
      </w:r>
      <w:r>
        <w:rPr>
          <w:spacing w:val="-2"/>
        </w:rPr>
        <w:t> </w:t>
      </w:r>
      <w:r>
        <w:rPr/>
        <w:t>og</w:t>
      </w:r>
      <w:r>
        <w:rPr>
          <w:spacing w:val="-5"/>
        </w:rPr>
        <w:t> </w:t>
      </w:r>
      <w:r>
        <w:rPr/>
        <w:t>aktivitet</w:t>
      </w:r>
      <w:r>
        <w:rPr>
          <w:spacing w:val="-4"/>
        </w:rPr>
        <w:t> </w:t>
      </w:r>
      <w:r>
        <w:rPr/>
        <w:t>i</w:t>
      </w:r>
      <w:r>
        <w:rPr>
          <w:spacing w:val="-5"/>
        </w:rPr>
        <w:t> </w:t>
      </w:r>
      <w:r>
        <w:rPr/>
        <w:t>bygninger.</w:t>
      </w:r>
      <w:r>
        <w:rPr>
          <w:spacing w:val="-3"/>
        </w:rPr>
        <w:t> </w:t>
      </w:r>
      <w:r>
        <w:rPr/>
        <w:t>En</w:t>
      </w:r>
      <w:r>
        <w:rPr>
          <w:spacing w:val="-3"/>
        </w:rPr>
        <w:t> </w:t>
      </w:r>
      <w:r>
        <w:rPr/>
        <w:t>national</w:t>
      </w:r>
      <w:r>
        <w:rPr>
          <w:spacing w:val="-5"/>
        </w:rPr>
        <w:t> </w:t>
      </w:r>
      <w:r>
        <w:rPr/>
        <w:t>indendørs</w:t>
      </w:r>
      <w:r>
        <w:rPr>
          <w:spacing w:val="-5"/>
        </w:rPr>
        <w:t> </w:t>
      </w:r>
      <w:r>
        <w:rPr/>
        <w:t>stedda- tabase vurderes hovedsagligt at have </w:t>
      </w:r>
      <w:r>
        <w:rPr>
          <w:i/>
        </w:rPr>
        <w:t>indirekte </w:t>
      </w:r>
      <w:r>
        <w:rPr/>
        <w:t>anvendelse i forbindelse med ener- gieffektivisering,</w:t>
      </w:r>
      <w:r>
        <w:rPr>
          <w:spacing w:val="-4"/>
        </w:rPr>
        <w:t> </w:t>
      </w:r>
      <w:r>
        <w:rPr/>
        <w:t>hvor</w:t>
      </w:r>
      <w:r>
        <w:rPr>
          <w:spacing w:val="-5"/>
        </w:rPr>
        <w:t> </w:t>
      </w:r>
      <w:r>
        <w:rPr/>
        <w:t>den</w:t>
      </w:r>
      <w:r>
        <w:rPr>
          <w:spacing w:val="-4"/>
        </w:rPr>
        <w:t> </w:t>
      </w:r>
      <w:r>
        <w:rPr/>
        <w:t>i</w:t>
      </w:r>
      <w:r>
        <w:rPr>
          <w:spacing w:val="-3"/>
        </w:rPr>
        <w:t> </w:t>
      </w:r>
      <w:r>
        <w:rPr/>
        <w:t>kombination</w:t>
      </w:r>
      <w:r>
        <w:rPr>
          <w:spacing w:val="-4"/>
        </w:rPr>
        <w:t> </w:t>
      </w:r>
      <w:r>
        <w:rPr/>
        <w:t>med</w:t>
      </w:r>
      <w:r>
        <w:rPr>
          <w:spacing w:val="-5"/>
        </w:rPr>
        <w:t> </w:t>
      </w:r>
      <w:r>
        <w:rPr/>
        <w:t>data</w:t>
      </w:r>
      <w:r>
        <w:rPr>
          <w:spacing w:val="-4"/>
        </w:rPr>
        <w:t> </w:t>
      </w:r>
      <w:r>
        <w:rPr/>
        <w:t>om</w:t>
      </w:r>
      <w:r>
        <w:rPr>
          <w:spacing w:val="-5"/>
        </w:rPr>
        <w:t> </w:t>
      </w:r>
      <w:r>
        <w:rPr/>
        <w:t>energiforbrug</w:t>
      </w:r>
      <w:r>
        <w:rPr>
          <w:spacing w:val="-5"/>
        </w:rPr>
        <w:t> </w:t>
      </w:r>
      <w:r>
        <w:rPr/>
        <w:t>kan</w:t>
      </w:r>
      <w:r>
        <w:rPr>
          <w:spacing w:val="-3"/>
        </w:rPr>
        <w:t> </w:t>
      </w:r>
      <w:r>
        <w:rPr/>
        <w:t>bidrage</w:t>
      </w:r>
      <w:r>
        <w:rPr>
          <w:spacing w:val="-5"/>
        </w:rPr>
        <w:t> </w:t>
      </w:r>
      <w:r>
        <w:rPr/>
        <w:t>til at strukturere indsatsen ved hjælp af energidata, aktivitetsdata og bygningsdata i kombination med en national indendørs steddatabase, som illustreret i </w:t>
      </w:r>
      <w:hyperlink w:history="true" w:anchor="_bookmark59">
        <w:r>
          <w:rPr/>
          <w:t>Figur</w:t>
        </w:r>
        <w:r>
          <w:rPr>
            <w:spacing w:val="-17"/>
          </w:rPr>
          <w:t> </w:t>
        </w:r>
        <w:r>
          <w:rPr/>
          <w:t>4.1</w:t>
        </w:r>
      </w:hyperlink>
      <w:r>
        <w:rPr/>
        <w:t>.</w:t>
      </w:r>
    </w:p>
    <w:p>
      <w:pPr>
        <w:pStyle w:val="BodyText"/>
        <w:spacing w:before="6"/>
        <w:rPr>
          <w:sz w:val="15"/>
        </w:rPr>
      </w:pPr>
      <w:r>
        <w:rPr/>
        <w:drawing>
          <wp:anchor distT="0" distB="0" distL="0" distR="0" allowOverlap="1" layoutInCell="1" locked="0" behindDoc="0" simplePos="0" relativeHeight="158">
            <wp:simplePos x="0" y="0"/>
            <wp:positionH relativeFrom="page">
              <wp:posOffset>2816225</wp:posOffset>
            </wp:positionH>
            <wp:positionV relativeFrom="paragraph">
              <wp:posOffset>144715</wp:posOffset>
            </wp:positionV>
            <wp:extent cx="3506843" cy="4133087"/>
            <wp:effectExtent l="0" t="0" r="0" b="0"/>
            <wp:wrapTopAndBottom/>
            <wp:docPr id="35" name="image27.jpeg" descr=""/>
            <wp:cNvGraphicFramePr>
              <a:graphicFrameLocks noChangeAspect="1"/>
            </wp:cNvGraphicFramePr>
            <a:graphic>
              <a:graphicData uri="http://schemas.openxmlformats.org/drawingml/2006/picture">
                <pic:pic>
                  <pic:nvPicPr>
                    <pic:cNvPr id="36" name="image27.jpeg"/>
                    <pic:cNvPicPr/>
                  </pic:nvPicPr>
                  <pic:blipFill>
                    <a:blip r:embed="rId39" cstate="print"/>
                    <a:stretch>
                      <a:fillRect/>
                    </a:stretch>
                  </pic:blipFill>
                  <pic:spPr>
                    <a:xfrm>
                      <a:off x="0" y="0"/>
                      <a:ext cx="3506843" cy="4133087"/>
                    </a:xfrm>
                    <a:prstGeom prst="rect">
                      <a:avLst/>
                    </a:prstGeom>
                  </pic:spPr>
                </pic:pic>
              </a:graphicData>
            </a:graphic>
          </wp:anchor>
        </w:drawing>
      </w:r>
    </w:p>
    <w:p>
      <w:pPr>
        <w:pStyle w:val="BodyText"/>
        <w:spacing w:before="4"/>
        <w:rPr>
          <w:sz w:val="19"/>
        </w:rPr>
      </w:pPr>
    </w:p>
    <w:p>
      <w:pPr>
        <w:spacing w:before="0"/>
        <w:ind w:left="2674" w:right="1062" w:firstLine="0"/>
        <w:jc w:val="center"/>
        <w:rPr>
          <w:i/>
          <w:sz w:val="14"/>
        </w:rPr>
      </w:pPr>
      <w:bookmarkStart w:name="_bookmark59" w:id="60"/>
      <w:bookmarkEnd w:id="60"/>
      <w:r>
        <w:rPr/>
      </w:r>
      <w:r>
        <w:rPr>
          <w:i/>
          <w:sz w:val="14"/>
        </w:rPr>
        <w:t>Figur</w:t>
      </w:r>
      <w:r>
        <w:rPr>
          <w:i/>
          <w:spacing w:val="-4"/>
          <w:sz w:val="14"/>
        </w:rPr>
        <w:t> </w:t>
      </w:r>
      <w:r>
        <w:rPr>
          <w:i/>
          <w:sz w:val="14"/>
        </w:rPr>
        <w:t>4.1:</w:t>
      </w:r>
      <w:r>
        <w:rPr>
          <w:i/>
          <w:spacing w:val="-3"/>
          <w:sz w:val="14"/>
        </w:rPr>
        <w:t> </w:t>
      </w:r>
      <w:r>
        <w:rPr>
          <w:i/>
          <w:sz w:val="14"/>
        </w:rPr>
        <w:t>Illustration</w:t>
      </w:r>
      <w:r>
        <w:rPr>
          <w:i/>
          <w:spacing w:val="-4"/>
          <w:sz w:val="14"/>
        </w:rPr>
        <w:t> </w:t>
      </w:r>
      <w:r>
        <w:rPr>
          <w:i/>
          <w:sz w:val="14"/>
        </w:rPr>
        <w:t>af</w:t>
      </w:r>
      <w:r>
        <w:rPr>
          <w:i/>
          <w:spacing w:val="-3"/>
          <w:sz w:val="14"/>
        </w:rPr>
        <w:t> </w:t>
      </w:r>
      <w:r>
        <w:rPr>
          <w:i/>
          <w:sz w:val="14"/>
        </w:rPr>
        <w:t>sammenkobling</w:t>
      </w:r>
      <w:r>
        <w:rPr>
          <w:i/>
          <w:spacing w:val="-4"/>
          <w:sz w:val="14"/>
        </w:rPr>
        <w:t> </w:t>
      </w:r>
      <w:r>
        <w:rPr>
          <w:i/>
          <w:sz w:val="14"/>
        </w:rPr>
        <w:t>af</w:t>
      </w:r>
      <w:r>
        <w:rPr>
          <w:i/>
          <w:spacing w:val="-3"/>
          <w:sz w:val="14"/>
        </w:rPr>
        <w:t> </w:t>
      </w:r>
      <w:r>
        <w:rPr>
          <w:i/>
          <w:sz w:val="14"/>
        </w:rPr>
        <w:t>en</w:t>
      </w:r>
      <w:r>
        <w:rPr>
          <w:i/>
          <w:spacing w:val="-4"/>
          <w:sz w:val="14"/>
        </w:rPr>
        <w:t> </w:t>
      </w:r>
      <w:r>
        <w:rPr>
          <w:i/>
          <w:sz w:val="14"/>
        </w:rPr>
        <w:t>national</w:t>
      </w:r>
      <w:r>
        <w:rPr>
          <w:i/>
          <w:spacing w:val="1"/>
          <w:sz w:val="14"/>
        </w:rPr>
        <w:t> </w:t>
      </w:r>
      <w:r>
        <w:rPr>
          <w:i/>
          <w:sz w:val="14"/>
        </w:rPr>
        <w:t>indendørs</w:t>
      </w:r>
      <w:r>
        <w:rPr>
          <w:i/>
          <w:spacing w:val="-4"/>
          <w:sz w:val="14"/>
        </w:rPr>
        <w:t> </w:t>
      </w:r>
      <w:r>
        <w:rPr>
          <w:i/>
          <w:sz w:val="14"/>
        </w:rPr>
        <w:t>steddatabase</w:t>
      </w:r>
      <w:r>
        <w:rPr>
          <w:i/>
          <w:spacing w:val="-2"/>
          <w:sz w:val="14"/>
        </w:rPr>
        <w:t> </w:t>
      </w:r>
      <w:r>
        <w:rPr>
          <w:i/>
          <w:sz w:val="14"/>
        </w:rPr>
        <w:t>med</w:t>
      </w:r>
      <w:r>
        <w:rPr>
          <w:i/>
          <w:spacing w:val="-3"/>
          <w:sz w:val="14"/>
        </w:rPr>
        <w:t> </w:t>
      </w:r>
      <w:r>
        <w:rPr>
          <w:i/>
          <w:sz w:val="14"/>
        </w:rPr>
        <w:t>data</w:t>
      </w:r>
      <w:r>
        <w:rPr>
          <w:i/>
          <w:spacing w:val="-2"/>
          <w:sz w:val="14"/>
        </w:rPr>
        <w:t> </w:t>
      </w:r>
      <w:r>
        <w:rPr>
          <w:i/>
          <w:sz w:val="14"/>
        </w:rPr>
        <w:t>om</w:t>
      </w:r>
      <w:r>
        <w:rPr>
          <w:i/>
          <w:spacing w:val="-2"/>
          <w:sz w:val="14"/>
        </w:rPr>
        <w:t> </w:t>
      </w:r>
      <w:r>
        <w:rPr>
          <w:i/>
          <w:sz w:val="14"/>
        </w:rPr>
        <w:t>energi- </w:t>
      </w:r>
      <w:r>
        <w:rPr>
          <w:i/>
          <w:sz w:val="14"/>
        </w:rPr>
        <w:t>forbrug og aktivitet i bygninger til at kunne skabe energieffektiviserings-løsninger. Nøgler baseres på koordinater og skabes i den Nationale Indendørs Steddatabase. Disse nøgler anvendes som kob- lingsled imellem forskellige typer af data med relevans for</w:t>
      </w:r>
      <w:r>
        <w:rPr>
          <w:i/>
          <w:spacing w:val="-16"/>
          <w:sz w:val="14"/>
        </w:rPr>
        <w:t> </w:t>
      </w:r>
      <w:r>
        <w:rPr>
          <w:i/>
          <w:sz w:val="14"/>
        </w:rPr>
        <w:t>energieffektivisering.</w:t>
      </w:r>
    </w:p>
    <w:p>
      <w:pPr>
        <w:pStyle w:val="BodyText"/>
        <w:spacing w:before="4"/>
        <w:rPr>
          <w:i/>
          <w:sz w:val="19"/>
        </w:rPr>
      </w:pPr>
    </w:p>
    <w:p>
      <w:pPr>
        <w:pStyle w:val="BodyText"/>
        <w:spacing w:line="278" w:lineRule="auto"/>
        <w:ind w:left="2649" w:right="1023"/>
      </w:pPr>
      <w:r>
        <w:rPr/>
        <w:t>I relation til energieffektivisering kan en indendørs steddatabase understøtte og fremme</w:t>
      </w:r>
      <w:r>
        <w:rPr>
          <w:spacing w:val="-16"/>
        </w:rPr>
        <w:t> </w:t>
      </w:r>
      <w:r>
        <w:rPr/>
        <w:t>anvendelsen</w:t>
      </w:r>
      <w:r>
        <w:rPr>
          <w:spacing w:val="-13"/>
        </w:rPr>
        <w:t> </w:t>
      </w:r>
      <w:r>
        <w:rPr/>
        <w:t>og</w:t>
      </w:r>
      <w:r>
        <w:rPr>
          <w:spacing w:val="-14"/>
        </w:rPr>
        <w:t> </w:t>
      </w:r>
      <w:r>
        <w:rPr/>
        <w:t>værdien</w:t>
      </w:r>
      <w:r>
        <w:rPr>
          <w:spacing w:val="-13"/>
        </w:rPr>
        <w:t> </w:t>
      </w:r>
      <w:r>
        <w:rPr/>
        <w:t>af</w:t>
      </w:r>
      <w:r>
        <w:rPr>
          <w:spacing w:val="-13"/>
        </w:rPr>
        <w:t> </w:t>
      </w:r>
      <w:r>
        <w:rPr/>
        <w:t>eksisterende</w:t>
      </w:r>
      <w:r>
        <w:rPr>
          <w:spacing w:val="-12"/>
        </w:rPr>
        <w:t> </w:t>
      </w:r>
      <w:r>
        <w:rPr/>
        <w:t>datasæt,</w:t>
      </w:r>
      <w:r>
        <w:rPr>
          <w:spacing w:val="-14"/>
        </w:rPr>
        <w:t> </w:t>
      </w:r>
      <w:r>
        <w:rPr/>
        <w:t>ved</w:t>
      </w:r>
      <w:r>
        <w:rPr>
          <w:spacing w:val="-14"/>
        </w:rPr>
        <w:t> </w:t>
      </w:r>
      <w:r>
        <w:rPr/>
        <w:t>at</w:t>
      </w:r>
      <w:r>
        <w:rPr>
          <w:spacing w:val="-13"/>
        </w:rPr>
        <w:t> </w:t>
      </w:r>
      <w:r>
        <w:rPr/>
        <w:t>tilbyde</w:t>
      </w:r>
      <w:r>
        <w:rPr>
          <w:spacing w:val="-11"/>
        </w:rPr>
        <w:t> </w:t>
      </w:r>
      <w:r>
        <w:rPr/>
        <w:t>en</w:t>
      </w:r>
      <w:r>
        <w:rPr>
          <w:spacing w:val="-13"/>
        </w:rPr>
        <w:t> </w:t>
      </w:r>
      <w:r>
        <w:rPr/>
        <w:t>ensartet</w:t>
      </w:r>
    </w:p>
    <w:p>
      <w:pPr>
        <w:pStyle w:val="BodyText"/>
        <w:spacing w:before="1"/>
        <w:rPr>
          <w:sz w:val="11"/>
        </w:rPr>
      </w:pPr>
      <w:r>
        <w:rPr/>
        <w:pict>
          <v:line style="position:absolute;mso-position-horizontal-relative:page;mso-position-vertical-relative:paragraph;z-index:2792;mso-wrap-distance-left:0;mso-wrap-distance-right:0" from="181.490005pt,8.963057pt" to="325.510005pt,8.963057pt" stroked="true" strokeweight=".47998pt" strokecolor="#000000">
            <v:stroke dashstyle="solid"/>
            <w10:wrap type="topAndBottom"/>
          </v:line>
        </w:pict>
      </w:r>
    </w:p>
    <w:p>
      <w:pPr>
        <w:pStyle w:val="BodyText"/>
        <w:spacing w:before="4"/>
      </w:pPr>
    </w:p>
    <w:p>
      <w:pPr>
        <w:spacing w:before="101"/>
        <w:ind w:left="2649" w:right="1077" w:firstLine="0"/>
        <w:jc w:val="left"/>
        <w:rPr>
          <w:sz w:val="15"/>
        </w:rPr>
      </w:pPr>
      <w:r>
        <w:rPr>
          <w:position w:val="5"/>
          <w:sz w:val="10"/>
        </w:rPr>
        <w:t>21 </w:t>
      </w:r>
      <w:r>
        <w:rPr>
          <w:sz w:val="15"/>
        </w:rPr>
        <w:t>Kapitlet bygger på rapporten ”Anvendelse af data i regioner og kommuner i forbindelse med energieffektiviseringer” (marts, 2018), som NIRAS har udarbejdet for Energistyrelsen og Styrelsen for Dataforsyning og</w:t>
      </w:r>
      <w:r>
        <w:rPr>
          <w:spacing w:val="-9"/>
          <w:sz w:val="15"/>
        </w:rPr>
        <w:t> </w:t>
      </w:r>
      <w:r>
        <w:rPr>
          <w:sz w:val="15"/>
        </w:rPr>
        <w:t>Effektivisering.</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768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28"/>
        <w:jc w:val="both"/>
      </w:pPr>
      <w:r>
        <w:rPr/>
        <w:t>struktur for organisering, kobling og ikke mindst visualisering af data. Derved kan data,</w:t>
      </w:r>
      <w:r>
        <w:rPr>
          <w:spacing w:val="-10"/>
        </w:rPr>
        <w:t> </w:t>
      </w:r>
      <w:r>
        <w:rPr/>
        <w:t>der</w:t>
      </w:r>
      <w:r>
        <w:rPr>
          <w:spacing w:val="-10"/>
        </w:rPr>
        <w:t> </w:t>
      </w:r>
      <w:r>
        <w:rPr/>
        <w:t>i</w:t>
      </w:r>
      <w:r>
        <w:rPr>
          <w:spacing w:val="-11"/>
        </w:rPr>
        <w:t> </w:t>
      </w:r>
      <w:r>
        <w:rPr/>
        <w:t>dag</w:t>
      </w:r>
      <w:r>
        <w:rPr>
          <w:spacing w:val="-9"/>
        </w:rPr>
        <w:t> </w:t>
      </w:r>
      <w:r>
        <w:rPr/>
        <w:t>ikke</w:t>
      </w:r>
      <w:r>
        <w:rPr>
          <w:spacing w:val="-11"/>
        </w:rPr>
        <w:t> </w:t>
      </w:r>
      <w:r>
        <w:rPr/>
        <w:t>kobles</w:t>
      </w:r>
      <w:r>
        <w:rPr>
          <w:spacing w:val="-10"/>
        </w:rPr>
        <w:t> </w:t>
      </w:r>
      <w:r>
        <w:rPr/>
        <w:t>eller</w:t>
      </w:r>
      <w:r>
        <w:rPr>
          <w:spacing w:val="-11"/>
        </w:rPr>
        <w:t> </w:t>
      </w:r>
      <w:r>
        <w:rPr/>
        <w:t>benyttes,</w:t>
      </w:r>
      <w:r>
        <w:rPr>
          <w:spacing w:val="-9"/>
        </w:rPr>
        <w:t> </w:t>
      </w:r>
      <w:r>
        <w:rPr/>
        <w:t>fordi</w:t>
      </w:r>
      <w:r>
        <w:rPr>
          <w:spacing w:val="-10"/>
        </w:rPr>
        <w:t> </w:t>
      </w:r>
      <w:r>
        <w:rPr/>
        <w:t>de</w:t>
      </w:r>
      <w:r>
        <w:rPr>
          <w:spacing w:val="-10"/>
        </w:rPr>
        <w:t> </w:t>
      </w:r>
      <w:r>
        <w:rPr/>
        <w:t>er</w:t>
      </w:r>
      <w:r>
        <w:rPr>
          <w:spacing w:val="-10"/>
        </w:rPr>
        <w:t> </w:t>
      </w:r>
      <w:r>
        <w:rPr/>
        <w:t>komplekse</w:t>
      </w:r>
      <w:r>
        <w:rPr>
          <w:spacing w:val="-11"/>
        </w:rPr>
        <w:t> </w:t>
      </w:r>
      <w:r>
        <w:rPr/>
        <w:t>at</w:t>
      </w:r>
      <w:r>
        <w:rPr>
          <w:spacing w:val="-11"/>
        </w:rPr>
        <w:t> </w:t>
      </w:r>
      <w:r>
        <w:rPr/>
        <w:t>overskue,</w:t>
      </w:r>
      <w:r>
        <w:rPr>
          <w:spacing w:val="-9"/>
        </w:rPr>
        <w:t> </w:t>
      </w:r>
      <w:r>
        <w:rPr/>
        <w:t>samles og</w:t>
      </w:r>
      <w:r>
        <w:rPr>
          <w:spacing w:val="-16"/>
        </w:rPr>
        <w:t> </w:t>
      </w:r>
      <w:r>
        <w:rPr/>
        <w:t>udstilles</w:t>
      </w:r>
      <w:r>
        <w:rPr>
          <w:spacing w:val="-15"/>
        </w:rPr>
        <w:t> </w:t>
      </w:r>
      <w:r>
        <w:rPr/>
        <w:t>på</w:t>
      </w:r>
      <w:r>
        <w:rPr>
          <w:spacing w:val="-15"/>
        </w:rPr>
        <w:t> </w:t>
      </w:r>
      <w:r>
        <w:rPr/>
        <w:t>nye</w:t>
      </w:r>
      <w:r>
        <w:rPr>
          <w:spacing w:val="-15"/>
        </w:rPr>
        <w:t> </w:t>
      </w:r>
      <w:r>
        <w:rPr/>
        <w:t>måder,</w:t>
      </w:r>
      <w:r>
        <w:rPr>
          <w:spacing w:val="-16"/>
        </w:rPr>
        <w:t> </w:t>
      </w:r>
      <w:r>
        <w:rPr/>
        <w:t>og</w:t>
      </w:r>
      <w:r>
        <w:rPr>
          <w:spacing w:val="-15"/>
        </w:rPr>
        <w:t> </w:t>
      </w:r>
      <w:r>
        <w:rPr/>
        <w:t>derved</w:t>
      </w:r>
      <w:r>
        <w:rPr>
          <w:spacing w:val="-16"/>
        </w:rPr>
        <w:t> </w:t>
      </w:r>
      <w:r>
        <w:rPr/>
        <w:t>gøres</w:t>
      </w:r>
      <w:r>
        <w:rPr>
          <w:spacing w:val="-15"/>
        </w:rPr>
        <w:t> </w:t>
      </w:r>
      <w:r>
        <w:rPr/>
        <w:t>lettere</w:t>
      </w:r>
      <w:r>
        <w:rPr>
          <w:spacing w:val="-16"/>
        </w:rPr>
        <w:t> </w:t>
      </w:r>
      <w:r>
        <w:rPr/>
        <w:t>at</w:t>
      </w:r>
      <w:r>
        <w:rPr>
          <w:spacing w:val="-15"/>
        </w:rPr>
        <w:t> </w:t>
      </w:r>
      <w:r>
        <w:rPr/>
        <w:t>handle</w:t>
      </w:r>
      <w:r>
        <w:rPr>
          <w:spacing w:val="-16"/>
        </w:rPr>
        <w:t> </w:t>
      </w:r>
      <w:r>
        <w:rPr/>
        <w:t>på.</w:t>
      </w:r>
      <w:r>
        <w:rPr>
          <w:spacing w:val="-14"/>
        </w:rPr>
        <w:t> </w:t>
      </w:r>
      <w:r>
        <w:rPr/>
        <w:t>Fx</w:t>
      </w:r>
      <w:r>
        <w:rPr>
          <w:spacing w:val="-14"/>
        </w:rPr>
        <w:t> </w:t>
      </w:r>
      <w:r>
        <w:rPr/>
        <w:t>gennem</w:t>
      </w:r>
      <w:r>
        <w:rPr>
          <w:spacing w:val="-16"/>
        </w:rPr>
        <w:t> </w:t>
      </w:r>
      <w:r>
        <w:rPr/>
        <w:t>modeller af bygninger, der på rum- eller zoneniveau viser aktuelle brugsmønstre,</w:t>
      </w:r>
      <w:r>
        <w:rPr>
          <w:spacing w:val="-29"/>
        </w:rPr>
        <w:t> </w:t>
      </w:r>
      <w:r>
        <w:rPr/>
        <w:t>indeklima- parametre og</w:t>
      </w:r>
      <w:r>
        <w:rPr>
          <w:spacing w:val="-3"/>
        </w:rPr>
        <w:t> </w:t>
      </w:r>
      <w:r>
        <w:rPr/>
        <w:t>forbrugstal.</w:t>
      </w:r>
    </w:p>
    <w:p>
      <w:pPr>
        <w:pStyle w:val="BodyText"/>
        <w:spacing w:before="9"/>
        <w:rPr>
          <w:sz w:val="20"/>
        </w:rPr>
      </w:pPr>
    </w:p>
    <w:p>
      <w:pPr>
        <w:pStyle w:val="Heading2"/>
        <w:numPr>
          <w:ilvl w:val="1"/>
          <w:numId w:val="18"/>
        </w:numPr>
        <w:tabs>
          <w:tab w:pos="2649" w:val="left" w:leader="none"/>
          <w:tab w:pos="2650" w:val="left" w:leader="none"/>
        </w:tabs>
        <w:spacing w:line="240" w:lineRule="auto" w:before="1" w:after="0"/>
        <w:ind w:left="2649" w:right="0" w:hanging="655"/>
        <w:jc w:val="left"/>
      </w:pPr>
      <w:bookmarkStart w:name="_bookmark60" w:id="61"/>
      <w:bookmarkEnd w:id="61"/>
      <w:r>
        <w:rPr/>
        <w:t>I</w:t>
      </w:r>
      <w:r>
        <w:rPr/>
        <w:t>ndsatser for energieffektivisering i</w:t>
      </w:r>
      <w:r>
        <w:rPr>
          <w:spacing w:val="-5"/>
        </w:rPr>
        <w:t> </w:t>
      </w:r>
      <w:r>
        <w:rPr/>
        <w:t>bygninger</w:t>
      </w:r>
    </w:p>
    <w:p>
      <w:pPr>
        <w:pStyle w:val="BodyText"/>
        <w:spacing w:line="278" w:lineRule="auto" w:before="38"/>
        <w:ind w:left="2649" w:right="1091"/>
      </w:pPr>
      <w:r>
        <w:rPr/>
        <w:t>Overordnet set arbejder kommuner og regioner med energieffektivisering af deres bygningsmasse via tre forskellige typer af indsatser. Som vist på </w:t>
      </w:r>
      <w:hyperlink w:history="true" w:anchor="_bookmark61">
        <w:r>
          <w:rPr/>
          <w:t>Figur 4.2 </w:t>
        </w:r>
      </w:hyperlink>
      <w:r>
        <w:rPr/>
        <w:t>tæller disse arealoptimering, driftsoptimering og energirenovering. I forhold til energief- fektiviseringsindsatsen, vil den indendørs steddatabase kunne understøtte indsat- sen inden for disse områder.</w:t>
      </w:r>
    </w:p>
    <w:p>
      <w:pPr>
        <w:pStyle w:val="BodyText"/>
        <w:spacing w:before="3"/>
        <w:rPr>
          <w:sz w:val="15"/>
        </w:rPr>
      </w:pPr>
      <w:r>
        <w:rPr/>
        <w:drawing>
          <wp:anchor distT="0" distB="0" distL="0" distR="0" allowOverlap="1" layoutInCell="1" locked="0" behindDoc="0" simplePos="0" relativeHeight="164">
            <wp:simplePos x="0" y="0"/>
            <wp:positionH relativeFrom="page">
              <wp:posOffset>3019679</wp:posOffset>
            </wp:positionH>
            <wp:positionV relativeFrom="paragraph">
              <wp:posOffset>142797</wp:posOffset>
            </wp:positionV>
            <wp:extent cx="3115004" cy="1987105"/>
            <wp:effectExtent l="0" t="0" r="0" b="0"/>
            <wp:wrapTopAndBottom/>
            <wp:docPr id="37" name="image28.png" descr=""/>
            <wp:cNvGraphicFramePr>
              <a:graphicFrameLocks noChangeAspect="1"/>
            </wp:cNvGraphicFramePr>
            <a:graphic>
              <a:graphicData uri="http://schemas.openxmlformats.org/drawingml/2006/picture">
                <pic:pic>
                  <pic:nvPicPr>
                    <pic:cNvPr id="38" name="image28.png"/>
                    <pic:cNvPicPr/>
                  </pic:nvPicPr>
                  <pic:blipFill>
                    <a:blip r:embed="rId40" cstate="print"/>
                    <a:stretch>
                      <a:fillRect/>
                    </a:stretch>
                  </pic:blipFill>
                  <pic:spPr>
                    <a:xfrm>
                      <a:off x="0" y="0"/>
                      <a:ext cx="3115004" cy="1987105"/>
                    </a:xfrm>
                    <a:prstGeom prst="rect">
                      <a:avLst/>
                    </a:prstGeom>
                  </pic:spPr>
                </pic:pic>
              </a:graphicData>
            </a:graphic>
          </wp:anchor>
        </w:drawing>
      </w:r>
    </w:p>
    <w:p>
      <w:pPr>
        <w:pStyle w:val="BodyText"/>
        <w:spacing w:before="4"/>
        <w:rPr>
          <w:sz w:val="18"/>
        </w:rPr>
      </w:pPr>
    </w:p>
    <w:p>
      <w:pPr>
        <w:spacing w:before="0"/>
        <w:ind w:left="2649" w:right="0" w:firstLine="0"/>
        <w:jc w:val="left"/>
        <w:rPr>
          <w:i/>
          <w:sz w:val="14"/>
        </w:rPr>
      </w:pPr>
      <w:bookmarkStart w:name="_bookmark61" w:id="62"/>
      <w:bookmarkEnd w:id="62"/>
      <w:r>
        <w:rPr/>
      </w:r>
      <w:r>
        <w:rPr>
          <w:i/>
          <w:sz w:val="14"/>
        </w:rPr>
        <w:t>Figur 4.2: Tre primære energieffektiviserende indsatser i kommunale og regionale ejendomme</w:t>
      </w:r>
    </w:p>
    <w:p>
      <w:pPr>
        <w:pStyle w:val="BodyText"/>
        <w:spacing w:before="3"/>
        <w:rPr>
          <w:i/>
          <w:sz w:val="19"/>
        </w:rPr>
      </w:pPr>
    </w:p>
    <w:p>
      <w:pPr>
        <w:pStyle w:val="ListParagraph"/>
        <w:numPr>
          <w:ilvl w:val="2"/>
          <w:numId w:val="18"/>
        </w:numPr>
        <w:tabs>
          <w:tab w:pos="2932" w:val="left" w:leader="none"/>
          <w:tab w:pos="2933" w:val="left" w:leader="none"/>
        </w:tabs>
        <w:spacing w:line="278" w:lineRule="auto" w:before="0" w:after="0"/>
        <w:ind w:left="2933" w:right="1037" w:hanging="284"/>
        <w:jc w:val="left"/>
        <w:rPr>
          <w:sz w:val="17"/>
        </w:rPr>
      </w:pPr>
      <w:r>
        <w:rPr>
          <w:b/>
          <w:sz w:val="17"/>
        </w:rPr>
        <w:t>Arealoptimering </w:t>
      </w:r>
      <w:r>
        <w:rPr>
          <w:sz w:val="17"/>
        </w:rPr>
        <w:t>handler om at udnytte det indendørs areal bedst muligt, så der ikke bruges unødige drifts- og energiudgifter. Arealoptimering indbefatter ofte sammenlægning af aktiviteter og institutioner, udvidelse af åbningstider og brugergrupper samt intensivering af brug. Der er pt. stort fokus på arealopti- mering, da der knytter sig betydelige besparelsespotentialer til</w:t>
      </w:r>
      <w:r>
        <w:rPr>
          <w:spacing w:val="-14"/>
          <w:sz w:val="17"/>
        </w:rPr>
        <w:t> </w:t>
      </w:r>
      <w:r>
        <w:rPr>
          <w:sz w:val="17"/>
        </w:rPr>
        <w:t>området.</w:t>
      </w:r>
    </w:p>
    <w:p>
      <w:pPr>
        <w:pStyle w:val="BodyText"/>
        <w:spacing w:before="9"/>
        <w:rPr>
          <w:sz w:val="19"/>
        </w:rPr>
      </w:pPr>
    </w:p>
    <w:p>
      <w:pPr>
        <w:pStyle w:val="ListParagraph"/>
        <w:numPr>
          <w:ilvl w:val="2"/>
          <w:numId w:val="18"/>
        </w:numPr>
        <w:tabs>
          <w:tab w:pos="2932" w:val="left" w:leader="none"/>
          <w:tab w:pos="2933" w:val="left" w:leader="none"/>
        </w:tabs>
        <w:spacing w:line="278" w:lineRule="auto" w:before="0" w:after="0"/>
        <w:ind w:left="2933" w:right="1057" w:hanging="284"/>
        <w:jc w:val="left"/>
        <w:rPr>
          <w:sz w:val="17"/>
        </w:rPr>
      </w:pPr>
      <w:r>
        <w:rPr>
          <w:b/>
          <w:sz w:val="17"/>
        </w:rPr>
        <w:t>Driftsoptimering </w:t>
      </w:r>
      <w:r>
        <w:rPr>
          <w:sz w:val="17"/>
        </w:rPr>
        <w:t>handler om at sikre optimal drift af bygninger uden unødigt ressourceforbrug. Det kan fx være indregulering af varme- og ventilationsan- læg, intelligent styring af bygninger, løbende forbrugsovervågning samt etable- ring af arbejdsgange der sikrer, at lækager og utilsigtet forbrug hurtigt kan stoppes. Detaljerede indeklima- og forbrugsdata er en vigtig forudsætning for driftsoptimering af</w:t>
      </w:r>
      <w:r>
        <w:rPr>
          <w:spacing w:val="-1"/>
          <w:sz w:val="17"/>
        </w:rPr>
        <w:t> </w:t>
      </w:r>
      <w:r>
        <w:rPr>
          <w:sz w:val="17"/>
        </w:rPr>
        <w:t>byggemassen.</w:t>
      </w:r>
    </w:p>
    <w:p>
      <w:pPr>
        <w:pStyle w:val="BodyText"/>
        <w:spacing w:before="10"/>
        <w:rPr>
          <w:sz w:val="19"/>
        </w:rPr>
      </w:pPr>
    </w:p>
    <w:p>
      <w:pPr>
        <w:pStyle w:val="ListParagraph"/>
        <w:numPr>
          <w:ilvl w:val="2"/>
          <w:numId w:val="18"/>
        </w:numPr>
        <w:tabs>
          <w:tab w:pos="2932" w:val="left" w:leader="none"/>
          <w:tab w:pos="2933" w:val="left" w:leader="none"/>
        </w:tabs>
        <w:spacing w:line="278" w:lineRule="auto" w:before="0" w:after="0"/>
        <w:ind w:left="2933" w:right="1039" w:hanging="284"/>
        <w:jc w:val="left"/>
        <w:rPr>
          <w:sz w:val="17"/>
        </w:rPr>
      </w:pPr>
      <w:r>
        <w:rPr>
          <w:b/>
          <w:sz w:val="17"/>
        </w:rPr>
        <w:t>Energirenovering </w:t>
      </w:r>
      <w:r>
        <w:rPr>
          <w:sz w:val="17"/>
        </w:rPr>
        <w:t>handler mere eller mindre gennemgribende renovering af bygningsmassen som fx udskiftning af ineffektive installationer og efterisolering af</w:t>
      </w:r>
      <w:r>
        <w:rPr>
          <w:spacing w:val="-1"/>
          <w:sz w:val="17"/>
        </w:rPr>
        <w:t> </w:t>
      </w:r>
      <w:r>
        <w:rPr>
          <w:sz w:val="17"/>
        </w:rPr>
        <w:t>klimaskærmen.</w:t>
      </w:r>
    </w:p>
    <w:p>
      <w:pPr>
        <w:pStyle w:val="BodyText"/>
        <w:spacing w:before="5"/>
        <w:rPr>
          <w:sz w:val="21"/>
        </w:rPr>
      </w:pPr>
    </w:p>
    <w:p>
      <w:pPr>
        <w:pStyle w:val="BodyText"/>
        <w:spacing w:line="278" w:lineRule="auto"/>
        <w:ind w:left="2649" w:right="1131"/>
        <w:jc w:val="both"/>
      </w:pPr>
      <w:r>
        <w:rPr/>
        <w:t>Til hver af ovenstående indsatser knytter der sig en række specifikke datapotenti- aler og databehov. Disse er illustreret i tabellen i </w:t>
      </w:r>
      <w:hyperlink w:history="true" w:anchor="_bookmark120">
        <w:r>
          <w:rPr/>
          <w:t>”Appendix 5: </w:t>
        </w:r>
      </w:hyperlink>
      <w:hyperlink w:history="true" w:anchor="_bookmark120">
        <w:r>
          <w:rPr/>
          <w:t>Datapotentialer og</w:t>
        </w:r>
      </w:hyperlink>
      <w:r>
        <w:rPr/>
        <w:t> </w:t>
      </w:r>
      <w:hyperlink w:history="true" w:anchor="_bookmark120">
        <w:r>
          <w:rPr/>
          <w:t>databehov for energieffektiviserende indsatser</w:t>
        </w:r>
      </w:hyperlink>
      <w:r>
        <w:rPr/>
        <w:t>”.</w:t>
      </w:r>
    </w:p>
    <w:p>
      <w:pPr>
        <w:pStyle w:val="BodyText"/>
        <w:spacing w:before="9"/>
        <w:rPr>
          <w:sz w:val="20"/>
        </w:rPr>
      </w:pPr>
    </w:p>
    <w:p>
      <w:pPr>
        <w:pStyle w:val="Heading2"/>
        <w:numPr>
          <w:ilvl w:val="1"/>
          <w:numId w:val="18"/>
        </w:numPr>
        <w:tabs>
          <w:tab w:pos="2649" w:val="left" w:leader="none"/>
          <w:tab w:pos="2650" w:val="left" w:leader="none"/>
        </w:tabs>
        <w:spacing w:line="261" w:lineRule="auto" w:before="1" w:after="0"/>
        <w:ind w:left="2649" w:right="1432" w:hanging="655"/>
        <w:jc w:val="left"/>
      </w:pPr>
      <w:bookmarkStart w:name="_bookmark62" w:id="63"/>
      <w:bookmarkEnd w:id="63"/>
      <w:r>
        <w:rPr/>
        <w:t>A</w:t>
      </w:r>
      <w:r>
        <w:rPr/>
        <w:t>nvendelsesindsatser med relevans for indendørs geografi i forhold til</w:t>
      </w:r>
      <w:r>
        <w:rPr>
          <w:spacing w:val="-10"/>
        </w:rPr>
        <w:t> </w:t>
      </w:r>
      <w:r>
        <w:rPr/>
        <w:t>energieffektivisering</w:t>
      </w:r>
    </w:p>
    <w:p>
      <w:pPr>
        <w:pStyle w:val="BodyText"/>
        <w:spacing w:line="278" w:lineRule="auto" w:before="12"/>
        <w:ind w:left="2649" w:right="1155"/>
      </w:pPr>
      <w:r>
        <w:rPr/>
        <w:t>I det følgende kapitel ses der nærmere på nogle overordnede anvendelser af en indendørs steddatabase i kombination med energiforbrugsdata for bygninger i re- lation til indsatser for energieffektivisering jf. strukturen i </w:t>
      </w:r>
      <w:hyperlink w:history="true" w:anchor="_bookmark61">
        <w:r>
          <w:rPr/>
          <w:t>Figur 4.2</w:t>
        </w:r>
      </w:hyperlink>
      <w:r>
        <w:rPr/>
        <w:t>.</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group style="position:absolute;margin-left:56.465145pt;margin-top:-.222301pt;width:112.9pt;height:841.1pt;mso-position-horizontal-relative:page;mso-position-vertical-relative:page;z-index:-177592" coordorigin="1129,-4" coordsize="2258,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134;top:1844;width:1638;height:1638" type="#_x0000_t75" stroked="false">
              <v:imagedata r:id="rId41" o:title=""/>
            </v:shape>
            <v:shape style="position:absolute;left:1134;top:7629;width:1640;height:1640" type="#_x0000_t75" stroked="false">
              <v:imagedata r:id="rId42" o:title=""/>
            </v:shape>
            <v:shape style="position:absolute;left:1134;top:11549;width:1638;height:1638" type="#_x0000_t75" stroked="false">
              <v:imagedata r:id="rId43" o:title=""/>
            </v:shape>
            <w10:wrap type="none"/>
          </v:group>
        </w:pict>
      </w:r>
    </w:p>
    <w:p>
      <w:pPr>
        <w:pStyle w:val="BodyText"/>
        <w:rPr>
          <w:sz w:val="20"/>
        </w:rPr>
      </w:pPr>
    </w:p>
    <w:p>
      <w:pPr>
        <w:pStyle w:val="BodyText"/>
        <w:spacing w:before="4"/>
        <w:rPr>
          <w:sz w:val="23"/>
        </w:rPr>
      </w:pPr>
    </w:p>
    <w:p>
      <w:pPr>
        <w:pStyle w:val="ListParagraph"/>
        <w:numPr>
          <w:ilvl w:val="2"/>
          <w:numId w:val="19"/>
        </w:numPr>
        <w:tabs>
          <w:tab w:pos="2649" w:val="left" w:leader="none"/>
          <w:tab w:pos="2650" w:val="left" w:leader="none"/>
        </w:tabs>
        <w:spacing w:line="278" w:lineRule="auto" w:before="99" w:after="0"/>
        <w:ind w:left="2649" w:right="1029" w:hanging="799"/>
        <w:jc w:val="left"/>
        <w:rPr>
          <w:sz w:val="17"/>
        </w:rPr>
      </w:pPr>
      <w:bookmarkStart w:name="_bookmark63" w:id="64"/>
      <w:bookmarkEnd w:id="64"/>
      <w:r>
        <w:rPr>
          <w:b/>
          <w:sz w:val="20"/>
        </w:rPr>
        <w:t>V</w:t>
      </w:r>
      <w:r>
        <w:rPr>
          <w:b/>
          <w:sz w:val="20"/>
        </w:rPr>
        <w:t>isualisering af energiforbrug til brug for driftsoptimering </w:t>
      </w:r>
      <w:r>
        <w:rPr>
          <w:sz w:val="17"/>
        </w:rPr>
        <w:t>Udrulning og anvendelse af fjernaflæste, digitale målere med hyppig</w:t>
      </w:r>
      <w:r>
        <w:rPr>
          <w:spacing w:val="-33"/>
          <w:sz w:val="17"/>
        </w:rPr>
        <w:t> </w:t>
      </w:r>
      <w:r>
        <w:rPr>
          <w:sz w:val="17"/>
        </w:rPr>
        <w:t>målefrekvens, skaber</w:t>
      </w:r>
      <w:r>
        <w:rPr>
          <w:spacing w:val="-15"/>
          <w:sz w:val="17"/>
        </w:rPr>
        <w:t> </w:t>
      </w:r>
      <w:r>
        <w:rPr>
          <w:sz w:val="17"/>
        </w:rPr>
        <w:t>nye</w:t>
      </w:r>
      <w:r>
        <w:rPr>
          <w:spacing w:val="-14"/>
          <w:sz w:val="17"/>
        </w:rPr>
        <w:t> </w:t>
      </w:r>
      <w:r>
        <w:rPr>
          <w:sz w:val="17"/>
        </w:rPr>
        <w:t>muligheder</w:t>
      </w:r>
      <w:r>
        <w:rPr>
          <w:spacing w:val="-14"/>
          <w:sz w:val="17"/>
        </w:rPr>
        <w:t> </w:t>
      </w:r>
      <w:r>
        <w:rPr>
          <w:sz w:val="17"/>
        </w:rPr>
        <w:t>i</w:t>
      </w:r>
      <w:r>
        <w:rPr>
          <w:spacing w:val="-15"/>
          <w:sz w:val="17"/>
        </w:rPr>
        <w:t> </w:t>
      </w:r>
      <w:r>
        <w:rPr>
          <w:sz w:val="17"/>
        </w:rPr>
        <w:t>forhold</w:t>
      </w:r>
      <w:r>
        <w:rPr>
          <w:spacing w:val="-14"/>
          <w:sz w:val="17"/>
        </w:rPr>
        <w:t> </w:t>
      </w:r>
      <w:r>
        <w:rPr>
          <w:sz w:val="17"/>
        </w:rPr>
        <w:t>til</w:t>
      </w:r>
      <w:r>
        <w:rPr>
          <w:spacing w:val="-16"/>
          <w:sz w:val="17"/>
        </w:rPr>
        <w:t> </w:t>
      </w:r>
      <w:r>
        <w:rPr>
          <w:sz w:val="17"/>
        </w:rPr>
        <w:t>optimering</w:t>
      </w:r>
      <w:r>
        <w:rPr>
          <w:spacing w:val="-15"/>
          <w:sz w:val="17"/>
        </w:rPr>
        <w:t> </w:t>
      </w:r>
      <w:r>
        <w:rPr>
          <w:sz w:val="17"/>
        </w:rPr>
        <w:t>af</w:t>
      </w:r>
      <w:r>
        <w:rPr>
          <w:spacing w:val="-13"/>
          <w:sz w:val="17"/>
        </w:rPr>
        <w:t> </w:t>
      </w:r>
      <w:r>
        <w:rPr>
          <w:sz w:val="17"/>
        </w:rPr>
        <w:t>energiforbruget.</w:t>
      </w:r>
      <w:r>
        <w:rPr>
          <w:spacing w:val="-13"/>
          <w:sz w:val="17"/>
        </w:rPr>
        <w:t> </w:t>
      </w:r>
      <w:r>
        <w:rPr>
          <w:sz w:val="17"/>
        </w:rPr>
        <w:t>De</w:t>
      </w:r>
      <w:r>
        <w:rPr>
          <w:spacing w:val="-15"/>
          <w:sz w:val="17"/>
        </w:rPr>
        <w:t> </w:t>
      </w:r>
      <w:r>
        <w:rPr>
          <w:sz w:val="17"/>
        </w:rPr>
        <w:t>nye</w:t>
      </w:r>
      <w:r>
        <w:rPr>
          <w:spacing w:val="-14"/>
          <w:sz w:val="17"/>
        </w:rPr>
        <w:t> </w:t>
      </w:r>
      <w:r>
        <w:rPr>
          <w:sz w:val="17"/>
        </w:rPr>
        <w:t>teknologier stiller nye data til rådighed, og muliggør at data kan anvendes til at identificere energibesparelsespotentialer. I den forbindelse kan nævnes, at aflæsning af ener- giforbrug i neartime/realtime kan anvendes til</w:t>
      </w:r>
      <w:r>
        <w:rPr>
          <w:spacing w:val="-5"/>
          <w:sz w:val="17"/>
        </w:rPr>
        <w:t> </w:t>
      </w:r>
      <w:r>
        <w:rPr>
          <w:sz w:val="17"/>
        </w:rPr>
        <w:t>at:</w:t>
      </w:r>
    </w:p>
    <w:p>
      <w:pPr>
        <w:pStyle w:val="BodyText"/>
        <w:spacing w:before="4"/>
        <w:rPr>
          <w:sz w:val="18"/>
        </w:rPr>
      </w:pPr>
    </w:p>
    <w:p>
      <w:pPr>
        <w:pStyle w:val="ListParagraph"/>
        <w:numPr>
          <w:ilvl w:val="3"/>
          <w:numId w:val="19"/>
        </w:numPr>
        <w:tabs>
          <w:tab w:pos="3369" w:val="left" w:leader="none"/>
          <w:tab w:pos="3370" w:val="left" w:leader="none"/>
        </w:tabs>
        <w:spacing w:line="264" w:lineRule="auto" w:before="0" w:after="0"/>
        <w:ind w:left="3369" w:right="1030" w:hanging="360"/>
        <w:jc w:val="left"/>
        <w:rPr>
          <w:sz w:val="17"/>
        </w:rPr>
      </w:pPr>
      <w:r>
        <w:rPr>
          <w:i/>
          <w:sz w:val="17"/>
        </w:rPr>
        <w:t>identificere lækager </w:t>
      </w:r>
      <w:r>
        <w:rPr>
          <w:sz w:val="17"/>
        </w:rPr>
        <w:t>via overvågning af el-, vand- og varmeforbrug og ind- stilling af alarmer ved</w:t>
      </w:r>
      <w:r>
        <w:rPr>
          <w:spacing w:val="-3"/>
          <w:sz w:val="17"/>
        </w:rPr>
        <w:t> </w:t>
      </w:r>
      <w:r>
        <w:rPr>
          <w:sz w:val="17"/>
        </w:rPr>
        <w:t>overforbrug</w:t>
      </w:r>
    </w:p>
    <w:p>
      <w:pPr>
        <w:pStyle w:val="ListParagraph"/>
        <w:numPr>
          <w:ilvl w:val="3"/>
          <w:numId w:val="19"/>
        </w:numPr>
        <w:tabs>
          <w:tab w:pos="3369" w:val="left" w:leader="none"/>
          <w:tab w:pos="3370" w:val="left" w:leader="none"/>
        </w:tabs>
        <w:spacing w:line="264" w:lineRule="auto" w:before="11" w:after="0"/>
        <w:ind w:left="3369" w:right="1029" w:hanging="360"/>
        <w:jc w:val="left"/>
        <w:rPr>
          <w:sz w:val="17"/>
        </w:rPr>
      </w:pPr>
      <w:r>
        <w:rPr>
          <w:i/>
          <w:sz w:val="17"/>
        </w:rPr>
        <w:t>identificere uregelmæssige adfærdsmønstre </w:t>
      </w:r>
      <w:r>
        <w:rPr>
          <w:sz w:val="17"/>
        </w:rPr>
        <w:t>i energiforbruget, så der kan handles</w:t>
      </w:r>
      <w:r>
        <w:rPr>
          <w:spacing w:val="-1"/>
          <w:sz w:val="17"/>
        </w:rPr>
        <w:t> </w:t>
      </w:r>
      <w:r>
        <w:rPr>
          <w:sz w:val="17"/>
        </w:rPr>
        <w:t>rettidigt</w:t>
      </w:r>
    </w:p>
    <w:p>
      <w:pPr>
        <w:pStyle w:val="ListParagraph"/>
        <w:numPr>
          <w:ilvl w:val="3"/>
          <w:numId w:val="19"/>
        </w:numPr>
        <w:tabs>
          <w:tab w:pos="3369" w:val="left" w:leader="none"/>
          <w:tab w:pos="3370" w:val="left" w:leader="none"/>
        </w:tabs>
        <w:spacing w:line="264" w:lineRule="auto" w:before="10" w:after="0"/>
        <w:ind w:left="3369" w:right="1029" w:hanging="360"/>
        <w:jc w:val="left"/>
        <w:rPr>
          <w:sz w:val="17"/>
        </w:rPr>
      </w:pPr>
      <w:r>
        <w:rPr>
          <w:sz w:val="17"/>
        </w:rPr>
        <w:t>danne</w:t>
      </w:r>
      <w:r>
        <w:rPr>
          <w:spacing w:val="-11"/>
          <w:sz w:val="17"/>
        </w:rPr>
        <w:t> </w:t>
      </w:r>
      <w:r>
        <w:rPr>
          <w:sz w:val="17"/>
        </w:rPr>
        <w:t>grundlag</w:t>
      </w:r>
      <w:r>
        <w:rPr>
          <w:spacing w:val="-10"/>
          <w:sz w:val="17"/>
        </w:rPr>
        <w:t> </w:t>
      </w:r>
      <w:r>
        <w:rPr>
          <w:sz w:val="17"/>
        </w:rPr>
        <w:t>for</w:t>
      </w:r>
      <w:r>
        <w:rPr>
          <w:spacing w:val="-13"/>
          <w:sz w:val="17"/>
        </w:rPr>
        <w:t> </w:t>
      </w:r>
      <w:r>
        <w:rPr>
          <w:i/>
          <w:sz w:val="17"/>
        </w:rPr>
        <w:t>udvikling</w:t>
      </w:r>
      <w:r>
        <w:rPr>
          <w:i/>
          <w:spacing w:val="-10"/>
          <w:sz w:val="17"/>
        </w:rPr>
        <w:t> </w:t>
      </w:r>
      <w:r>
        <w:rPr>
          <w:i/>
          <w:sz w:val="17"/>
        </w:rPr>
        <w:t>af</w:t>
      </w:r>
      <w:r>
        <w:rPr>
          <w:i/>
          <w:spacing w:val="-12"/>
          <w:sz w:val="17"/>
        </w:rPr>
        <w:t> </w:t>
      </w:r>
      <w:r>
        <w:rPr>
          <w:i/>
          <w:sz w:val="17"/>
        </w:rPr>
        <w:t>benchmarking</w:t>
      </w:r>
      <w:r>
        <w:rPr>
          <w:i/>
          <w:spacing w:val="-10"/>
          <w:sz w:val="17"/>
        </w:rPr>
        <w:t> </w:t>
      </w:r>
      <w:r>
        <w:rPr>
          <w:sz w:val="17"/>
        </w:rPr>
        <w:t>værktøjer</w:t>
      </w:r>
      <w:r>
        <w:rPr>
          <w:spacing w:val="-12"/>
          <w:sz w:val="17"/>
        </w:rPr>
        <w:t> </w:t>
      </w:r>
      <w:r>
        <w:rPr>
          <w:sz w:val="17"/>
        </w:rPr>
        <w:t>(herunder</w:t>
      </w:r>
      <w:r>
        <w:rPr>
          <w:spacing w:val="-11"/>
          <w:sz w:val="17"/>
        </w:rPr>
        <w:t> </w:t>
      </w:r>
      <w:r>
        <w:rPr>
          <w:sz w:val="17"/>
        </w:rPr>
        <w:t>præcise nøgletal og</w:t>
      </w:r>
      <w:r>
        <w:rPr>
          <w:spacing w:val="-3"/>
          <w:sz w:val="17"/>
        </w:rPr>
        <w:t> </w:t>
      </w:r>
      <w:r>
        <w:rPr>
          <w:sz w:val="17"/>
        </w:rPr>
        <w:t>baseline)</w:t>
      </w:r>
    </w:p>
    <w:p>
      <w:pPr>
        <w:pStyle w:val="BodyText"/>
        <w:spacing w:before="1"/>
        <w:rPr>
          <w:sz w:val="20"/>
        </w:rPr>
      </w:pPr>
    </w:p>
    <w:p>
      <w:pPr>
        <w:pStyle w:val="BodyText"/>
        <w:spacing w:line="278" w:lineRule="auto"/>
        <w:ind w:left="2649" w:right="1028"/>
        <w:jc w:val="both"/>
      </w:pPr>
      <w:r>
        <w:rPr/>
        <w:t>Kobling til en indendørs steddatabase kan medvirke til at knytte målerne (både</w:t>
      </w:r>
      <w:r>
        <w:rPr>
          <w:spacing w:val="-29"/>
        </w:rPr>
        <w:t> </w:t>
      </w:r>
      <w:r>
        <w:rPr/>
        <w:t>ho- ved- og bi-målere) op på de rum, hvor de er installeret. På den måde kan energi- forbruget opdeles efter bygningernes forskellige rum, fløje eller zoner. Dette giver en ensartet struktur og et forbedret visuelt overblik over energiforbruget, idet fx målerne kan knyttes op på de rum de er installeret i. Endvidere kan der skabes et bedre overblik over hvilke rum eller zoner, som de forskellige målere eller installa- tioner betjener eller forsyner. På den måde kan en indendørs steddatabase kan</w:t>
      </w:r>
      <w:r>
        <w:rPr>
          <w:spacing w:val="-34"/>
        </w:rPr>
        <w:t> </w:t>
      </w:r>
      <w:r>
        <w:rPr/>
        <w:t>un- derstøtte driftsoptimering ved at skabe et forbedret grundlag for central styring af energiforbruget i</w:t>
      </w:r>
      <w:r>
        <w:rPr>
          <w:spacing w:val="-2"/>
        </w:rPr>
        <w:t> </w:t>
      </w:r>
      <w:r>
        <w:rPr/>
        <w:t>bygninger.</w:t>
      </w:r>
    </w:p>
    <w:p>
      <w:pPr>
        <w:pStyle w:val="BodyText"/>
        <w:spacing w:before="10"/>
        <w:rPr>
          <w:sz w:val="21"/>
        </w:rPr>
      </w:pPr>
    </w:p>
    <w:p>
      <w:pPr>
        <w:pStyle w:val="Heading3"/>
        <w:numPr>
          <w:ilvl w:val="2"/>
          <w:numId w:val="19"/>
        </w:numPr>
        <w:tabs>
          <w:tab w:pos="2649" w:val="left" w:leader="none"/>
          <w:tab w:pos="2650" w:val="left" w:leader="none"/>
        </w:tabs>
        <w:spacing w:line="240" w:lineRule="auto" w:before="1" w:after="0"/>
        <w:ind w:left="2649" w:right="0" w:hanging="799"/>
        <w:jc w:val="left"/>
      </w:pPr>
      <w:bookmarkStart w:name="_bookmark64" w:id="65"/>
      <w:bookmarkEnd w:id="65"/>
      <w:r>
        <w:rPr/>
        <w:t>Forb</w:t>
      </w:r>
      <w:r>
        <w:rPr/>
        <w:t>edret grundlag for integration med</w:t>
      </w:r>
      <w:r>
        <w:rPr>
          <w:spacing w:val="-8"/>
        </w:rPr>
        <w:t> </w:t>
      </w:r>
      <w:r>
        <w:rPr/>
        <w:t>aktivitetsdata</w:t>
      </w:r>
    </w:p>
    <w:p>
      <w:pPr>
        <w:pStyle w:val="BodyText"/>
        <w:spacing w:line="278" w:lineRule="auto" w:before="34"/>
        <w:ind w:left="2649" w:right="1028"/>
        <w:jc w:val="both"/>
      </w:pPr>
      <w:r>
        <w:rPr/>
        <w:t>En indendørs steddatabase kan også benyttes til i forhold til anvendelse af aktivi- </w:t>
      </w:r>
      <w:r>
        <w:rPr>
          <w:position w:val="1"/>
        </w:rPr>
        <w:t>tetsdata/brugsdata.</w:t>
      </w:r>
      <w:r>
        <w:rPr>
          <w:spacing w:val="-13"/>
          <w:position w:val="1"/>
        </w:rPr>
        <w:t> </w:t>
      </w:r>
      <w:r>
        <w:rPr>
          <w:position w:val="1"/>
        </w:rPr>
        <w:t>Det</w:t>
      </w:r>
      <w:r>
        <w:rPr>
          <w:spacing w:val="-13"/>
          <w:position w:val="1"/>
        </w:rPr>
        <w:t> </w:t>
      </w:r>
      <w:r>
        <w:rPr>
          <w:position w:val="1"/>
        </w:rPr>
        <w:t>være</w:t>
      </w:r>
      <w:r>
        <w:rPr>
          <w:spacing w:val="-13"/>
          <w:position w:val="1"/>
        </w:rPr>
        <w:t> </w:t>
      </w:r>
      <w:r>
        <w:rPr>
          <w:position w:val="1"/>
        </w:rPr>
        <w:t>sig</w:t>
      </w:r>
      <w:r>
        <w:rPr>
          <w:spacing w:val="-14"/>
          <w:position w:val="1"/>
        </w:rPr>
        <w:t> </w:t>
      </w:r>
      <w:r>
        <w:rPr>
          <w:position w:val="1"/>
        </w:rPr>
        <w:t>data</w:t>
      </w:r>
      <w:r>
        <w:rPr>
          <w:spacing w:val="-11"/>
          <w:position w:val="1"/>
        </w:rPr>
        <w:t> </w:t>
      </w:r>
      <w:r>
        <w:rPr>
          <w:position w:val="1"/>
        </w:rPr>
        <w:t>om</w:t>
      </w:r>
      <w:r>
        <w:rPr>
          <w:spacing w:val="-14"/>
          <w:position w:val="1"/>
        </w:rPr>
        <w:t> </w:t>
      </w:r>
      <w:r>
        <w:rPr>
          <w:position w:val="1"/>
        </w:rPr>
        <w:t>brug</w:t>
      </w:r>
      <w:r>
        <w:rPr>
          <w:spacing w:val="-10"/>
          <w:position w:val="1"/>
        </w:rPr>
        <w:t> </w:t>
      </w:r>
      <w:r>
        <w:rPr>
          <w:position w:val="1"/>
        </w:rPr>
        <w:t>af</w:t>
      </w:r>
      <w:r>
        <w:rPr>
          <w:spacing w:val="-13"/>
          <w:position w:val="1"/>
        </w:rPr>
        <w:t> </w:t>
      </w:r>
      <w:r>
        <w:rPr>
          <w:position w:val="1"/>
        </w:rPr>
        <w:t>bygningen,</w:t>
      </w:r>
      <w:r>
        <w:rPr>
          <w:spacing w:val="-12"/>
          <w:position w:val="1"/>
        </w:rPr>
        <w:t> </w:t>
      </w:r>
      <w:r>
        <w:rPr>
          <w:position w:val="1"/>
        </w:rPr>
        <w:t>fx</w:t>
      </w:r>
      <w:r>
        <w:rPr>
          <w:spacing w:val="-13"/>
          <w:position w:val="1"/>
        </w:rPr>
        <w:t> </w:t>
      </w:r>
      <w:r>
        <w:rPr>
          <w:position w:val="1"/>
        </w:rPr>
        <w:t>fra</w:t>
      </w:r>
      <w:r>
        <w:rPr>
          <w:spacing w:val="-11"/>
          <w:position w:val="1"/>
        </w:rPr>
        <w:t> </w:t>
      </w:r>
      <w:r>
        <w:rPr>
          <w:position w:val="1"/>
        </w:rPr>
        <w:t>sensordata</w:t>
      </w:r>
      <w:r>
        <w:rPr>
          <w:spacing w:val="-13"/>
          <w:position w:val="1"/>
        </w:rPr>
        <w:t> </w:t>
      </w:r>
      <w:r>
        <w:rPr>
          <w:position w:val="1"/>
        </w:rPr>
        <w:t>(CO</w:t>
      </w:r>
      <w:r>
        <w:rPr>
          <w:sz w:val="11"/>
        </w:rPr>
        <w:t>2 </w:t>
      </w:r>
      <w:r>
        <w:rPr/>
        <w:t>mv.),</w:t>
      </w:r>
      <w:r>
        <w:rPr>
          <w:spacing w:val="-17"/>
        </w:rPr>
        <w:t> </w:t>
      </w:r>
      <w:r>
        <w:rPr/>
        <w:t>data</w:t>
      </w:r>
      <w:r>
        <w:rPr>
          <w:spacing w:val="-15"/>
        </w:rPr>
        <w:t> </w:t>
      </w:r>
      <w:r>
        <w:rPr/>
        <w:t>fra</w:t>
      </w:r>
      <w:r>
        <w:rPr>
          <w:spacing w:val="-15"/>
        </w:rPr>
        <w:t> </w:t>
      </w:r>
      <w:r>
        <w:rPr/>
        <w:t>booking-,</w:t>
      </w:r>
      <w:r>
        <w:rPr>
          <w:spacing w:val="-15"/>
        </w:rPr>
        <w:t> </w:t>
      </w:r>
      <w:r>
        <w:rPr/>
        <w:t>låse</w:t>
      </w:r>
      <w:r>
        <w:rPr>
          <w:spacing w:val="-17"/>
        </w:rPr>
        <w:t> </w:t>
      </w:r>
      <w:r>
        <w:rPr/>
        <w:t>og</w:t>
      </w:r>
      <w:r>
        <w:rPr>
          <w:spacing w:val="-16"/>
        </w:rPr>
        <w:t> </w:t>
      </w:r>
      <w:r>
        <w:rPr/>
        <w:t>alarmsystemer</w:t>
      </w:r>
      <w:r>
        <w:rPr>
          <w:spacing w:val="-16"/>
        </w:rPr>
        <w:t> </w:t>
      </w:r>
      <w:r>
        <w:rPr/>
        <w:t>mm.,</w:t>
      </w:r>
      <w:r>
        <w:rPr>
          <w:spacing w:val="-15"/>
        </w:rPr>
        <w:t> </w:t>
      </w:r>
      <w:r>
        <w:rPr/>
        <w:t>eller</w:t>
      </w:r>
      <w:r>
        <w:rPr>
          <w:spacing w:val="-17"/>
        </w:rPr>
        <w:t> </w:t>
      </w:r>
      <w:r>
        <w:rPr/>
        <w:t>data</w:t>
      </w:r>
      <w:r>
        <w:rPr>
          <w:spacing w:val="-15"/>
        </w:rPr>
        <w:t> </w:t>
      </w:r>
      <w:r>
        <w:rPr/>
        <w:t>om</w:t>
      </w:r>
      <w:r>
        <w:rPr>
          <w:spacing w:val="-16"/>
        </w:rPr>
        <w:t> </w:t>
      </w:r>
      <w:r>
        <w:rPr/>
        <w:t>selve</w:t>
      </w:r>
      <w:r>
        <w:rPr>
          <w:spacing w:val="-16"/>
        </w:rPr>
        <w:t> </w:t>
      </w:r>
      <w:r>
        <w:rPr/>
        <w:t>bygningens egenskaber, fx</w:t>
      </w:r>
      <w:r>
        <w:rPr>
          <w:spacing w:val="-1"/>
        </w:rPr>
        <w:t> </w:t>
      </w:r>
      <w:r>
        <w:rPr/>
        <w:t>kvadratmeter.</w:t>
      </w:r>
    </w:p>
    <w:p>
      <w:pPr>
        <w:pStyle w:val="BodyText"/>
        <w:spacing w:before="8"/>
        <w:rPr>
          <w:sz w:val="21"/>
        </w:rPr>
      </w:pPr>
    </w:p>
    <w:p>
      <w:pPr>
        <w:pStyle w:val="BodyText"/>
        <w:spacing w:line="278" w:lineRule="auto"/>
        <w:ind w:left="2649" w:right="1029"/>
        <w:jc w:val="both"/>
      </w:pPr>
      <w:r>
        <w:rPr/>
        <w:t>Den indendørs steddatabase kan i den sammenhæng fungere som fælles referen- cenøgler, der på tværs af de forskellige datakilder knytter aktivitetsdata på rum, fløje eller zoner i bygningerne, og som derved giver et struktureret og visuelt</w:t>
      </w:r>
      <w:r>
        <w:rPr>
          <w:spacing w:val="-35"/>
        </w:rPr>
        <w:t> </w:t>
      </w:r>
      <w:r>
        <w:rPr/>
        <w:t>over- blik over relevante data. Disse data kan være med til at understøtte en bedre ud- nyttelse af bygningen, så arealer udnyttes bedst muligt (arealoptimering/kapaci- tetsudnyttelse), så det samlede energiforbrug sænkes når faciliteterne ikke står tomme store dele af dagen. Endvidere kan aktivitetsdata sammenstilles med data om bygningernes energiforbrug, og på den måde bidrage med ny viden, som kan benyttes i forhold til</w:t>
      </w:r>
      <w:r>
        <w:rPr>
          <w:spacing w:val="-4"/>
        </w:rPr>
        <w:t> </w:t>
      </w:r>
      <w:r>
        <w:rPr/>
        <w:t>energieffektivisering.</w:t>
      </w:r>
    </w:p>
    <w:p>
      <w:pPr>
        <w:pStyle w:val="BodyText"/>
        <w:spacing w:before="11"/>
        <w:rPr>
          <w:sz w:val="21"/>
        </w:rPr>
      </w:pPr>
    </w:p>
    <w:p>
      <w:pPr>
        <w:pStyle w:val="Heading3"/>
        <w:numPr>
          <w:ilvl w:val="2"/>
          <w:numId w:val="19"/>
        </w:numPr>
        <w:tabs>
          <w:tab w:pos="2649" w:val="left" w:leader="none"/>
          <w:tab w:pos="2650" w:val="left" w:leader="none"/>
        </w:tabs>
        <w:spacing w:line="240" w:lineRule="auto" w:before="0" w:after="0"/>
        <w:ind w:left="2649" w:right="0" w:hanging="799"/>
        <w:jc w:val="left"/>
      </w:pPr>
      <w:bookmarkStart w:name="_bookmark65" w:id="66"/>
      <w:bookmarkEnd w:id="66"/>
      <w:r>
        <w:rPr/>
        <w:t>Stan</w:t>
      </w:r>
      <w:r>
        <w:rPr/>
        <w:t>dardisering og</w:t>
      </w:r>
      <w:r>
        <w:rPr>
          <w:spacing w:val="-1"/>
        </w:rPr>
        <w:t> </w:t>
      </w:r>
      <w:r>
        <w:rPr/>
        <w:t>nøgletal</w:t>
      </w:r>
    </w:p>
    <w:p>
      <w:pPr>
        <w:pStyle w:val="BodyText"/>
        <w:spacing w:line="278" w:lineRule="auto" w:before="34"/>
        <w:ind w:left="2649" w:right="1027"/>
        <w:jc w:val="both"/>
      </w:pPr>
      <w:r>
        <w:rPr/>
        <w:t>Kobling af data om energiforbrug i bygningen – samt evt. aktivitetsdata/bygnings- data</w:t>
      </w:r>
      <w:r>
        <w:rPr>
          <w:spacing w:val="-4"/>
        </w:rPr>
        <w:t> </w:t>
      </w:r>
      <w:r>
        <w:rPr/>
        <w:t>–</w:t>
      </w:r>
      <w:r>
        <w:rPr>
          <w:spacing w:val="-4"/>
        </w:rPr>
        <w:t> </w:t>
      </w:r>
      <w:r>
        <w:rPr/>
        <w:t>til</w:t>
      </w:r>
      <w:r>
        <w:rPr>
          <w:spacing w:val="-6"/>
        </w:rPr>
        <w:t> </w:t>
      </w:r>
      <w:r>
        <w:rPr/>
        <w:t>en</w:t>
      </w:r>
      <w:r>
        <w:rPr>
          <w:spacing w:val="-4"/>
        </w:rPr>
        <w:t> </w:t>
      </w:r>
      <w:r>
        <w:rPr/>
        <w:t>indendørs</w:t>
      </w:r>
      <w:r>
        <w:rPr>
          <w:spacing w:val="-5"/>
        </w:rPr>
        <w:t> </w:t>
      </w:r>
      <w:r>
        <w:rPr/>
        <w:t>steddatabase,</w:t>
      </w:r>
      <w:r>
        <w:rPr>
          <w:spacing w:val="-6"/>
        </w:rPr>
        <w:t> </w:t>
      </w:r>
      <w:r>
        <w:rPr/>
        <w:t>skaber</w:t>
      </w:r>
      <w:r>
        <w:rPr>
          <w:spacing w:val="-4"/>
        </w:rPr>
        <w:t> </w:t>
      </w:r>
      <w:r>
        <w:rPr/>
        <w:t>et</w:t>
      </w:r>
      <w:r>
        <w:rPr>
          <w:spacing w:val="-5"/>
        </w:rPr>
        <w:t> </w:t>
      </w:r>
      <w:r>
        <w:rPr/>
        <w:t>struktureret</w:t>
      </w:r>
      <w:r>
        <w:rPr>
          <w:spacing w:val="-4"/>
        </w:rPr>
        <w:t> </w:t>
      </w:r>
      <w:r>
        <w:rPr/>
        <w:t>og</w:t>
      </w:r>
      <w:r>
        <w:rPr>
          <w:spacing w:val="-6"/>
        </w:rPr>
        <w:t> </w:t>
      </w:r>
      <w:r>
        <w:rPr/>
        <w:t>forbedret</w:t>
      </w:r>
      <w:r>
        <w:rPr>
          <w:spacing w:val="-4"/>
        </w:rPr>
        <w:t> </w:t>
      </w:r>
      <w:r>
        <w:rPr/>
        <w:t>grundlag</w:t>
      </w:r>
      <w:r>
        <w:rPr>
          <w:spacing w:val="-4"/>
        </w:rPr>
        <w:t> </w:t>
      </w:r>
      <w:r>
        <w:rPr/>
        <w:t>i forhold</w:t>
      </w:r>
      <w:r>
        <w:rPr>
          <w:spacing w:val="-8"/>
        </w:rPr>
        <w:t> </w:t>
      </w:r>
      <w:r>
        <w:rPr/>
        <w:t>til</w:t>
      </w:r>
      <w:r>
        <w:rPr>
          <w:spacing w:val="-8"/>
        </w:rPr>
        <w:t> </w:t>
      </w:r>
      <w:r>
        <w:rPr/>
        <w:t>udarbejdelse</w:t>
      </w:r>
      <w:r>
        <w:rPr>
          <w:spacing w:val="-7"/>
        </w:rPr>
        <w:t> </w:t>
      </w:r>
      <w:r>
        <w:rPr/>
        <w:t>af</w:t>
      </w:r>
      <w:r>
        <w:rPr>
          <w:spacing w:val="-7"/>
        </w:rPr>
        <w:t> </w:t>
      </w:r>
      <w:r>
        <w:rPr/>
        <w:t>nøgletal</w:t>
      </w:r>
      <w:r>
        <w:rPr>
          <w:spacing w:val="-7"/>
        </w:rPr>
        <w:t> </w:t>
      </w:r>
      <w:r>
        <w:rPr/>
        <w:t>og</w:t>
      </w:r>
      <w:r>
        <w:rPr>
          <w:spacing w:val="-8"/>
        </w:rPr>
        <w:t> </w:t>
      </w:r>
      <w:r>
        <w:rPr/>
        <w:t>benchmarking.</w:t>
      </w:r>
      <w:r>
        <w:rPr>
          <w:spacing w:val="-6"/>
        </w:rPr>
        <w:t> </w:t>
      </w:r>
      <w:r>
        <w:rPr/>
        <w:t>På</w:t>
      </w:r>
      <w:r>
        <w:rPr>
          <w:spacing w:val="-9"/>
        </w:rPr>
        <w:t> </w:t>
      </w:r>
      <w:r>
        <w:rPr/>
        <w:t>den</w:t>
      </w:r>
      <w:r>
        <w:rPr>
          <w:spacing w:val="-7"/>
        </w:rPr>
        <w:t> </w:t>
      </w:r>
      <w:r>
        <w:rPr/>
        <w:t>måde</w:t>
      </w:r>
      <w:r>
        <w:rPr>
          <w:spacing w:val="-7"/>
        </w:rPr>
        <w:t> </w:t>
      </w:r>
      <w:r>
        <w:rPr/>
        <w:t>kan</w:t>
      </w:r>
      <w:r>
        <w:rPr>
          <w:spacing w:val="-7"/>
        </w:rPr>
        <w:t> </w:t>
      </w:r>
      <w:r>
        <w:rPr/>
        <w:t>fx</w:t>
      </w:r>
      <w:r>
        <w:rPr>
          <w:spacing w:val="-8"/>
        </w:rPr>
        <w:t> </w:t>
      </w:r>
      <w:r>
        <w:rPr/>
        <w:t>energifor- bruget opdeles efter bygningernes forskellige rum, fløje eller zoner – vha. unikke nøgler, og på en standardiseret</w:t>
      </w:r>
      <w:r>
        <w:rPr>
          <w:spacing w:val="-1"/>
        </w:rPr>
        <w:t> </w:t>
      </w:r>
      <w:r>
        <w:rPr/>
        <w:t>måde.</w:t>
      </w:r>
    </w:p>
    <w:p>
      <w:pPr>
        <w:pStyle w:val="BodyText"/>
        <w:spacing w:before="6"/>
        <w:rPr>
          <w:sz w:val="21"/>
        </w:rPr>
      </w:pPr>
    </w:p>
    <w:p>
      <w:pPr>
        <w:pStyle w:val="BodyText"/>
        <w:spacing w:line="278" w:lineRule="auto"/>
        <w:ind w:left="2649" w:right="1028"/>
        <w:jc w:val="both"/>
      </w:pPr>
      <w:r>
        <w:rPr/>
        <w:t>Den indendørs steddatabase bidrager på den måde til at øge kvaliteten af nøgletal for bygningernes energiforbrug ved at koble energiforbrugsdata på en struktureret og ensartet måde. Dermed vil der kunne dannes mere præcise nøgletal over rum- mene og forsyningszonerne (fx kvadratmeter), hvilket kan forbedre grundlaget for fx</w:t>
      </w:r>
      <w:r>
        <w:rPr>
          <w:spacing w:val="-8"/>
        </w:rPr>
        <w:t> </w:t>
      </w:r>
      <w:r>
        <w:rPr/>
        <w:t>fordelingsregnskaber</w:t>
      </w:r>
      <w:r>
        <w:rPr>
          <w:spacing w:val="-9"/>
        </w:rPr>
        <w:t> </w:t>
      </w:r>
      <w:r>
        <w:rPr/>
        <w:t>eller</w:t>
      </w:r>
      <w:r>
        <w:rPr>
          <w:spacing w:val="-6"/>
        </w:rPr>
        <w:t> </w:t>
      </w:r>
      <w:r>
        <w:rPr/>
        <w:t>grundlaget</w:t>
      </w:r>
      <w:r>
        <w:rPr>
          <w:spacing w:val="-8"/>
        </w:rPr>
        <w:t> </w:t>
      </w:r>
      <w:r>
        <w:rPr/>
        <w:t>for</w:t>
      </w:r>
      <w:r>
        <w:rPr>
          <w:spacing w:val="-8"/>
        </w:rPr>
        <w:t> </w:t>
      </w:r>
      <w:r>
        <w:rPr/>
        <w:t>udvikling</w:t>
      </w:r>
      <w:r>
        <w:rPr>
          <w:spacing w:val="-8"/>
        </w:rPr>
        <w:t> </w:t>
      </w:r>
      <w:r>
        <w:rPr/>
        <w:t>af</w:t>
      </w:r>
      <w:r>
        <w:rPr>
          <w:spacing w:val="-8"/>
        </w:rPr>
        <w:t> </w:t>
      </w:r>
      <w:r>
        <w:rPr/>
        <w:t>forskellige</w:t>
      </w:r>
      <w:r>
        <w:rPr>
          <w:spacing w:val="-9"/>
        </w:rPr>
        <w:t> </w:t>
      </w:r>
      <w:r>
        <w:rPr/>
        <w:t>og</w:t>
      </w:r>
      <w:r>
        <w:rPr>
          <w:spacing w:val="-8"/>
        </w:rPr>
        <w:t> </w:t>
      </w:r>
      <w:r>
        <w:rPr/>
        <w:t>mere</w:t>
      </w:r>
      <w:r>
        <w:rPr>
          <w:spacing w:val="-9"/>
        </w:rPr>
        <w:t> </w:t>
      </w:r>
      <w:r>
        <w:rPr/>
        <w:t>præcise benchmarkingværktøjer.</w:t>
      </w:r>
    </w:p>
    <w:p>
      <w:pPr>
        <w:pStyle w:val="BodyText"/>
        <w:spacing w:before="6"/>
        <w:rPr>
          <w:sz w:val="21"/>
        </w:rPr>
      </w:pPr>
    </w:p>
    <w:p>
      <w:pPr>
        <w:pStyle w:val="BodyText"/>
        <w:spacing w:line="278" w:lineRule="auto" w:before="1"/>
        <w:ind w:left="2649" w:right="1047"/>
        <w:jc w:val="both"/>
      </w:pPr>
      <w:r>
        <w:rPr/>
        <w:t>Desuden skaber den indendørs steddatabase grundlag for fælles standarder, flek- sibilitet og struktur samt understøtter etablering af fælles sprog og kontekst. Dette</w:t>
      </w:r>
    </w:p>
    <w:p>
      <w:pPr>
        <w:spacing w:after="0" w:line="278" w:lineRule="auto"/>
        <w:jc w:val="both"/>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749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40"/>
        <w:jc w:val="both"/>
      </w:pPr>
      <w:r>
        <w:rPr/>
        <w:t>stiller ejendomsorganisationer bedre ift. valg af systemer/leverandører. Med leve- randørvalg menes fx de eksterne rådgivere og softwareløsninger, som kommuner og regioner benytter sig af i forhold til ejendomsdrift og energieffektivisering.</w:t>
      </w:r>
    </w:p>
    <w:p>
      <w:pPr>
        <w:pStyle w:val="BodyText"/>
        <w:spacing w:line="278" w:lineRule="auto" w:before="1"/>
        <w:ind w:left="2649" w:right="1142"/>
      </w:pPr>
      <w:r>
        <w:rPr/>
        <w:t>Steddatabasen tænkes hermed også at kunne understøtte udviklingen af omkost- ningseffektive systemer.</w:t>
      </w:r>
    </w:p>
    <w:p>
      <w:pPr>
        <w:pStyle w:val="BodyText"/>
        <w:spacing w:before="8"/>
        <w:rPr>
          <w:sz w:val="20"/>
        </w:rPr>
      </w:pPr>
    </w:p>
    <w:p>
      <w:pPr>
        <w:pStyle w:val="Heading2"/>
        <w:numPr>
          <w:ilvl w:val="1"/>
          <w:numId w:val="19"/>
        </w:numPr>
        <w:tabs>
          <w:tab w:pos="2649" w:val="left" w:leader="none"/>
          <w:tab w:pos="2650" w:val="left" w:leader="none"/>
        </w:tabs>
        <w:spacing w:line="240" w:lineRule="auto" w:before="1" w:after="0"/>
        <w:ind w:left="2649" w:right="0" w:hanging="655"/>
        <w:jc w:val="left"/>
      </w:pPr>
      <w:bookmarkStart w:name="_bookmark66" w:id="67"/>
      <w:bookmarkEnd w:id="67"/>
      <w:r>
        <w:rPr/>
        <w:t>U</w:t>
      </w:r>
      <w:r>
        <w:rPr/>
        <w:t>se cases for forskellige</w:t>
      </w:r>
      <w:r>
        <w:rPr>
          <w:spacing w:val="-4"/>
        </w:rPr>
        <w:t> </w:t>
      </w:r>
      <w:r>
        <w:rPr/>
        <w:t>bygningstyper</w:t>
      </w:r>
    </w:p>
    <w:p>
      <w:pPr>
        <w:pStyle w:val="BodyText"/>
        <w:spacing w:line="278" w:lineRule="auto" w:before="38"/>
        <w:ind w:left="2649" w:right="1050"/>
      </w:pPr>
      <w:r>
        <w:rPr/>
        <w:t>Kommunale og regionale bygninger udgør en stor og varieret bygningsmasse. An- vendelserne af disse bygninger strækker sig over mange og forskelligartede for- mål. I den sammenhæng kan særligt nævnes administration, idrætsanlæg, institu- tioner, skoler og hospitaler. Potentialet og anvendelsen af en indendørs national steddatabase vil derfor afhænge af hvilken type af bygning der er tale om.</w:t>
      </w:r>
    </w:p>
    <w:p>
      <w:pPr>
        <w:pStyle w:val="BodyText"/>
        <w:spacing w:before="6"/>
        <w:rPr>
          <w:sz w:val="21"/>
        </w:rPr>
      </w:pPr>
    </w:p>
    <w:p>
      <w:pPr>
        <w:pStyle w:val="BodyText"/>
        <w:spacing w:line="278" w:lineRule="auto"/>
        <w:ind w:left="2649" w:right="1097"/>
      </w:pPr>
      <w:r>
        <w:rPr/>
        <w:t>Erfaringer fra projektet vist, at potentialet for anvendelse af en indendørs stedda- tabase i forhold til energieffektivisering også afhænger af bygningernes alder. Nye bygninger er mere energieffektive end gamle bygninger, da der i Bygningsregle- mentet i dag stilles væsentligt skrappere krav til den energimæssige ydeevne.</w:t>
      </w:r>
    </w:p>
    <w:p>
      <w:pPr>
        <w:pStyle w:val="BodyText"/>
        <w:spacing w:line="278" w:lineRule="auto" w:before="1"/>
        <w:ind w:left="2649" w:right="1094"/>
      </w:pPr>
      <w:r>
        <w:rPr/>
        <w:t>Derfor vil der ikke være nær så store energibesparelser at hente i nye bygninger, sammenlignet med ældre bygninger. Dette afhænger naturligvis også af en række andre faktorer, fx brugen af bygningen, men det understreget, at steddatabasen vil have størst potentiale i forhold til energieffektiviseringer i bygninger, hvor der i udgangspunktet er et større energibesparelsespotentiale.</w:t>
      </w:r>
    </w:p>
    <w:p>
      <w:pPr>
        <w:pStyle w:val="BodyText"/>
        <w:spacing w:before="9"/>
        <w:rPr>
          <w:sz w:val="21"/>
        </w:rPr>
      </w:pPr>
    </w:p>
    <w:p>
      <w:pPr>
        <w:pStyle w:val="Heading3"/>
        <w:numPr>
          <w:ilvl w:val="2"/>
          <w:numId w:val="19"/>
        </w:numPr>
        <w:tabs>
          <w:tab w:pos="2649" w:val="left" w:leader="none"/>
          <w:tab w:pos="2650" w:val="left" w:leader="none"/>
        </w:tabs>
        <w:spacing w:line="240" w:lineRule="auto" w:before="0" w:after="0"/>
        <w:ind w:left="2649" w:right="0" w:hanging="799"/>
        <w:jc w:val="left"/>
      </w:pPr>
      <w:bookmarkStart w:name="_bookmark67" w:id="68"/>
      <w:bookmarkEnd w:id="68"/>
      <w:r>
        <w:rPr/>
        <w:t>Ge</w:t>
      </w:r>
      <w:r>
        <w:rPr/>
        <w:t>nerel use case for</w:t>
      </w:r>
      <w:r>
        <w:rPr>
          <w:spacing w:val="-4"/>
        </w:rPr>
        <w:t> </w:t>
      </w:r>
      <w:r>
        <w:rPr/>
        <w:t>bygninger</w:t>
      </w:r>
    </w:p>
    <w:p>
      <w:pPr>
        <w:pStyle w:val="BodyText"/>
        <w:spacing w:line="278" w:lineRule="auto" w:before="35"/>
        <w:ind w:left="2649" w:right="1117"/>
      </w:pPr>
      <w:r>
        <w:rPr/>
        <w:t>I </w:t>
      </w:r>
      <w:hyperlink w:history="true" w:anchor="_bookmark68">
        <w:r>
          <w:rPr/>
          <w:t>Figur 4.3 </w:t>
        </w:r>
      </w:hyperlink>
      <w:r>
        <w:rPr/>
        <w:t>er der udarbejdet en visuel use case (en one pager) for kommunale og regionale bygninger. I toppen er karakteristika for den offentlige bygningsmasse beskrevet samt hovedtal for energiforbruget. I midten af figuren ses hvilke typer af data, der har størst relevans, i forhold til en national indendørs steddatabase. I forhold til energidata er det hovedsagligt data som har en høj grad af stedfæ- stelse, som indgår jf. </w:t>
      </w:r>
      <w:hyperlink w:history="true" w:anchor="_bookmark54">
        <w:r>
          <w:rPr/>
          <w:t>Figur 3.5</w:t>
        </w:r>
      </w:hyperlink>
      <w:r>
        <w:rPr/>
        <w:t>.</w:t>
      </w:r>
    </w:p>
    <w:p>
      <w:pPr>
        <w:pStyle w:val="BodyText"/>
        <w:spacing w:before="6"/>
        <w:rPr>
          <w:sz w:val="21"/>
        </w:rPr>
      </w:pPr>
    </w:p>
    <w:p>
      <w:pPr>
        <w:pStyle w:val="BodyText"/>
        <w:spacing w:line="278" w:lineRule="auto"/>
        <w:ind w:left="2649" w:right="1093"/>
      </w:pPr>
      <w:r>
        <w:rPr/>
        <w:t>Data er inddelt efter energidata, aktivitetsdata og bygningsdata. I forhold til ener- gidata er særligt de dynamiske data, såsom data fra målere, sensorer, loggere mv. For aktivitetsdata vedrører det særligt data i logning- og bookingsystemer, og for bygningsdata er det særligt BBR data og energimærker der er relevante.</w:t>
      </w:r>
    </w:p>
    <w:p>
      <w:pPr>
        <w:pStyle w:val="BodyText"/>
        <w:spacing w:before="8"/>
        <w:rPr>
          <w:sz w:val="21"/>
        </w:rPr>
      </w:pPr>
    </w:p>
    <w:p>
      <w:pPr>
        <w:pStyle w:val="BodyText"/>
        <w:spacing w:line="278" w:lineRule="auto"/>
        <w:ind w:left="2649" w:right="1070"/>
      </w:pPr>
      <w:r>
        <w:rPr/>
        <w:t>Det fremgår også af use casen, hvilke indsatsområder hvor en national indendørs steddatabase kan have størst anvendelse. Det største potentiale vurderes at ved- røre arealoptimering, men visualisering af stedfæstede driftsdata vil også kunne understøtte driftsoptimering. Endelige kan den nationale steddatabase understøtte etableringen af fælles standarder, som går på tværs af de tre indsatsområder.</w:t>
      </w:r>
    </w:p>
    <w:p>
      <w:pPr>
        <w:pStyle w:val="BodyText"/>
        <w:spacing w:before="6"/>
        <w:rPr>
          <w:sz w:val="21"/>
        </w:rPr>
      </w:pPr>
    </w:p>
    <w:p>
      <w:pPr>
        <w:pStyle w:val="BodyText"/>
        <w:spacing w:line="278" w:lineRule="auto"/>
        <w:ind w:left="2649" w:right="1114"/>
      </w:pPr>
      <w:r>
        <w:rPr/>
        <w:t>I ”</w:t>
      </w:r>
      <w:hyperlink w:history="true" w:anchor="_bookmark121">
        <w:r>
          <w:rPr/>
          <w:t>Appendix 6: </w:t>
        </w:r>
      </w:hyperlink>
      <w:hyperlink w:history="true" w:anchor="_bookmark121">
        <w:r>
          <w:rPr/>
          <w:t>One-pager med use-cases for bygningstyper</w:t>
        </w:r>
      </w:hyperlink>
      <w:r>
        <w:rPr/>
        <w:t>” findes one pager’en i fuld størrelse, og vises i en pixi udgave på </w:t>
      </w:r>
      <w:hyperlink w:history="true" w:anchor="_bookmark68">
        <w:r>
          <w:rPr/>
          <w:t>Figur 4.3</w:t>
        </w:r>
      </w:hyperlink>
      <w:r>
        <w:rPr/>
        <w:t>.</w:t>
      </w:r>
    </w:p>
    <w:p>
      <w:pPr>
        <w:spacing w:after="0" w:line="278" w:lineRule="auto"/>
        <w:sectPr>
          <w:type w:val="continuous"/>
          <w:pgSz w:w="11910" w:h="16840"/>
          <w:pgMar w:top="1580" w:bottom="280" w:left="980" w:right="100"/>
        </w:sectPr>
      </w:pPr>
    </w:p>
    <w:p>
      <w:pPr>
        <w:spacing w:before="83"/>
        <w:ind w:left="2635" w:right="-19" w:firstLine="0"/>
        <w:jc w:val="left"/>
        <w:rPr>
          <w:sz w:val="12"/>
        </w:rPr>
      </w:pPr>
      <w:r>
        <w:rPr/>
        <w:pict>
          <v:line style="position:absolute;mso-position-horizontal-relative:page;mso-position-vertical-relative:paragraph;z-index:-177400" from="180.770004pt,3.822214pt" to="291.410004pt,3.822214pt" stroked="true" strokeweight=".48pt" strokecolor="#000000">
            <v:stroke dashstyle="solid"/>
            <w10:wrap type="none"/>
          </v:line>
        </w:pict>
      </w:r>
      <w:r>
        <w:rPr>
          <w:sz w:val="12"/>
        </w:rPr>
        <w:t>Styrelsen for Dataforsyning og Effektivisering og Energistyrelsen</w:t>
      </w:r>
    </w:p>
    <w:p>
      <w:pPr>
        <w:pStyle w:val="BodyText"/>
        <w:spacing w:before="11"/>
        <w:rPr>
          <w:sz w:val="5"/>
        </w:rPr>
      </w:pPr>
      <w:r>
        <w:rPr/>
        <w:br w:type="column"/>
      </w:r>
      <w:r>
        <w:rPr>
          <w:sz w:val="5"/>
        </w:rPr>
      </w:r>
    </w:p>
    <w:p>
      <w:pPr>
        <w:tabs>
          <w:tab w:pos="2871" w:val="left" w:leader="none"/>
        </w:tabs>
        <w:spacing w:line="20" w:lineRule="exact"/>
        <w:ind w:left="405" w:right="0" w:firstLine="0"/>
        <w:rPr>
          <w:sz w:val="2"/>
        </w:rPr>
      </w:pP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2876" w:val="left" w:leader="none"/>
        </w:tabs>
        <w:spacing w:before="0"/>
        <w:ind w:left="410" w:right="0" w:firstLine="0"/>
        <w:jc w:val="left"/>
        <w:rPr>
          <w:sz w:val="12"/>
        </w:rPr>
      </w:pP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620" w:bottom="960" w:left="980" w:right="100"/>
          <w:cols w:num="2" w:equalWidth="0">
            <w:col w:w="4653" w:space="40"/>
            <w:col w:w="6137"/>
          </w:cols>
        </w:sectPr>
      </w:pPr>
    </w:p>
    <w:p>
      <w:pPr>
        <w:pStyle w:val="BodyText"/>
        <w:rPr>
          <w:sz w:val="20"/>
        </w:rPr>
      </w:pPr>
      <w:r>
        <w:rPr/>
        <w:pict>
          <v:group style="position:absolute;margin-left:56.465145pt;margin-top:-.222301pt;width:482.15pt;height:841.1pt;mso-position-horizontal-relative:page;mso-position-vertical-relative:page;z-index:-177376" coordorigin="1129,-4" coordsize="9643,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3109;top:12219;width:7663;height:1977" type="#_x0000_t75" stroked="false">
              <v:imagedata r:id="rId44" o:title=""/>
            </v:shape>
            <w10:wrap type="none"/>
          </v:group>
        </w:pict>
      </w:r>
    </w:p>
    <w:p>
      <w:pPr>
        <w:pStyle w:val="BodyText"/>
        <w:rPr>
          <w:sz w:val="20"/>
        </w:rPr>
      </w:pPr>
    </w:p>
    <w:p>
      <w:pPr>
        <w:pStyle w:val="BodyText"/>
        <w:spacing w:before="3"/>
        <w:rPr>
          <w:sz w:val="28"/>
        </w:rPr>
      </w:pPr>
    </w:p>
    <w:p>
      <w:pPr>
        <w:pStyle w:val="BodyText"/>
        <w:ind w:left="3255"/>
        <w:rPr>
          <w:sz w:val="20"/>
        </w:rPr>
      </w:pPr>
      <w:r>
        <w:rPr>
          <w:sz w:val="20"/>
        </w:rPr>
        <w:pict>
          <v:group style="width:295pt;height:407.05pt;mso-position-horizontal-relative:char;mso-position-vertical-relative:line" coordorigin="0,0" coordsize="5900,8141">
            <v:shape style="position:absolute;left:0;top:0;width:5900;height:8141" type="#_x0000_t75" stroked="false">
              <v:imagedata r:id="rId45" o:title=""/>
            </v:shape>
            <v:shape style="position:absolute;left:299;top:320;width:5308;height:7507" type="#_x0000_t75" stroked="false">
              <v:imagedata r:id="rId46" o:title=""/>
            </v:shape>
            <v:rect style="position:absolute;left:229;top:250;width:5448;height:7647" filled="false" stroked="true" strokeweight="7.0pt" strokecolor="#ffffff">
              <v:stroke dashstyle="solid"/>
            </v:rect>
          </v:group>
        </w:pict>
      </w:r>
      <w:r>
        <w:rPr>
          <w:sz w:val="20"/>
        </w:rPr>
      </w:r>
    </w:p>
    <w:p>
      <w:pPr>
        <w:pStyle w:val="BodyText"/>
        <w:spacing w:before="11"/>
        <w:rPr>
          <w:sz w:val="10"/>
        </w:rPr>
      </w:pPr>
    </w:p>
    <w:p>
      <w:pPr>
        <w:spacing w:before="99"/>
        <w:ind w:left="5439" w:right="1038" w:hanging="2708"/>
        <w:jc w:val="left"/>
        <w:rPr>
          <w:i/>
          <w:sz w:val="14"/>
        </w:rPr>
      </w:pPr>
      <w:bookmarkStart w:name="_bookmark68" w:id="69"/>
      <w:bookmarkEnd w:id="69"/>
      <w:r>
        <w:rPr/>
      </w:r>
      <w:r>
        <w:rPr>
          <w:i/>
          <w:sz w:val="14"/>
        </w:rPr>
        <w:t>Figur 4.3: One pager med en generel vurdering af potentialet for energieffektivisering i forbindelse </w:t>
      </w:r>
      <w:r>
        <w:rPr>
          <w:i/>
          <w:sz w:val="14"/>
        </w:rPr>
        <w:t>med en steddatabase.</w:t>
      </w:r>
    </w:p>
    <w:p>
      <w:pPr>
        <w:pStyle w:val="BodyText"/>
        <w:rPr>
          <w:i/>
          <w:sz w:val="16"/>
        </w:rPr>
      </w:pPr>
    </w:p>
    <w:p>
      <w:pPr>
        <w:pStyle w:val="Heading3"/>
        <w:numPr>
          <w:ilvl w:val="2"/>
          <w:numId w:val="19"/>
        </w:numPr>
        <w:tabs>
          <w:tab w:pos="2649" w:val="left" w:leader="none"/>
          <w:tab w:pos="2650" w:val="left" w:leader="none"/>
        </w:tabs>
        <w:spacing w:line="240" w:lineRule="auto" w:before="103" w:after="0"/>
        <w:ind w:left="2649" w:right="0" w:hanging="799"/>
        <w:jc w:val="left"/>
      </w:pPr>
      <w:bookmarkStart w:name="_bookmark69" w:id="70"/>
      <w:bookmarkEnd w:id="70"/>
      <w:r>
        <w:rPr/>
        <w:t>B</w:t>
      </w:r>
      <w:r>
        <w:rPr/>
        <w:t>ygningsspecifikke use</w:t>
      </w:r>
      <w:r>
        <w:rPr>
          <w:spacing w:val="-3"/>
        </w:rPr>
        <w:t> </w:t>
      </w:r>
      <w:r>
        <w:rPr/>
        <w:t>cases</w:t>
      </w:r>
    </w:p>
    <w:p>
      <w:pPr>
        <w:pStyle w:val="BodyText"/>
        <w:spacing w:line="278" w:lineRule="auto" w:before="35"/>
        <w:ind w:left="2649" w:right="1046"/>
      </w:pPr>
      <w:r>
        <w:rPr/>
        <w:t>I ”</w:t>
      </w:r>
      <w:hyperlink w:history="true" w:anchor="_bookmark121">
        <w:r>
          <w:rPr/>
          <w:t>Appendix 6:</w:t>
        </w:r>
      </w:hyperlink>
      <w:r>
        <w:rPr/>
        <w:t>” findes endvidere use cases for 5 forskellige offentlige bygningsty- per, herunder administration, hospital, institution, multihal og skole. </w:t>
      </w:r>
      <w:hyperlink w:history="true" w:anchor="_bookmark70">
        <w:r>
          <w:rPr/>
          <w:t>Figur 4.4 </w:t>
        </w:r>
      </w:hyperlink>
      <w:r>
        <w:rPr/>
        <w:t>ne- denfor viser et eksempel-udsnit af dette, for den del af bygningsmassen, som ved- rører administration.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0"/>
        <w:ind w:left="2649" w:right="1271" w:firstLine="0"/>
        <w:jc w:val="left"/>
        <w:rPr>
          <w:i/>
          <w:sz w:val="14"/>
        </w:rPr>
      </w:pPr>
      <w:bookmarkStart w:name="_bookmark70" w:id="71"/>
      <w:bookmarkEnd w:id="71"/>
      <w:r>
        <w:rPr/>
      </w:r>
      <w:r>
        <w:rPr>
          <w:i/>
          <w:sz w:val="14"/>
        </w:rPr>
        <w:t>Figur 4.4: Eksempel på usecase for en bygningstype og dets potentialer for energieffektivisering i </w:t>
      </w:r>
      <w:r>
        <w:rPr>
          <w:i/>
          <w:sz w:val="14"/>
        </w:rPr>
        <w:t>forbindelse med en steddatabase.</w:t>
      </w:r>
    </w:p>
    <w:p>
      <w:pPr>
        <w:pStyle w:val="BodyText"/>
        <w:spacing w:before="4"/>
        <w:rPr>
          <w:i/>
          <w:sz w:val="19"/>
        </w:rPr>
      </w:pPr>
    </w:p>
    <w:p>
      <w:pPr>
        <w:pStyle w:val="BodyText"/>
        <w:spacing w:line="278" w:lineRule="auto"/>
        <w:ind w:left="2649" w:right="1069"/>
        <w:jc w:val="both"/>
      </w:pPr>
      <w:r>
        <w:rPr/>
        <w:t>Overordnet set er potentialerne meget ens på tværs af bygninger, men bygninger- nes brug og karakteristika gør, at der kan forekomme små forskelle. For hver byg- ningstyper er der udvalgt de typer af data, som er særligt relevante, og som har</w:t>
      </w:r>
    </w:p>
    <w:p>
      <w:pPr>
        <w:spacing w:after="0" w:line="278" w:lineRule="auto"/>
        <w:jc w:val="both"/>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20"/>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728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39"/>
      </w:pPr>
      <w:r>
        <w:rPr/>
        <w:t>betydning for vurdering af potentialet. For bygningstyperne administration, multi- hal og skole er det vurdereret, at den nationale indendørs steddatabase har et større potentiale i forhold til arealoptimering, end det er tilfældet er for institutio- ner og hospitaler. Denne vurdering bygger på erfaringer fra projektet, workshop og afholdte interview.</w:t>
      </w:r>
    </w:p>
    <w:p>
      <w:pPr>
        <w:pStyle w:val="BodyText"/>
        <w:spacing w:before="8"/>
        <w:rPr>
          <w:sz w:val="18"/>
        </w:rPr>
      </w:pPr>
    </w:p>
    <w:p>
      <w:pPr>
        <w:pStyle w:val="ListParagraph"/>
        <w:numPr>
          <w:ilvl w:val="1"/>
          <w:numId w:val="20"/>
        </w:numPr>
        <w:tabs>
          <w:tab w:pos="3369" w:val="left" w:leader="none"/>
          <w:tab w:pos="3370" w:val="left" w:leader="none"/>
        </w:tabs>
        <w:spacing w:line="211" w:lineRule="exact" w:before="0" w:after="0"/>
        <w:ind w:left="3369" w:right="0" w:hanging="360"/>
        <w:jc w:val="left"/>
        <w:rPr>
          <w:i/>
          <w:sz w:val="17"/>
        </w:rPr>
      </w:pPr>
      <w:r>
        <w:rPr>
          <w:i/>
          <w:sz w:val="17"/>
        </w:rPr>
        <w:t>Administration:</w:t>
      </w:r>
    </w:p>
    <w:p>
      <w:pPr>
        <w:pStyle w:val="BodyText"/>
        <w:ind w:left="3369" w:right="1134"/>
        <w:jc w:val="both"/>
      </w:pPr>
      <w:r>
        <w:rPr/>
        <w:t>Mange forskellige potentielle anvendelser af bygningstypen. Stedfæstelse af data fra fx bookingsystemer giver et betydeligt potentiale for at under- støtte arealoptimering.</w:t>
      </w:r>
    </w:p>
    <w:p>
      <w:pPr>
        <w:pStyle w:val="BodyText"/>
        <w:spacing w:before="9"/>
        <w:rPr>
          <w:sz w:val="16"/>
        </w:rPr>
      </w:pPr>
    </w:p>
    <w:p>
      <w:pPr>
        <w:pStyle w:val="ListParagraph"/>
        <w:numPr>
          <w:ilvl w:val="1"/>
          <w:numId w:val="20"/>
        </w:numPr>
        <w:tabs>
          <w:tab w:pos="3369" w:val="left" w:leader="none"/>
          <w:tab w:pos="3370" w:val="left" w:leader="none"/>
        </w:tabs>
        <w:spacing w:line="211" w:lineRule="exact" w:before="0" w:after="0"/>
        <w:ind w:left="3369" w:right="0" w:hanging="360"/>
        <w:jc w:val="left"/>
        <w:rPr>
          <w:i/>
          <w:sz w:val="17"/>
        </w:rPr>
      </w:pPr>
      <w:r>
        <w:rPr>
          <w:i/>
          <w:sz w:val="17"/>
        </w:rPr>
        <w:t>Hospital:</w:t>
      </w:r>
    </w:p>
    <w:p>
      <w:pPr>
        <w:pStyle w:val="BodyText"/>
        <w:ind w:left="3369" w:right="1025"/>
      </w:pPr>
      <w:r>
        <w:rPr/>
        <w:t>Mange og især nye hospitaler er bygget til at være energieffektive, og derfor er der (relativt set) ikke et så stort potentiale for energibesparelser. Dog kan der være et mindre potentiale at en steddatabase kan under- støtte lokaliseret overvågning og drift af tekniske installationer, såfremt hospitalerne endnu ikke har implementeret dette.</w:t>
      </w:r>
    </w:p>
    <w:p>
      <w:pPr>
        <w:pStyle w:val="BodyText"/>
        <w:spacing w:before="6"/>
        <w:rPr>
          <w:sz w:val="16"/>
        </w:rPr>
      </w:pPr>
    </w:p>
    <w:p>
      <w:pPr>
        <w:pStyle w:val="ListParagraph"/>
        <w:numPr>
          <w:ilvl w:val="1"/>
          <w:numId w:val="20"/>
        </w:numPr>
        <w:tabs>
          <w:tab w:pos="3369" w:val="left" w:leader="none"/>
          <w:tab w:pos="3370" w:val="left" w:leader="none"/>
        </w:tabs>
        <w:spacing w:line="211" w:lineRule="exact" w:before="0" w:after="0"/>
        <w:ind w:left="3369" w:right="0" w:hanging="360"/>
        <w:jc w:val="left"/>
        <w:rPr>
          <w:i/>
          <w:sz w:val="17"/>
        </w:rPr>
      </w:pPr>
      <w:r>
        <w:rPr>
          <w:i/>
          <w:sz w:val="17"/>
        </w:rPr>
        <w:t>Institution:</w:t>
      </w:r>
    </w:p>
    <w:p>
      <w:pPr>
        <w:pStyle w:val="BodyText"/>
        <w:ind w:left="3369" w:right="1226"/>
      </w:pPr>
      <w:r>
        <w:rPr/>
        <w:t>Institutioner er ofte små sammenlignet med de andre bygningstyper, og derfor er de vurderet lavere på skalaen i forhold til arealoptimering.</w:t>
      </w:r>
    </w:p>
    <w:p>
      <w:pPr>
        <w:pStyle w:val="BodyText"/>
        <w:spacing w:before="9"/>
        <w:rPr>
          <w:sz w:val="16"/>
        </w:rPr>
      </w:pPr>
    </w:p>
    <w:p>
      <w:pPr>
        <w:pStyle w:val="ListParagraph"/>
        <w:numPr>
          <w:ilvl w:val="1"/>
          <w:numId w:val="20"/>
        </w:numPr>
        <w:tabs>
          <w:tab w:pos="3369" w:val="left" w:leader="none"/>
          <w:tab w:pos="3370" w:val="left" w:leader="none"/>
        </w:tabs>
        <w:spacing w:line="211" w:lineRule="exact" w:before="0" w:after="0"/>
        <w:ind w:left="3369" w:right="0" w:hanging="360"/>
        <w:jc w:val="left"/>
        <w:rPr>
          <w:i/>
          <w:sz w:val="17"/>
        </w:rPr>
      </w:pPr>
      <w:r>
        <w:rPr>
          <w:i/>
          <w:sz w:val="17"/>
        </w:rPr>
        <w:t>Multihal:</w:t>
      </w:r>
    </w:p>
    <w:p>
      <w:pPr>
        <w:pStyle w:val="BodyText"/>
        <w:ind w:left="3369" w:right="1073"/>
        <w:jc w:val="both"/>
      </w:pPr>
      <w:r>
        <w:rPr/>
        <w:t>Multifunktionel bygningstype med mange og forskelligartede anvendelser. Relativt stort energiforbrug, da der er et betydeligt energiforbrug til varmt brugsvand. Der er et vist potentiale for energieffektivisering.</w:t>
      </w:r>
    </w:p>
    <w:p>
      <w:pPr>
        <w:pStyle w:val="BodyText"/>
        <w:spacing w:before="6"/>
        <w:rPr>
          <w:sz w:val="16"/>
        </w:rPr>
      </w:pPr>
    </w:p>
    <w:p>
      <w:pPr>
        <w:pStyle w:val="ListParagraph"/>
        <w:numPr>
          <w:ilvl w:val="1"/>
          <w:numId w:val="20"/>
        </w:numPr>
        <w:tabs>
          <w:tab w:pos="3369" w:val="left" w:leader="none"/>
          <w:tab w:pos="3370" w:val="left" w:leader="none"/>
        </w:tabs>
        <w:spacing w:line="211" w:lineRule="exact" w:before="1" w:after="0"/>
        <w:ind w:left="3369" w:right="0" w:hanging="360"/>
        <w:jc w:val="left"/>
        <w:rPr>
          <w:i/>
          <w:sz w:val="17"/>
        </w:rPr>
      </w:pPr>
      <w:r>
        <w:rPr>
          <w:i/>
          <w:sz w:val="17"/>
        </w:rPr>
        <w:t>Skole:</w:t>
      </w:r>
    </w:p>
    <w:p>
      <w:pPr>
        <w:pStyle w:val="BodyText"/>
        <w:ind w:left="3369" w:right="1167"/>
      </w:pPr>
      <w:r>
        <w:rPr/>
        <w:t>Data fra fx bookingsystemer giver et betydeligt potentiale for at under- støtte øget kapacitetsudnyttelse og arealoptimering. Da denne bygnings- typer udgør 40 % af den kommunale bygningsmasse, er der et relativt stort potentiale for energieffektiviseringer.</w:t>
      </w:r>
    </w:p>
    <w:p>
      <w:pPr>
        <w:pStyle w:val="BodyText"/>
        <w:spacing w:before="2"/>
        <w:rPr>
          <w:sz w:val="23"/>
        </w:rPr>
      </w:pPr>
    </w:p>
    <w:p>
      <w:pPr>
        <w:pStyle w:val="Heading2"/>
        <w:tabs>
          <w:tab w:pos="2649" w:val="left" w:leader="none"/>
        </w:tabs>
        <w:spacing w:line="261" w:lineRule="auto"/>
        <w:ind w:right="1091" w:hanging="656"/>
      </w:pPr>
      <w:r>
        <w:rPr/>
        <w:t>4.4</w:t>
        <w:tab/>
      </w:r>
      <w:bookmarkStart w:name="_bookmark71" w:id="72"/>
      <w:bookmarkEnd w:id="72"/>
      <w:r>
        <w:rPr/>
        <w:t>Vurderin</w:t>
      </w:r>
      <w:r>
        <w:rPr/>
        <w:t>g af anvendelsesmulighederne for energief- fektivisering i forbindelse med indendørs</w:t>
      </w:r>
      <w:r>
        <w:rPr>
          <w:spacing w:val="-14"/>
        </w:rPr>
        <w:t> </w:t>
      </w:r>
      <w:r>
        <w:rPr/>
        <w:t>geografi</w:t>
      </w:r>
    </w:p>
    <w:p>
      <w:pPr>
        <w:pStyle w:val="BodyText"/>
        <w:spacing w:line="278" w:lineRule="auto" w:before="10"/>
        <w:ind w:left="2649" w:right="1166"/>
      </w:pPr>
      <w:r>
        <w:rPr/>
        <w:t>På baggrund af dialog med interessenter og interne faglige drøftelser vurderer NIRAS, at en national indendørs steddatabase kun i begrænset omfang alene kan understøtte energieffektivisering.</w:t>
      </w:r>
    </w:p>
    <w:p>
      <w:pPr>
        <w:pStyle w:val="BodyText"/>
        <w:spacing w:before="7"/>
        <w:rPr>
          <w:sz w:val="21"/>
        </w:rPr>
      </w:pPr>
    </w:p>
    <w:p>
      <w:pPr>
        <w:pStyle w:val="BodyText"/>
        <w:spacing w:line="278" w:lineRule="auto" w:before="1"/>
        <w:ind w:left="2649" w:right="1086"/>
      </w:pPr>
      <w:r>
        <w:rPr/>
        <w:t>Når anvendelsespotentialet vurderes at være begrænset, skyldes det, at energief- fektiviserende indsatser i praksis sjældent tager udgangspunkt i et så detaljeret niveau, som en steddatabase muliggør. Energieffektiviserende indsatser sker ty- pisk på bygnings- og ikke på rumniveau, ligesom mange af de energi-relevante data, som en steddatabase ville trække på, har en så lav grad af stedfæstelse (ty- pisk på bygningsniveau), at udbyttet ville være begrænset.</w:t>
      </w:r>
    </w:p>
    <w:p>
      <w:pPr>
        <w:pStyle w:val="BodyText"/>
        <w:spacing w:before="6"/>
        <w:rPr>
          <w:sz w:val="21"/>
        </w:rPr>
      </w:pPr>
    </w:p>
    <w:p>
      <w:pPr>
        <w:pStyle w:val="BodyText"/>
        <w:spacing w:line="278" w:lineRule="auto"/>
        <w:ind w:left="2649" w:right="1058"/>
      </w:pPr>
      <w:r>
        <w:rPr/>
        <w:t>Den teknologiske udvikling kan dog medføre, at praksis vedrørende bygningssty- ring og energieffektivisering af bygninger vil opnå en større detaljeringsgrad i fremtiden. Såfremt det sker, kan en steddatabase komme til at have en gradvist vigtigere understøttende funktion for organisering af data. Hvis der udvikles effek- tive måder at producere stedfæstede aktivitetsdata, vurderes dette ligeledes, at kunne have et væsentligt potentiale for at understøtte beslutninger om arealopti- mering, der kan medføre store energi- og driftsbesparelser, såfremt de resulterer i færre kvadratmeter.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21"/>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711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0"/>
          <w:numId w:val="19"/>
        </w:numPr>
        <w:tabs>
          <w:tab w:pos="2649" w:val="left" w:leader="none"/>
          <w:tab w:pos="2650" w:val="left" w:leader="none"/>
        </w:tabs>
        <w:spacing w:line="254" w:lineRule="auto" w:before="101" w:after="0"/>
        <w:ind w:left="2649" w:right="1142" w:hanging="427"/>
        <w:jc w:val="left"/>
      </w:pPr>
      <w:bookmarkStart w:name="_bookmark72" w:id="73"/>
      <w:bookmarkEnd w:id="73"/>
      <w:r>
        <w:rPr/>
        <w:t>Andr</w:t>
      </w:r>
      <w:r>
        <w:rPr/>
        <w:t>e anvendelser for en national indendørs steddatabase</w:t>
      </w:r>
    </w:p>
    <w:p>
      <w:pPr>
        <w:pStyle w:val="BodyText"/>
        <w:spacing w:line="278" w:lineRule="auto" w:before="16"/>
        <w:ind w:left="2649" w:right="1032"/>
      </w:pPr>
      <w:r>
        <w:rPr/>
        <w:t>Fokus for dette projekt har været at afdække og beskrive, hvordan og i hvilket omfang en national datainfrastruktur for indendørs geografi kan understøtte ener- gieffektivisering. I princippet testes steddatabasen af ift. casen energieffektivise- ring, men indendørs geografi vil som koncept være relevant i mange andre sam- menhænge, ligesom specifikationen for energirelevante data er relevant for mange andre typer af fagområder. Herunder er oplistet de datamæssige tværgående for- udsætninger for dette, samt beskrevet og analyseret andre eksempler på anven- delser i en kontekst af en national steddatabase.</w:t>
      </w:r>
    </w:p>
    <w:p>
      <w:pPr>
        <w:pStyle w:val="BodyText"/>
        <w:spacing w:before="11"/>
        <w:rPr>
          <w:sz w:val="20"/>
        </w:rPr>
      </w:pPr>
    </w:p>
    <w:p>
      <w:pPr>
        <w:pStyle w:val="Heading2"/>
        <w:numPr>
          <w:ilvl w:val="1"/>
          <w:numId w:val="21"/>
        </w:numPr>
        <w:tabs>
          <w:tab w:pos="2649" w:val="left" w:leader="none"/>
          <w:tab w:pos="2650" w:val="left" w:leader="none"/>
        </w:tabs>
        <w:spacing w:line="240" w:lineRule="auto" w:before="0" w:after="0"/>
        <w:ind w:left="2649" w:right="0" w:hanging="655"/>
        <w:jc w:val="left"/>
      </w:pPr>
      <w:bookmarkStart w:name="_bookmark73" w:id="74"/>
      <w:bookmarkEnd w:id="74"/>
      <w:r>
        <w:rPr/>
        <w:t>Tvær</w:t>
      </w:r>
      <w:r>
        <w:rPr/>
        <w:t>gående</w:t>
      </w:r>
      <w:r>
        <w:rPr>
          <w:spacing w:val="-3"/>
        </w:rPr>
        <w:t> </w:t>
      </w:r>
      <w:r>
        <w:rPr/>
        <w:t>egenskaber</w:t>
      </w:r>
    </w:p>
    <w:p>
      <w:pPr>
        <w:pStyle w:val="BodyText"/>
        <w:spacing w:line="278" w:lineRule="auto" w:before="38"/>
        <w:ind w:left="2649" w:right="1031"/>
      </w:pPr>
      <w:r>
        <w:rPr/>
        <w:t>For at kunne sammenstille forskellige datakilder med en indendørs national sted- database, er det hensigtsmæssigt at strukturere og ensarte formatet for de til- gængelige data. Ved at systematisere tilgangen til de forskelligartede datakilder opnås en ens datastruktur, som gør at data nemmere kan håndteres og kobles til den nationale steddatabase. Domænespecifikke datamodeller indeholder standar- diserede felter, som inddrages hvis det vurderes at være relevant ved specifikation af et domæne. Domænespecifikke felter er unikke for de enkelte anvendelsesty- per, hvortil der skal tilknyttes domænespecifikke datamodeller. Med denne opbyg- ning, kan den generelle datamodel for en national indendørs steddatabase tilknyt- tes forskellige anvendelser, og skabe forudsætning for, at data kan anvendes og indgå i forskellige sammenhænge og fagområder. Dermed vil man fra anvendelse til anvendelse kunne foretage en individuel attributtering. Eksempler på hvordan data kan sættes i anvendelse og tilknyttes individuelle datamodeller, følger i kapit- lerne herunder.</w:t>
      </w:r>
    </w:p>
    <w:p>
      <w:pPr>
        <w:pStyle w:val="BodyText"/>
        <w:spacing w:before="1"/>
        <w:rPr>
          <w:sz w:val="21"/>
        </w:rPr>
      </w:pPr>
    </w:p>
    <w:p>
      <w:pPr>
        <w:pStyle w:val="Heading2"/>
        <w:numPr>
          <w:ilvl w:val="1"/>
          <w:numId w:val="21"/>
        </w:numPr>
        <w:tabs>
          <w:tab w:pos="2649" w:val="left" w:leader="none"/>
          <w:tab w:pos="2650" w:val="left" w:leader="none"/>
        </w:tabs>
        <w:spacing w:line="240" w:lineRule="auto" w:before="0" w:after="0"/>
        <w:ind w:left="2649" w:right="0" w:hanging="655"/>
        <w:jc w:val="left"/>
      </w:pPr>
      <w:bookmarkStart w:name="_bookmark74" w:id="75"/>
      <w:bookmarkEnd w:id="75"/>
      <w:r>
        <w:rPr/>
        <w:t>Over</w:t>
      </w:r>
      <w:r>
        <w:rPr/>
        <w:t>ordnede temaer for andre</w:t>
      </w:r>
      <w:r>
        <w:rPr>
          <w:spacing w:val="-6"/>
        </w:rPr>
        <w:t> </w:t>
      </w:r>
      <w:r>
        <w:rPr/>
        <w:t>anvendelser</w:t>
      </w:r>
    </w:p>
    <w:p>
      <w:pPr>
        <w:pStyle w:val="BodyText"/>
        <w:spacing w:line="278" w:lineRule="auto" w:before="36"/>
        <w:ind w:left="2649" w:right="1022"/>
      </w:pPr>
      <w:r>
        <w:rPr/>
        <w:t>Som beskrevet er den samlede vurdering, at den indendørs geografi kun i begræn- set omfang har potentiale til at understøtte energieffektivisering. Derimod vurde- res det, at der knytter sig gode potentialer til en række andre anvendelsesmulig- heder. De supplerende anvendelser kan inddeles i tre overordnede anvendelsesdo- mæner, med hver deres underanvendelser:</w:t>
      </w:r>
    </w:p>
    <w:p>
      <w:pPr>
        <w:pStyle w:val="BodyText"/>
        <w:spacing w:before="7"/>
        <w:rPr>
          <w:sz w:val="21"/>
        </w:rPr>
      </w:pPr>
    </w:p>
    <w:p>
      <w:pPr>
        <w:pStyle w:val="Heading4"/>
        <w:tabs>
          <w:tab w:pos="5268" w:val="left" w:leader="none"/>
          <w:tab w:pos="7827" w:val="left" w:leader="none"/>
        </w:tabs>
        <w:spacing w:before="1"/>
        <w:ind w:left="2669"/>
      </w:pPr>
      <w:r>
        <w:rPr/>
        <w:t>indendørs</w:t>
      </w:r>
      <w:r>
        <w:rPr>
          <w:spacing w:val="-3"/>
        </w:rPr>
        <w:t> </w:t>
      </w:r>
      <w:r>
        <w:rPr/>
        <w:t>navigation</w:t>
        <w:tab/>
        <w:t>Facility</w:t>
      </w:r>
      <w:r>
        <w:rPr>
          <w:spacing w:val="-4"/>
        </w:rPr>
        <w:t> </w:t>
      </w:r>
      <w:r>
        <w:rPr/>
        <w:t>Management</w:t>
        <w:tab/>
        <w:t>Ledelsesinformation</w:t>
      </w:r>
    </w:p>
    <w:p>
      <w:pPr>
        <w:pStyle w:val="BodyText"/>
        <w:spacing w:before="10"/>
        <w:rPr>
          <w:b/>
        </w:rPr>
      </w:pPr>
      <w:r>
        <w:rPr/>
        <w:drawing>
          <wp:anchor distT="0" distB="0" distL="0" distR="0" allowOverlap="1" layoutInCell="1" locked="0" behindDoc="0" simplePos="0" relativeHeight="186">
            <wp:simplePos x="0" y="0"/>
            <wp:positionH relativeFrom="page">
              <wp:posOffset>2311019</wp:posOffset>
            </wp:positionH>
            <wp:positionV relativeFrom="paragraph">
              <wp:posOffset>162309</wp:posOffset>
            </wp:positionV>
            <wp:extent cx="1272689" cy="1269873"/>
            <wp:effectExtent l="0" t="0" r="0" b="0"/>
            <wp:wrapTopAndBottom/>
            <wp:docPr id="39" name="image35.png" descr=""/>
            <wp:cNvGraphicFramePr>
              <a:graphicFrameLocks noChangeAspect="1"/>
            </wp:cNvGraphicFramePr>
            <a:graphic>
              <a:graphicData uri="http://schemas.openxmlformats.org/drawingml/2006/picture">
                <pic:pic>
                  <pic:nvPicPr>
                    <pic:cNvPr id="40" name="image35.png"/>
                    <pic:cNvPicPr/>
                  </pic:nvPicPr>
                  <pic:blipFill>
                    <a:blip r:embed="rId47" cstate="print"/>
                    <a:stretch>
                      <a:fillRect/>
                    </a:stretch>
                  </pic:blipFill>
                  <pic:spPr>
                    <a:xfrm>
                      <a:off x="0" y="0"/>
                      <a:ext cx="1272689" cy="1269873"/>
                    </a:xfrm>
                    <a:prstGeom prst="rect">
                      <a:avLst/>
                    </a:prstGeom>
                  </pic:spPr>
                </pic:pic>
              </a:graphicData>
            </a:graphic>
          </wp:anchor>
        </w:drawing>
      </w:r>
      <w:r>
        <w:rPr/>
        <w:drawing>
          <wp:anchor distT="0" distB="0" distL="0" distR="0" allowOverlap="1" layoutInCell="1" locked="0" behindDoc="0" simplePos="0" relativeHeight="187">
            <wp:simplePos x="0" y="0"/>
            <wp:positionH relativeFrom="page">
              <wp:posOffset>3942334</wp:posOffset>
            </wp:positionH>
            <wp:positionV relativeFrom="paragraph">
              <wp:posOffset>162309</wp:posOffset>
            </wp:positionV>
            <wp:extent cx="1270001" cy="1269873"/>
            <wp:effectExtent l="0" t="0" r="0" b="0"/>
            <wp:wrapTopAndBottom/>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48" cstate="print"/>
                    <a:stretch>
                      <a:fillRect/>
                    </a:stretch>
                  </pic:blipFill>
                  <pic:spPr>
                    <a:xfrm>
                      <a:off x="0" y="0"/>
                      <a:ext cx="1270001" cy="1269873"/>
                    </a:xfrm>
                    <a:prstGeom prst="rect">
                      <a:avLst/>
                    </a:prstGeom>
                  </pic:spPr>
                </pic:pic>
              </a:graphicData>
            </a:graphic>
          </wp:anchor>
        </w:drawing>
      </w:r>
      <w:r>
        <w:rPr/>
        <w:drawing>
          <wp:anchor distT="0" distB="0" distL="0" distR="0" allowOverlap="1" layoutInCell="1" locked="0" behindDoc="0" simplePos="0" relativeHeight="188">
            <wp:simplePos x="0" y="0"/>
            <wp:positionH relativeFrom="page">
              <wp:posOffset>5571235</wp:posOffset>
            </wp:positionH>
            <wp:positionV relativeFrom="paragraph">
              <wp:posOffset>162309</wp:posOffset>
            </wp:positionV>
            <wp:extent cx="1272689" cy="1269873"/>
            <wp:effectExtent l="0" t="0" r="0" b="0"/>
            <wp:wrapTopAndBottom/>
            <wp:docPr id="43" name="image37.png" descr=""/>
            <wp:cNvGraphicFramePr>
              <a:graphicFrameLocks noChangeAspect="1"/>
            </wp:cNvGraphicFramePr>
            <a:graphic>
              <a:graphicData uri="http://schemas.openxmlformats.org/drawingml/2006/picture">
                <pic:pic>
                  <pic:nvPicPr>
                    <pic:cNvPr id="44" name="image37.png"/>
                    <pic:cNvPicPr/>
                  </pic:nvPicPr>
                  <pic:blipFill>
                    <a:blip r:embed="rId49" cstate="print"/>
                    <a:stretch>
                      <a:fillRect/>
                    </a:stretch>
                  </pic:blipFill>
                  <pic:spPr>
                    <a:xfrm>
                      <a:off x="0" y="0"/>
                      <a:ext cx="1272689" cy="1269873"/>
                    </a:xfrm>
                    <a:prstGeom prst="rect">
                      <a:avLst/>
                    </a:prstGeom>
                  </pic:spPr>
                </pic:pic>
              </a:graphicData>
            </a:graphic>
          </wp:anchor>
        </w:drawing>
      </w:r>
    </w:p>
    <w:p>
      <w:pPr>
        <w:pStyle w:val="BodyText"/>
        <w:spacing w:before="9"/>
        <w:rPr>
          <w:b/>
          <w:sz w:val="20"/>
        </w:rPr>
      </w:pPr>
    </w:p>
    <w:p>
      <w:pPr>
        <w:pStyle w:val="BodyText"/>
        <w:spacing w:line="278" w:lineRule="auto"/>
        <w:ind w:left="2649" w:right="1270"/>
      </w:pPr>
      <w:r>
        <w:rPr/>
        <w:t>I kapitlerne herunder beskrives de vigtigste anvendelsesmuligheder, der knytter sig til hver af disse domæner. For hver anvendelse vurderes:</w:t>
      </w:r>
    </w:p>
    <w:p>
      <w:pPr>
        <w:pStyle w:val="BodyText"/>
        <w:spacing w:before="5"/>
        <w:rPr>
          <w:sz w:val="21"/>
        </w:rPr>
      </w:pPr>
    </w:p>
    <w:p>
      <w:pPr>
        <w:pStyle w:val="ListParagraph"/>
        <w:numPr>
          <w:ilvl w:val="2"/>
          <w:numId w:val="21"/>
        </w:numPr>
        <w:tabs>
          <w:tab w:pos="3219" w:val="left" w:leader="none"/>
        </w:tabs>
        <w:spacing w:line="240" w:lineRule="auto" w:before="0" w:after="0"/>
        <w:ind w:left="3218" w:right="0" w:hanging="285"/>
        <w:jc w:val="left"/>
        <w:rPr>
          <w:sz w:val="17"/>
        </w:rPr>
      </w:pPr>
      <w:r>
        <w:rPr>
          <w:sz w:val="17"/>
        </w:rPr>
        <w:t>Eksempel på domænespecifikke</w:t>
      </w:r>
      <w:r>
        <w:rPr>
          <w:spacing w:val="-3"/>
          <w:sz w:val="17"/>
        </w:rPr>
        <w:t> </w:t>
      </w:r>
      <w:r>
        <w:rPr>
          <w:sz w:val="17"/>
        </w:rPr>
        <w:t>egenskaber</w:t>
      </w:r>
    </w:p>
    <w:p>
      <w:pPr>
        <w:pStyle w:val="ListParagraph"/>
        <w:numPr>
          <w:ilvl w:val="2"/>
          <w:numId w:val="21"/>
        </w:numPr>
        <w:tabs>
          <w:tab w:pos="3219" w:val="left" w:leader="none"/>
        </w:tabs>
        <w:spacing w:line="240" w:lineRule="auto" w:before="32" w:after="0"/>
        <w:ind w:left="3218" w:right="0" w:hanging="285"/>
        <w:jc w:val="left"/>
        <w:rPr>
          <w:sz w:val="17"/>
        </w:rPr>
      </w:pPr>
      <w:r>
        <w:rPr>
          <w:sz w:val="17"/>
        </w:rPr>
        <w:t>Potentiale og</w:t>
      </w:r>
      <w:r>
        <w:rPr>
          <w:spacing w:val="-3"/>
          <w:sz w:val="17"/>
        </w:rPr>
        <w:t> </w:t>
      </w:r>
      <w:r>
        <w:rPr>
          <w:sz w:val="17"/>
        </w:rPr>
        <w:t>efterspørgsel</w:t>
      </w:r>
    </w:p>
    <w:p>
      <w:pPr>
        <w:pStyle w:val="ListParagraph"/>
        <w:numPr>
          <w:ilvl w:val="2"/>
          <w:numId w:val="21"/>
        </w:numPr>
        <w:tabs>
          <w:tab w:pos="3219" w:val="left" w:leader="none"/>
        </w:tabs>
        <w:spacing w:line="240" w:lineRule="auto" w:before="31" w:after="0"/>
        <w:ind w:left="3218" w:right="0" w:hanging="285"/>
        <w:jc w:val="left"/>
        <w:rPr>
          <w:sz w:val="17"/>
        </w:rPr>
      </w:pPr>
      <w:r>
        <w:rPr>
          <w:sz w:val="17"/>
        </w:rPr>
        <w:t>Tidshorisont</w:t>
      </w:r>
    </w:p>
    <w:p>
      <w:pPr>
        <w:pStyle w:val="ListParagraph"/>
        <w:numPr>
          <w:ilvl w:val="2"/>
          <w:numId w:val="21"/>
        </w:numPr>
        <w:tabs>
          <w:tab w:pos="3219" w:val="left" w:leader="none"/>
        </w:tabs>
        <w:spacing w:line="240" w:lineRule="auto" w:before="33" w:after="0"/>
        <w:ind w:left="3218" w:right="0" w:hanging="285"/>
        <w:jc w:val="left"/>
        <w:rPr>
          <w:sz w:val="17"/>
        </w:rPr>
      </w:pPr>
      <w:r>
        <w:rPr>
          <w:sz w:val="17"/>
        </w:rPr>
        <w:t>Drivere</w:t>
      </w:r>
    </w:p>
    <w:p>
      <w:pPr>
        <w:pStyle w:val="ListParagraph"/>
        <w:numPr>
          <w:ilvl w:val="2"/>
          <w:numId w:val="21"/>
        </w:numPr>
        <w:tabs>
          <w:tab w:pos="3219" w:val="left" w:leader="none"/>
        </w:tabs>
        <w:spacing w:line="240" w:lineRule="auto" w:before="31" w:after="0"/>
        <w:ind w:left="3218" w:right="0" w:hanging="285"/>
        <w:jc w:val="left"/>
        <w:rPr>
          <w:sz w:val="17"/>
        </w:rPr>
      </w:pPr>
      <w:r>
        <w:rPr>
          <w:sz w:val="17"/>
        </w:rPr>
        <w:t>Barriere</w:t>
      </w:r>
    </w:p>
    <w:p>
      <w:pPr>
        <w:pStyle w:val="ListParagraph"/>
        <w:numPr>
          <w:ilvl w:val="2"/>
          <w:numId w:val="21"/>
        </w:numPr>
        <w:tabs>
          <w:tab w:pos="3219" w:val="left" w:leader="none"/>
        </w:tabs>
        <w:spacing w:line="240" w:lineRule="auto" w:before="32" w:after="0"/>
        <w:ind w:left="3218" w:right="0" w:hanging="285"/>
        <w:jc w:val="left"/>
        <w:rPr>
          <w:sz w:val="17"/>
        </w:rPr>
      </w:pPr>
      <w:r>
        <w:rPr>
          <w:sz w:val="17"/>
        </w:rPr>
        <w:t>Virkemidler</w:t>
      </w:r>
    </w:p>
    <w:p>
      <w:pPr>
        <w:spacing w:after="0" w:line="240" w:lineRule="auto"/>
        <w:jc w:val="lef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group style="position:absolute;margin-left:56.465145pt;margin-top:-.222301pt;width:112.9pt;height:841.1pt;mso-position-horizontal-relative:page;mso-position-vertical-relative:page;z-index:-177016" coordorigin="1129,-4" coordsize="2258,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758;top:2729;width:1136;height:1133" type="#_x0000_t75" stroked="false">
              <v:imagedata r:id="rId50" o:title=""/>
            </v:shape>
            <w10:wrap type="none"/>
          </v:group>
        </w:pict>
      </w:r>
    </w:p>
    <w:p>
      <w:pPr>
        <w:pStyle w:val="BodyText"/>
        <w:rPr>
          <w:sz w:val="20"/>
        </w:rPr>
      </w:pPr>
    </w:p>
    <w:p>
      <w:pPr>
        <w:pStyle w:val="BodyText"/>
        <w:spacing w:before="11"/>
        <w:rPr>
          <w:sz w:val="22"/>
        </w:rPr>
      </w:pPr>
    </w:p>
    <w:p>
      <w:pPr>
        <w:pStyle w:val="BodyText"/>
        <w:spacing w:line="278" w:lineRule="auto" w:before="101"/>
        <w:ind w:left="2649" w:right="1374"/>
      </w:pPr>
      <w:r>
        <w:rPr/>
        <w:t>Vurderingerne af disse forhold bygger på NIRAS’ eksisterende faglige viden, på workshopresultater og på input fra bygningsejere og tredjepartsaktører.</w:t>
      </w:r>
    </w:p>
    <w:p>
      <w:pPr>
        <w:pStyle w:val="BodyText"/>
        <w:spacing w:before="8"/>
        <w:rPr>
          <w:sz w:val="20"/>
        </w:rPr>
      </w:pPr>
    </w:p>
    <w:p>
      <w:pPr>
        <w:pStyle w:val="Heading2"/>
        <w:numPr>
          <w:ilvl w:val="1"/>
          <w:numId w:val="21"/>
        </w:numPr>
        <w:tabs>
          <w:tab w:pos="2649" w:val="left" w:leader="none"/>
          <w:tab w:pos="2650" w:val="left" w:leader="none"/>
        </w:tabs>
        <w:spacing w:line="240" w:lineRule="auto" w:before="1" w:after="0"/>
        <w:ind w:left="2649" w:right="0" w:hanging="655"/>
        <w:jc w:val="left"/>
      </w:pPr>
      <w:bookmarkStart w:name="_bookmark75" w:id="76"/>
      <w:bookmarkEnd w:id="76"/>
      <w:r>
        <w:rPr/>
        <w:t>i</w:t>
      </w:r>
      <w:r>
        <w:rPr/>
        <w:t>ndendørs</w:t>
      </w:r>
      <w:r>
        <w:rPr>
          <w:spacing w:val="-2"/>
        </w:rPr>
        <w:t> </w:t>
      </w:r>
      <w:r>
        <w:rPr/>
        <w:t>navigation</w:t>
      </w:r>
    </w:p>
    <w:p>
      <w:pPr>
        <w:pStyle w:val="BodyText"/>
        <w:spacing w:line="278" w:lineRule="auto" w:before="38"/>
        <w:ind w:left="2649" w:right="1093"/>
      </w:pPr>
      <w:r>
        <w:rPr/>
        <w:t>Anvendelsesdomænet </w:t>
      </w:r>
      <w:r>
        <w:rPr>
          <w:i/>
        </w:rPr>
        <w:t>indendørs navigation </w:t>
      </w:r>
      <w:r>
        <w:rPr/>
        <w:t>dækker over aktiviteter og funktioner, der ville have gavn af præcise informationer om bygningers indre geografi, herun- der menneskers og udstyrs placering og bevægelsesmønstre. En national inden- dørs steddatabase vil kunne understøtte følgende aspekter af indendørs naviga- tion:</w:t>
      </w:r>
    </w:p>
    <w:p>
      <w:pPr>
        <w:pStyle w:val="BodyText"/>
        <w:spacing w:before="8"/>
        <w:rPr>
          <w:sz w:val="21"/>
        </w:rPr>
      </w:pPr>
    </w:p>
    <w:p>
      <w:pPr>
        <w:pStyle w:val="Heading3"/>
        <w:numPr>
          <w:ilvl w:val="2"/>
          <w:numId w:val="21"/>
        </w:numPr>
        <w:tabs>
          <w:tab w:pos="2649" w:val="left" w:leader="none"/>
          <w:tab w:pos="2650" w:val="left" w:leader="none"/>
        </w:tabs>
        <w:spacing w:line="240" w:lineRule="auto" w:before="1" w:after="0"/>
        <w:ind w:left="2649" w:right="0" w:hanging="799"/>
        <w:jc w:val="left"/>
      </w:pPr>
      <w:bookmarkStart w:name="_bookmark76" w:id="77"/>
      <w:bookmarkEnd w:id="77"/>
      <w:r>
        <w:rPr/>
        <w:t>W</w:t>
      </w:r>
      <w:r>
        <w:rPr/>
        <w:t>ayfinding</w:t>
      </w:r>
    </w:p>
    <w:p>
      <w:pPr>
        <w:pStyle w:val="BodyText"/>
        <w:spacing w:line="278" w:lineRule="auto" w:before="34"/>
        <w:ind w:left="2649" w:right="1068"/>
      </w:pPr>
      <w:r>
        <w:rPr/>
        <w:t>indendørs rutevisning, som vi kender det fra GPS applikationer i det udendørs landskab, er særligt relevant i større bygningskomplekser med mange brugere, der ikke nødvendigvis har forhåndskendskab til bygningerne. Flere af de større hospitaler tilbyder allerede i dag forskellige former for wayfinding services til deres brugere.</w:t>
      </w:r>
    </w:p>
    <w:p>
      <w:pPr>
        <w:pStyle w:val="BodyText"/>
        <w:spacing w:before="4" w:after="1"/>
        <w:rPr>
          <w:sz w:val="1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196" w:hRule="atLeast"/>
        </w:trPr>
        <w:tc>
          <w:tcPr>
            <w:tcW w:w="7078" w:type="dxa"/>
            <w:gridSpan w:val="2"/>
            <w:tcBorders>
              <w:top w:val="nil"/>
              <w:left w:val="nil"/>
              <w:right w:val="nil"/>
            </w:tcBorders>
            <w:shd w:val="clear" w:color="auto" w:fill="2C647C"/>
          </w:tcPr>
          <w:p>
            <w:pPr>
              <w:pStyle w:val="TableParagraph"/>
              <w:spacing w:line="184" w:lineRule="exact" w:before="2"/>
              <w:ind w:left="2501" w:right="2500"/>
              <w:jc w:val="center"/>
              <w:rPr>
                <w:b/>
                <w:sz w:val="17"/>
              </w:rPr>
            </w:pPr>
            <w:r>
              <w:rPr>
                <w:b/>
                <w:color w:val="FFFFFF"/>
                <w:sz w:val="17"/>
              </w:rPr>
              <w:t>WAYFINDING</w:t>
            </w:r>
          </w:p>
        </w:tc>
      </w:tr>
      <w:tr>
        <w:trPr>
          <w:trHeight w:val="404" w:hRule="atLeast"/>
        </w:trPr>
        <w:tc>
          <w:tcPr>
            <w:tcW w:w="2434" w:type="dxa"/>
            <w:tcBorders>
              <w:left w:val="nil"/>
            </w:tcBorders>
            <w:shd w:val="clear" w:color="auto" w:fill="C8E9E6"/>
          </w:tcPr>
          <w:p>
            <w:pPr>
              <w:pStyle w:val="TableParagraph"/>
              <w:spacing w:line="206" w:lineRule="exact" w:before="8"/>
              <w:ind w:left="103" w:right="144"/>
              <w:rPr>
                <w:b/>
                <w:sz w:val="17"/>
              </w:rPr>
            </w:pPr>
            <w:r>
              <w:rPr>
                <w:b/>
                <w:sz w:val="17"/>
              </w:rPr>
              <w:t>Eksempel på domæne- specifikke egenskaber</w:t>
            </w:r>
          </w:p>
        </w:tc>
        <w:tc>
          <w:tcPr>
            <w:tcW w:w="4644" w:type="dxa"/>
            <w:tcBorders>
              <w:right w:val="nil"/>
            </w:tcBorders>
            <w:shd w:val="clear" w:color="auto" w:fill="C8E9E6"/>
          </w:tcPr>
          <w:p>
            <w:pPr>
              <w:pStyle w:val="TableParagraph"/>
              <w:spacing w:before="105"/>
              <w:ind w:left="102"/>
              <w:rPr>
                <w:sz w:val="17"/>
              </w:rPr>
            </w:pPr>
            <w:r>
              <w:rPr>
                <w:sz w:val="17"/>
              </w:rPr>
              <w:t>Rumanvendelse</w:t>
            </w:r>
          </w:p>
        </w:tc>
      </w:tr>
      <w:tr>
        <w:trPr>
          <w:trHeight w:val="397" w:hRule="atLeast"/>
        </w:trPr>
        <w:tc>
          <w:tcPr>
            <w:tcW w:w="2434" w:type="dxa"/>
            <w:tcBorders>
              <w:left w:val="nil"/>
            </w:tcBorders>
            <w:shd w:val="clear" w:color="auto" w:fill="E2F3F0"/>
          </w:tcPr>
          <w:p>
            <w:pPr>
              <w:pStyle w:val="TableParagraph"/>
              <w:spacing w:line="206" w:lineRule="exact" w:before="2"/>
              <w:ind w:left="103" w:right="445"/>
              <w:rPr>
                <w:b/>
                <w:sz w:val="17"/>
              </w:rPr>
            </w:pPr>
            <w:r>
              <w:rPr>
                <w:b/>
                <w:sz w:val="17"/>
              </w:rPr>
              <w:t>Potentiale og efter- spørgsel</w:t>
            </w:r>
          </w:p>
        </w:tc>
        <w:tc>
          <w:tcPr>
            <w:tcW w:w="4644" w:type="dxa"/>
            <w:tcBorders>
              <w:right w:val="nil"/>
            </w:tcBorders>
            <w:shd w:val="clear" w:color="auto" w:fill="E2F3F0"/>
          </w:tcPr>
          <w:p>
            <w:pPr>
              <w:pStyle w:val="TableParagraph"/>
              <w:spacing w:before="99"/>
              <w:ind w:left="102"/>
              <w:rPr>
                <w:sz w:val="17"/>
              </w:rPr>
            </w:pPr>
            <w:r>
              <w:rPr>
                <w:sz w:val="17"/>
              </w:rPr>
              <w:t>Stort (for store bygninger og bygningsporteføljer)</w:t>
            </w:r>
          </w:p>
        </w:tc>
      </w:tr>
      <w:tr>
        <w:trPr>
          <w:trHeight w:val="189" w:hRule="atLeast"/>
        </w:trPr>
        <w:tc>
          <w:tcPr>
            <w:tcW w:w="2434" w:type="dxa"/>
            <w:tcBorders>
              <w:left w:val="nil"/>
            </w:tcBorders>
            <w:shd w:val="clear" w:color="auto" w:fill="C8E9E6"/>
          </w:tcPr>
          <w:p>
            <w:pPr>
              <w:pStyle w:val="TableParagraph"/>
              <w:spacing w:line="179" w:lineRule="exact"/>
              <w:ind w:left="103"/>
              <w:rPr>
                <w:b/>
                <w:sz w:val="17"/>
              </w:rPr>
            </w:pPr>
            <w:r>
              <w:rPr>
                <w:b/>
                <w:sz w:val="17"/>
              </w:rPr>
              <w:t>Tidshorisont</w:t>
            </w:r>
          </w:p>
        </w:tc>
        <w:tc>
          <w:tcPr>
            <w:tcW w:w="4644" w:type="dxa"/>
            <w:tcBorders>
              <w:right w:val="nil"/>
            </w:tcBorders>
            <w:shd w:val="clear" w:color="auto" w:fill="C8E9E6"/>
          </w:tcPr>
          <w:p>
            <w:pPr>
              <w:pStyle w:val="TableParagraph"/>
              <w:spacing w:line="179" w:lineRule="exact"/>
              <w:ind w:left="102"/>
              <w:rPr>
                <w:sz w:val="17"/>
              </w:rPr>
            </w:pPr>
            <w:r>
              <w:rPr>
                <w:sz w:val="17"/>
              </w:rPr>
              <w:t>I dag</w:t>
            </w:r>
          </w:p>
        </w:tc>
      </w:tr>
      <w:tr>
        <w:trPr>
          <w:trHeight w:val="194" w:hRule="atLeast"/>
        </w:trPr>
        <w:tc>
          <w:tcPr>
            <w:tcW w:w="2434" w:type="dxa"/>
            <w:tcBorders>
              <w:left w:val="nil"/>
              <w:bottom w:val="nil"/>
            </w:tcBorders>
            <w:shd w:val="clear" w:color="auto" w:fill="E2F3F0"/>
          </w:tcPr>
          <w:p>
            <w:pPr>
              <w:pStyle w:val="TableParagraph"/>
              <w:spacing w:line="183" w:lineRule="exact" w:before="1"/>
              <w:ind w:left="103"/>
              <w:rPr>
                <w:b/>
                <w:sz w:val="17"/>
              </w:rPr>
            </w:pPr>
            <w:r>
              <w:rPr>
                <w:b/>
                <w:sz w:val="17"/>
              </w:rPr>
              <w:t>Drivere</w:t>
            </w:r>
          </w:p>
        </w:tc>
        <w:tc>
          <w:tcPr>
            <w:tcW w:w="4644" w:type="dxa"/>
            <w:tcBorders>
              <w:bottom w:val="nil"/>
              <w:right w:val="nil"/>
            </w:tcBorders>
            <w:shd w:val="clear" w:color="auto" w:fill="E2F3F0"/>
          </w:tcPr>
          <w:p>
            <w:pPr>
              <w:pStyle w:val="TableParagraph"/>
              <w:spacing w:line="183" w:lineRule="exact" w:before="1"/>
              <w:ind w:left="102"/>
              <w:rPr>
                <w:sz w:val="17"/>
              </w:rPr>
            </w:pPr>
            <w:r>
              <w:rPr>
                <w:sz w:val="17"/>
              </w:rPr>
              <w:t>Effektivisering, god service</w:t>
            </w:r>
          </w:p>
        </w:tc>
      </w:tr>
      <w:tr>
        <w:trPr>
          <w:trHeight w:val="401" w:hRule="atLeast"/>
        </w:trPr>
        <w:tc>
          <w:tcPr>
            <w:tcW w:w="2434" w:type="dxa"/>
            <w:tcBorders>
              <w:top w:val="nil"/>
              <w:left w:val="nil"/>
            </w:tcBorders>
            <w:shd w:val="clear" w:color="auto" w:fill="C8E9E6"/>
          </w:tcPr>
          <w:p>
            <w:pPr>
              <w:pStyle w:val="TableParagraph"/>
              <w:spacing w:before="103"/>
              <w:ind w:left="103"/>
              <w:rPr>
                <w:b/>
                <w:sz w:val="17"/>
              </w:rPr>
            </w:pPr>
            <w:r>
              <w:rPr>
                <w:b/>
                <w:sz w:val="17"/>
              </w:rPr>
              <w:t>Barriere</w:t>
            </w:r>
          </w:p>
        </w:tc>
        <w:tc>
          <w:tcPr>
            <w:tcW w:w="4644" w:type="dxa"/>
            <w:tcBorders>
              <w:top w:val="nil"/>
              <w:right w:val="nil"/>
            </w:tcBorders>
            <w:shd w:val="clear" w:color="auto" w:fill="C8E9E6"/>
          </w:tcPr>
          <w:p>
            <w:pPr>
              <w:pStyle w:val="TableParagraph"/>
              <w:spacing w:line="206" w:lineRule="exact" w:before="6"/>
              <w:ind w:left="102" w:right="424"/>
              <w:rPr>
                <w:sz w:val="17"/>
              </w:rPr>
            </w:pPr>
            <w:r>
              <w:rPr>
                <w:sz w:val="17"/>
              </w:rPr>
              <w:t>Teknologien er ikke optimal ved overgangen fra udendørs til indendørs navigation</w:t>
            </w:r>
          </w:p>
        </w:tc>
      </w:tr>
      <w:tr>
        <w:trPr>
          <w:trHeight w:val="396" w:hRule="atLeast"/>
        </w:trPr>
        <w:tc>
          <w:tcPr>
            <w:tcW w:w="2434" w:type="dxa"/>
            <w:tcBorders>
              <w:left w:val="nil"/>
              <w:bottom w:val="nil"/>
            </w:tcBorders>
            <w:shd w:val="clear" w:color="auto" w:fill="E2F3F0"/>
          </w:tcPr>
          <w:p>
            <w:pPr>
              <w:pStyle w:val="TableParagraph"/>
              <w:spacing w:before="98"/>
              <w:ind w:left="103"/>
              <w:rPr>
                <w:b/>
                <w:sz w:val="17"/>
              </w:rPr>
            </w:pPr>
            <w:r>
              <w:rPr>
                <w:b/>
                <w:sz w:val="17"/>
              </w:rPr>
              <w:t>Virkemidler</w:t>
            </w:r>
          </w:p>
        </w:tc>
        <w:tc>
          <w:tcPr>
            <w:tcW w:w="4644" w:type="dxa"/>
            <w:tcBorders>
              <w:bottom w:val="nil"/>
              <w:right w:val="nil"/>
            </w:tcBorders>
            <w:shd w:val="clear" w:color="auto" w:fill="E2F3F0"/>
          </w:tcPr>
          <w:p>
            <w:pPr>
              <w:pStyle w:val="TableParagraph"/>
              <w:spacing w:line="206" w:lineRule="exact" w:before="1"/>
              <w:ind w:left="102" w:right="304"/>
              <w:rPr>
                <w:sz w:val="17"/>
              </w:rPr>
            </w:pPr>
            <w:r>
              <w:rPr>
                <w:sz w:val="17"/>
              </w:rPr>
              <w:t>Gode cases. En attraktiv fællesnational steddata- base. Sker allerede på markedspræmisser.</w:t>
            </w:r>
          </w:p>
        </w:tc>
      </w:tr>
    </w:tbl>
    <w:p>
      <w:pPr>
        <w:pStyle w:val="BodyText"/>
        <w:spacing w:before="3"/>
        <w:rPr>
          <w:sz w:val="25"/>
        </w:rPr>
      </w:pPr>
    </w:p>
    <w:p>
      <w:pPr>
        <w:pStyle w:val="Heading3"/>
        <w:numPr>
          <w:ilvl w:val="2"/>
          <w:numId w:val="21"/>
        </w:numPr>
        <w:tabs>
          <w:tab w:pos="2649" w:val="left" w:leader="none"/>
          <w:tab w:pos="2650" w:val="left" w:leader="none"/>
        </w:tabs>
        <w:spacing w:line="240" w:lineRule="auto" w:before="1" w:after="0"/>
        <w:ind w:left="2649" w:right="0" w:hanging="799"/>
        <w:jc w:val="left"/>
      </w:pPr>
      <w:bookmarkStart w:name="_bookmark77" w:id="78"/>
      <w:bookmarkEnd w:id="78"/>
      <w:r>
        <w:rPr/>
        <w:t>B</w:t>
      </w:r>
      <w:r>
        <w:rPr/>
        <w:t>eredskab</w:t>
      </w:r>
    </w:p>
    <w:p>
      <w:pPr>
        <w:pStyle w:val="BodyText"/>
        <w:spacing w:line="278" w:lineRule="auto" w:before="34"/>
        <w:ind w:left="2649" w:right="1038"/>
      </w:pPr>
      <w:r>
        <w:rPr/>
        <w:t>I forbindelse med ulykker, brande, naturkatastrofer, terror og andre krisesituatio- ner har beredskabet brug for præcist kendskab til bygningers indre geografi. Jo mere detaljerede og opdaterede data, jo bedre kan de forberede og tilrettelægge deres indsats og lokalisere risikozoner, adgangszoner, installationer mv. Dette ville understøtte effektive udrykningstider til enhver lokation i en bygning.</w:t>
      </w:r>
    </w:p>
    <w:p>
      <w:pPr>
        <w:pStyle w:val="BodyText"/>
        <w:spacing w:before="6"/>
        <w:rPr>
          <w:sz w:val="1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196" w:hRule="atLeast"/>
        </w:trPr>
        <w:tc>
          <w:tcPr>
            <w:tcW w:w="7078" w:type="dxa"/>
            <w:gridSpan w:val="2"/>
            <w:tcBorders>
              <w:top w:val="nil"/>
              <w:left w:val="nil"/>
              <w:right w:val="nil"/>
            </w:tcBorders>
            <w:shd w:val="clear" w:color="auto" w:fill="2C647C"/>
          </w:tcPr>
          <w:p>
            <w:pPr>
              <w:pStyle w:val="TableParagraph"/>
              <w:spacing w:line="184" w:lineRule="exact" w:before="2"/>
              <w:ind w:left="2501" w:right="2499"/>
              <w:jc w:val="center"/>
              <w:rPr>
                <w:b/>
                <w:sz w:val="17"/>
              </w:rPr>
            </w:pPr>
            <w:r>
              <w:rPr>
                <w:b/>
                <w:color w:val="FFFFFF"/>
                <w:sz w:val="17"/>
              </w:rPr>
              <w:t>BEREDSKAB</w:t>
            </w:r>
          </w:p>
        </w:tc>
      </w:tr>
      <w:tr>
        <w:trPr>
          <w:trHeight w:val="402" w:hRule="atLeast"/>
        </w:trPr>
        <w:tc>
          <w:tcPr>
            <w:tcW w:w="2434" w:type="dxa"/>
            <w:tcBorders>
              <w:left w:val="nil"/>
            </w:tcBorders>
            <w:shd w:val="clear" w:color="auto" w:fill="C8E9E6"/>
          </w:tcPr>
          <w:p>
            <w:pPr>
              <w:pStyle w:val="TableParagraph"/>
              <w:spacing w:line="206" w:lineRule="exact" w:before="8"/>
              <w:ind w:left="103" w:right="144"/>
              <w:rPr>
                <w:b/>
                <w:sz w:val="17"/>
              </w:rPr>
            </w:pPr>
            <w:r>
              <w:rPr>
                <w:b/>
                <w:sz w:val="17"/>
              </w:rPr>
              <w:t>Eksempel på domæne- specifikke egenskaber</w:t>
            </w:r>
          </w:p>
        </w:tc>
        <w:tc>
          <w:tcPr>
            <w:tcW w:w="4644" w:type="dxa"/>
            <w:tcBorders>
              <w:right w:val="nil"/>
            </w:tcBorders>
            <w:shd w:val="clear" w:color="auto" w:fill="C8E9E6"/>
          </w:tcPr>
          <w:p>
            <w:pPr>
              <w:pStyle w:val="TableParagraph"/>
              <w:spacing w:line="206" w:lineRule="exact" w:before="8"/>
              <w:ind w:left="102" w:right="263"/>
              <w:rPr>
                <w:sz w:val="17"/>
              </w:rPr>
            </w:pPr>
            <w:r>
              <w:rPr>
                <w:sz w:val="17"/>
              </w:rPr>
              <w:t>Link til planer, Areal, Rumanvendelse, Farligt ind- hold, Adgange til rum,</w:t>
            </w:r>
          </w:p>
        </w:tc>
      </w:tr>
      <w:tr>
        <w:trPr>
          <w:trHeight w:val="394" w:hRule="atLeast"/>
        </w:trPr>
        <w:tc>
          <w:tcPr>
            <w:tcW w:w="2434" w:type="dxa"/>
            <w:tcBorders>
              <w:left w:val="nil"/>
              <w:bottom w:val="nil"/>
            </w:tcBorders>
            <w:shd w:val="clear" w:color="auto" w:fill="E2F3F0"/>
          </w:tcPr>
          <w:p>
            <w:pPr>
              <w:pStyle w:val="TableParagraph"/>
              <w:spacing w:line="206" w:lineRule="exact"/>
              <w:ind w:left="103" w:right="445"/>
              <w:rPr>
                <w:b/>
                <w:sz w:val="17"/>
              </w:rPr>
            </w:pPr>
            <w:r>
              <w:rPr>
                <w:b/>
                <w:sz w:val="17"/>
              </w:rPr>
              <w:t>Potentiale og efter- spørgsel</w:t>
            </w:r>
          </w:p>
        </w:tc>
        <w:tc>
          <w:tcPr>
            <w:tcW w:w="4644" w:type="dxa"/>
            <w:tcBorders>
              <w:bottom w:val="nil"/>
              <w:right w:val="nil"/>
            </w:tcBorders>
            <w:shd w:val="clear" w:color="auto" w:fill="E2F3F0"/>
          </w:tcPr>
          <w:p>
            <w:pPr>
              <w:pStyle w:val="TableParagraph"/>
              <w:spacing w:before="97"/>
              <w:ind w:left="102"/>
              <w:rPr>
                <w:sz w:val="17"/>
              </w:rPr>
            </w:pPr>
            <w:r>
              <w:rPr>
                <w:sz w:val="17"/>
              </w:rPr>
              <w:t>Medium – Stort</w:t>
            </w:r>
          </w:p>
        </w:tc>
      </w:tr>
      <w:tr>
        <w:trPr>
          <w:trHeight w:val="186" w:hRule="atLeast"/>
        </w:trPr>
        <w:tc>
          <w:tcPr>
            <w:tcW w:w="2434" w:type="dxa"/>
            <w:tcBorders>
              <w:top w:val="nil"/>
              <w:left w:val="nil"/>
            </w:tcBorders>
            <w:shd w:val="clear" w:color="auto" w:fill="C8E9E6"/>
          </w:tcPr>
          <w:p>
            <w:pPr>
              <w:pStyle w:val="TableParagraph"/>
              <w:spacing w:line="177" w:lineRule="exact"/>
              <w:ind w:left="103"/>
              <w:rPr>
                <w:b/>
                <w:sz w:val="17"/>
              </w:rPr>
            </w:pPr>
            <w:r>
              <w:rPr>
                <w:b/>
                <w:sz w:val="17"/>
              </w:rPr>
              <w:t>Tidshorisont</w:t>
            </w:r>
          </w:p>
        </w:tc>
        <w:tc>
          <w:tcPr>
            <w:tcW w:w="4644" w:type="dxa"/>
            <w:tcBorders>
              <w:top w:val="nil"/>
              <w:right w:val="nil"/>
            </w:tcBorders>
            <w:shd w:val="clear" w:color="auto" w:fill="C8E9E6"/>
          </w:tcPr>
          <w:p>
            <w:pPr>
              <w:pStyle w:val="TableParagraph"/>
              <w:spacing w:line="177" w:lineRule="exact"/>
              <w:ind w:left="102"/>
              <w:rPr>
                <w:sz w:val="17"/>
              </w:rPr>
            </w:pPr>
            <w:r>
              <w:rPr>
                <w:sz w:val="17"/>
              </w:rPr>
              <w:t>Snart</w:t>
            </w:r>
          </w:p>
        </w:tc>
      </w:tr>
      <w:tr>
        <w:trPr>
          <w:trHeight w:val="195" w:hRule="atLeast"/>
        </w:trPr>
        <w:tc>
          <w:tcPr>
            <w:tcW w:w="2434" w:type="dxa"/>
            <w:tcBorders>
              <w:left w:val="nil"/>
            </w:tcBorders>
            <w:shd w:val="clear" w:color="auto" w:fill="E2F3F0"/>
          </w:tcPr>
          <w:p>
            <w:pPr>
              <w:pStyle w:val="TableParagraph"/>
              <w:spacing w:line="184" w:lineRule="exact" w:before="1"/>
              <w:ind w:left="103"/>
              <w:rPr>
                <w:b/>
                <w:sz w:val="17"/>
              </w:rPr>
            </w:pPr>
            <w:r>
              <w:rPr>
                <w:b/>
                <w:sz w:val="17"/>
              </w:rPr>
              <w:t>Drivere</w:t>
            </w:r>
          </w:p>
        </w:tc>
        <w:tc>
          <w:tcPr>
            <w:tcW w:w="4644" w:type="dxa"/>
            <w:tcBorders>
              <w:right w:val="nil"/>
            </w:tcBorders>
            <w:shd w:val="clear" w:color="auto" w:fill="E2F3F0"/>
          </w:tcPr>
          <w:p>
            <w:pPr>
              <w:pStyle w:val="TableParagraph"/>
              <w:spacing w:line="184" w:lineRule="exact" w:before="1"/>
              <w:ind w:left="102"/>
              <w:rPr>
                <w:sz w:val="17"/>
              </w:rPr>
            </w:pPr>
            <w:r>
              <w:rPr>
                <w:sz w:val="17"/>
              </w:rPr>
              <w:t>Øget fokus på og prioritering af sikkerhedsforhold</w:t>
            </w:r>
          </w:p>
        </w:tc>
      </w:tr>
      <w:tr>
        <w:trPr>
          <w:trHeight w:val="195" w:hRule="atLeast"/>
        </w:trPr>
        <w:tc>
          <w:tcPr>
            <w:tcW w:w="2434" w:type="dxa"/>
            <w:tcBorders>
              <w:left w:val="nil"/>
            </w:tcBorders>
            <w:shd w:val="clear" w:color="auto" w:fill="C8E9E6"/>
          </w:tcPr>
          <w:p>
            <w:pPr>
              <w:pStyle w:val="TableParagraph"/>
              <w:spacing w:line="184" w:lineRule="exact" w:before="1"/>
              <w:ind w:left="103"/>
              <w:rPr>
                <w:b/>
                <w:sz w:val="17"/>
              </w:rPr>
            </w:pPr>
            <w:r>
              <w:rPr>
                <w:b/>
                <w:sz w:val="17"/>
              </w:rPr>
              <w:t>Barriere</w:t>
            </w:r>
          </w:p>
        </w:tc>
        <w:tc>
          <w:tcPr>
            <w:tcW w:w="4644" w:type="dxa"/>
            <w:tcBorders>
              <w:right w:val="nil"/>
            </w:tcBorders>
            <w:shd w:val="clear" w:color="auto" w:fill="C8E9E6"/>
          </w:tcPr>
          <w:p>
            <w:pPr>
              <w:pStyle w:val="TableParagraph"/>
              <w:spacing w:line="184" w:lineRule="exact" w:before="1"/>
              <w:ind w:left="102"/>
              <w:rPr>
                <w:sz w:val="17"/>
              </w:rPr>
            </w:pPr>
            <w:r>
              <w:rPr>
                <w:sz w:val="17"/>
              </w:rPr>
              <w:t>Datasikkerhed</w:t>
            </w:r>
          </w:p>
        </w:tc>
      </w:tr>
      <w:tr>
        <w:trPr>
          <w:trHeight w:val="196" w:hRule="atLeast"/>
        </w:trPr>
        <w:tc>
          <w:tcPr>
            <w:tcW w:w="2434" w:type="dxa"/>
            <w:tcBorders>
              <w:left w:val="nil"/>
              <w:bottom w:val="nil"/>
            </w:tcBorders>
            <w:shd w:val="clear" w:color="auto" w:fill="E2F3F0"/>
          </w:tcPr>
          <w:p>
            <w:pPr>
              <w:pStyle w:val="TableParagraph"/>
              <w:spacing w:line="185" w:lineRule="exact" w:before="1"/>
              <w:ind w:left="103"/>
              <w:rPr>
                <w:b/>
                <w:sz w:val="17"/>
              </w:rPr>
            </w:pPr>
            <w:r>
              <w:rPr>
                <w:b/>
                <w:sz w:val="17"/>
              </w:rPr>
              <w:t>Virkemidler</w:t>
            </w:r>
          </w:p>
        </w:tc>
        <w:tc>
          <w:tcPr>
            <w:tcW w:w="4644" w:type="dxa"/>
            <w:tcBorders>
              <w:bottom w:val="nil"/>
              <w:right w:val="nil"/>
            </w:tcBorders>
            <w:shd w:val="clear" w:color="auto" w:fill="E2F3F0"/>
          </w:tcPr>
          <w:p>
            <w:pPr>
              <w:pStyle w:val="TableParagraph"/>
              <w:spacing w:line="185" w:lineRule="exact" w:before="1"/>
              <w:ind w:left="102"/>
              <w:rPr>
                <w:sz w:val="17"/>
              </w:rPr>
            </w:pPr>
            <w:r>
              <w:rPr>
                <w:sz w:val="17"/>
              </w:rPr>
              <w:t>Investeringer i infrastruktur rettet mod beredskab</w:t>
            </w:r>
          </w:p>
        </w:tc>
      </w:tr>
    </w:tbl>
    <w:p>
      <w:pPr>
        <w:pStyle w:val="BodyText"/>
        <w:spacing w:before="9"/>
        <w:rPr>
          <w:sz w:val="23"/>
        </w:rPr>
      </w:pPr>
    </w:p>
    <w:p>
      <w:pPr>
        <w:pStyle w:val="Heading3"/>
        <w:numPr>
          <w:ilvl w:val="2"/>
          <w:numId w:val="21"/>
        </w:numPr>
        <w:tabs>
          <w:tab w:pos="2649" w:val="left" w:leader="none"/>
          <w:tab w:pos="2650" w:val="left" w:leader="none"/>
        </w:tabs>
        <w:spacing w:line="240" w:lineRule="auto" w:before="0" w:after="0"/>
        <w:ind w:left="2649" w:right="0" w:hanging="799"/>
        <w:jc w:val="left"/>
      </w:pPr>
      <w:bookmarkStart w:name="_bookmark78" w:id="79"/>
      <w:bookmarkEnd w:id="79"/>
      <w:r>
        <w:rPr/>
        <w:t>Log</w:t>
      </w:r>
      <w:r>
        <w:rPr/>
        <w:t>istik</w:t>
      </w:r>
    </w:p>
    <w:p>
      <w:pPr>
        <w:pStyle w:val="BodyText"/>
        <w:spacing w:line="278" w:lineRule="auto" w:before="34"/>
        <w:ind w:left="2649" w:right="1032"/>
      </w:pPr>
      <w:r>
        <w:rPr/>
        <w:t>Logistik handler om stedfæstelse af data (tracking), som understøtter systemer og arbejdsgange der sikrer et optimalt flow af ressourcer (fx medarbejdere, materia- ler eller udstyr) i en bygning med henblik på at spare tid og undgå flaskehalse. Ud over tilrettelæggelse af de korteste ruter kan dette fx involvere tracking af appara- ter og maskiner, for at følge deres placering og flow. I en hospitalskontekst kan dette fx dreje sig om, hvordan logistik systemer kan undgå flaskehalse og effekti- visere anvendelsestiden for senge ved at tracke dem, eller det kan dreje sig om udarbejdelse af effektive rutesystemer for opfyldning af depoter, varelevering mv.</w:t>
      </w:r>
    </w:p>
    <w:p>
      <w:pPr>
        <w:pStyle w:val="BodyText"/>
        <w:spacing w:before="6"/>
        <w:rPr>
          <w:sz w:val="11"/>
        </w:rPr>
      </w:pPr>
    </w:p>
    <w:p>
      <w:pPr>
        <w:tabs>
          <w:tab w:pos="5722" w:val="left" w:leader="none"/>
          <w:tab w:pos="9733" w:val="left" w:leader="none"/>
        </w:tabs>
        <w:spacing w:before="101"/>
        <w:ind w:left="2654" w:right="0" w:firstLine="0"/>
        <w:jc w:val="left"/>
        <w:rPr>
          <w:b/>
          <w:sz w:val="17"/>
        </w:rPr>
      </w:pPr>
      <w:r>
        <w:rPr>
          <w:b/>
          <w:color w:val="FFFFFF"/>
          <w:w w:val="100"/>
          <w:sz w:val="17"/>
          <w:shd w:fill="2C647C" w:color="auto" w:val="clear"/>
        </w:rPr>
        <w:t> </w:t>
      </w:r>
      <w:r>
        <w:rPr>
          <w:b/>
          <w:color w:val="FFFFFF"/>
          <w:sz w:val="17"/>
          <w:shd w:fill="2C647C" w:color="auto" w:val="clear"/>
        </w:rPr>
        <w:tab/>
        <w:t>LOGISTIK</w:t>
        <w:tab/>
      </w:r>
    </w:p>
    <w:p>
      <w:pPr>
        <w:spacing w:after="0"/>
        <w:jc w:val="left"/>
        <w:rPr>
          <w:sz w:val="17"/>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group style="position:absolute;margin-left:56.465145pt;margin-top:-.222301pt;width:112.9pt;height:841.1pt;mso-position-horizontal-relative:page;mso-position-vertical-relative:page;z-index:-176920" coordorigin="1129,-4" coordsize="2258,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766;top:9144;width:1133;height:1133" type="#_x0000_t75" stroked="false">
              <v:imagedata r:id="rId51" o:title=""/>
            </v:shape>
            <w10:wrap type="none"/>
          </v:group>
        </w:pict>
      </w:r>
    </w:p>
    <w:p>
      <w:pPr>
        <w:pStyle w:val="BodyText"/>
        <w:rPr>
          <w:sz w:val="20"/>
        </w:rPr>
      </w:pPr>
    </w:p>
    <w:p>
      <w:pPr>
        <w:pStyle w:val="BodyText"/>
        <w:spacing w:before="1"/>
        <w:rPr>
          <w:sz w:val="29"/>
        </w:rPr>
      </w:pPr>
    </w:p>
    <w:tbl>
      <w:tblPr>
        <w:tblCellSpacing w:w="5" w:type="dxa"/>
        <w:tblW w:w="0" w:type="auto"/>
        <w:jc w:val="left"/>
        <w:tblInd w:w="2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402" w:hRule="atLeast"/>
        </w:trPr>
        <w:tc>
          <w:tcPr>
            <w:tcW w:w="2434" w:type="dxa"/>
            <w:tcBorders>
              <w:top w:val="nil"/>
              <w:left w:val="nil"/>
            </w:tcBorders>
            <w:shd w:val="clear" w:color="auto" w:fill="C8E9E6"/>
          </w:tcPr>
          <w:p>
            <w:pPr>
              <w:pStyle w:val="TableParagraph"/>
              <w:spacing w:line="206" w:lineRule="exact" w:before="8"/>
              <w:ind w:left="103" w:right="144"/>
              <w:rPr>
                <w:b/>
                <w:sz w:val="17"/>
              </w:rPr>
            </w:pPr>
            <w:r>
              <w:rPr>
                <w:b/>
                <w:sz w:val="17"/>
              </w:rPr>
              <w:t>Eksempel på domæne- specifikke egenskaber</w:t>
            </w:r>
          </w:p>
        </w:tc>
        <w:tc>
          <w:tcPr>
            <w:tcW w:w="4644" w:type="dxa"/>
            <w:tcBorders>
              <w:top w:val="nil"/>
              <w:right w:val="nil"/>
            </w:tcBorders>
            <w:shd w:val="clear" w:color="auto" w:fill="C8E9E6"/>
          </w:tcPr>
          <w:p>
            <w:pPr>
              <w:pStyle w:val="TableParagraph"/>
              <w:spacing w:before="105"/>
              <w:ind w:left="102"/>
              <w:rPr>
                <w:sz w:val="17"/>
              </w:rPr>
            </w:pPr>
            <w:r>
              <w:rPr>
                <w:sz w:val="17"/>
              </w:rPr>
              <w:t>Trace ID, Fast rute ID,</w:t>
            </w:r>
          </w:p>
        </w:tc>
      </w:tr>
      <w:tr>
        <w:trPr>
          <w:trHeight w:val="396" w:hRule="atLeast"/>
        </w:trPr>
        <w:tc>
          <w:tcPr>
            <w:tcW w:w="2434" w:type="dxa"/>
            <w:tcBorders>
              <w:left w:val="nil"/>
            </w:tcBorders>
            <w:shd w:val="clear" w:color="auto" w:fill="E2F3F0"/>
          </w:tcPr>
          <w:p>
            <w:pPr>
              <w:pStyle w:val="TableParagraph"/>
              <w:spacing w:line="201" w:lineRule="exact"/>
              <w:ind w:left="103"/>
              <w:rPr>
                <w:b/>
                <w:sz w:val="17"/>
              </w:rPr>
            </w:pPr>
            <w:r>
              <w:rPr>
                <w:b/>
                <w:sz w:val="17"/>
              </w:rPr>
              <w:t>Potentiale og efter-</w:t>
            </w:r>
          </w:p>
          <w:p>
            <w:pPr>
              <w:pStyle w:val="TableParagraph"/>
              <w:spacing w:line="184" w:lineRule="exact" w:before="2"/>
              <w:ind w:left="103"/>
              <w:rPr>
                <w:b/>
                <w:sz w:val="17"/>
              </w:rPr>
            </w:pPr>
            <w:r>
              <w:rPr>
                <w:b/>
                <w:sz w:val="17"/>
              </w:rPr>
              <w:t>spørgsel</w:t>
            </w:r>
          </w:p>
        </w:tc>
        <w:tc>
          <w:tcPr>
            <w:tcW w:w="4644" w:type="dxa"/>
            <w:tcBorders>
              <w:right w:val="nil"/>
            </w:tcBorders>
            <w:shd w:val="clear" w:color="auto" w:fill="E2F3F0"/>
          </w:tcPr>
          <w:p>
            <w:pPr>
              <w:pStyle w:val="TableParagraph"/>
              <w:spacing w:before="97"/>
              <w:ind w:left="102"/>
              <w:rPr>
                <w:sz w:val="17"/>
              </w:rPr>
            </w:pPr>
            <w:r>
              <w:rPr>
                <w:sz w:val="17"/>
              </w:rPr>
              <w:t>Stort</w:t>
            </w:r>
          </w:p>
        </w:tc>
      </w:tr>
      <w:tr>
        <w:trPr>
          <w:trHeight w:val="196" w:hRule="atLeast"/>
        </w:trPr>
        <w:tc>
          <w:tcPr>
            <w:tcW w:w="2434" w:type="dxa"/>
            <w:tcBorders>
              <w:left w:val="nil"/>
            </w:tcBorders>
            <w:shd w:val="clear" w:color="auto" w:fill="C8E9E6"/>
          </w:tcPr>
          <w:p>
            <w:pPr>
              <w:pStyle w:val="TableParagraph"/>
              <w:spacing w:line="184" w:lineRule="exact" w:before="1"/>
              <w:ind w:left="103"/>
              <w:rPr>
                <w:b/>
                <w:sz w:val="17"/>
              </w:rPr>
            </w:pPr>
            <w:r>
              <w:rPr>
                <w:b/>
                <w:sz w:val="17"/>
              </w:rPr>
              <w:t>Tidshorisont</w:t>
            </w:r>
          </w:p>
        </w:tc>
        <w:tc>
          <w:tcPr>
            <w:tcW w:w="4644" w:type="dxa"/>
            <w:tcBorders>
              <w:right w:val="nil"/>
            </w:tcBorders>
            <w:shd w:val="clear" w:color="auto" w:fill="C8E9E6"/>
          </w:tcPr>
          <w:p>
            <w:pPr>
              <w:pStyle w:val="TableParagraph"/>
              <w:spacing w:line="184" w:lineRule="exact" w:before="1"/>
              <w:ind w:left="102"/>
              <w:rPr>
                <w:sz w:val="17"/>
              </w:rPr>
            </w:pPr>
            <w:r>
              <w:rPr>
                <w:sz w:val="17"/>
              </w:rPr>
              <w:t>Snart</w:t>
            </w:r>
          </w:p>
        </w:tc>
      </w:tr>
      <w:tr>
        <w:trPr>
          <w:trHeight w:val="195" w:hRule="atLeast"/>
        </w:trPr>
        <w:tc>
          <w:tcPr>
            <w:tcW w:w="2434" w:type="dxa"/>
            <w:tcBorders>
              <w:left w:val="nil"/>
            </w:tcBorders>
            <w:shd w:val="clear" w:color="auto" w:fill="E2F3F0"/>
          </w:tcPr>
          <w:p>
            <w:pPr>
              <w:pStyle w:val="TableParagraph"/>
              <w:spacing w:line="184" w:lineRule="exact" w:before="1"/>
              <w:ind w:left="103"/>
              <w:rPr>
                <w:b/>
                <w:sz w:val="17"/>
              </w:rPr>
            </w:pPr>
            <w:r>
              <w:rPr>
                <w:b/>
                <w:sz w:val="17"/>
              </w:rPr>
              <w:t>Drivere</w:t>
            </w:r>
          </w:p>
        </w:tc>
        <w:tc>
          <w:tcPr>
            <w:tcW w:w="4644" w:type="dxa"/>
            <w:tcBorders>
              <w:right w:val="nil"/>
            </w:tcBorders>
            <w:shd w:val="clear" w:color="auto" w:fill="E2F3F0"/>
          </w:tcPr>
          <w:p>
            <w:pPr>
              <w:pStyle w:val="TableParagraph"/>
              <w:spacing w:line="184" w:lineRule="exact" w:before="1"/>
              <w:ind w:left="102"/>
              <w:rPr>
                <w:sz w:val="17"/>
              </w:rPr>
            </w:pPr>
            <w:r>
              <w:rPr>
                <w:sz w:val="17"/>
              </w:rPr>
              <w:t>Øget fokus på ressourceeffektivisering</w:t>
            </w:r>
          </w:p>
        </w:tc>
      </w:tr>
      <w:tr>
        <w:trPr>
          <w:trHeight w:val="401" w:hRule="atLeast"/>
        </w:trPr>
        <w:tc>
          <w:tcPr>
            <w:tcW w:w="2434" w:type="dxa"/>
            <w:tcBorders>
              <w:left w:val="nil"/>
              <w:bottom w:val="nil"/>
            </w:tcBorders>
            <w:shd w:val="clear" w:color="auto" w:fill="C8E9E6"/>
          </w:tcPr>
          <w:p>
            <w:pPr>
              <w:pStyle w:val="TableParagraph"/>
              <w:spacing w:before="105"/>
              <w:ind w:left="103"/>
              <w:rPr>
                <w:b/>
                <w:sz w:val="17"/>
              </w:rPr>
            </w:pPr>
            <w:r>
              <w:rPr>
                <w:b/>
                <w:sz w:val="17"/>
              </w:rPr>
              <w:t>Barriere</w:t>
            </w:r>
          </w:p>
        </w:tc>
        <w:tc>
          <w:tcPr>
            <w:tcW w:w="4644" w:type="dxa"/>
            <w:tcBorders>
              <w:bottom w:val="nil"/>
              <w:right w:val="nil"/>
            </w:tcBorders>
            <w:shd w:val="clear" w:color="auto" w:fill="C8E9E6"/>
          </w:tcPr>
          <w:p>
            <w:pPr>
              <w:pStyle w:val="TableParagraph"/>
              <w:spacing w:line="206" w:lineRule="exact" w:before="8"/>
              <w:ind w:left="102" w:right="278"/>
              <w:rPr>
                <w:sz w:val="17"/>
              </w:rPr>
            </w:pPr>
            <w:r>
              <w:rPr>
                <w:sz w:val="17"/>
              </w:rPr>
              <w:t>Systemet skal imødekomme forskelligartede logi- stiske behov</w:t>
            </w:r>
          </w:p>
        </w:tc>
      </w:tr>
      <w:tr>
        <w:trPr>
          <w:trHeight w:val="598" w:hRule="atLeast"/>
        </w:trPr>
        <w:tc>
          <w:tcPr>
            <w:tcW w:w="2434" w:type="dxa"/>
            <w:tcBorders>
              <w:top w:val="nil"/>
              <w:left w:val="nil"/>
              <w:bottom w:val="nil"/>
            </w:tcBorders>
            <w:shd w:val="clear" w:color="auto" w:fill="E2F3F0"/>
          </w:tcPr>
          <w:p>
            <w:pPr>
              <w:pStyle w:val="TableParagraph"/>
              <w:spacing w:before="3"/>
              <w:rPr>
                <w:sz w:val="16"/>
              </w:rPr>
            </w:pPr>
          </w:p>
          <w:p>
            <w:pPr>
              <w:pStyle w:val="TableParagraph"/>
              <w:ind w:left="103"/>
              <w:rPr>
                <w:b/>
                <w:sz w:val="17"/>
              </w:rPr>
            </w:pPr>
            <w:r>
              <w:rPr>
                <w:b/>
                <w:sz w:val="17"/>
              </w:rPr>
              <w:t>Virkemidler</w:t>
            </w:r>
          </w:p>
        </w:tc>
        <w:tc>
          <w:tcPr>
            <w:tcW w:w="4644" w:type="dxa"/>
            <w:tcBorders>
              <w:top w:val="nil"/>
              <w:bottom w:val="nil"/>
              <w:right w:val="nil"/>
            </w:tcBorders>
            <w:shd w:val="clear" w:color="auto" w:fill="E2F3F0"/>
          </w:tcPr>
          <w:p>
            <w:pPr>
              <w:pStyle w:val="TableParagraph"/>
              <w:spacing w:line="198" w:lineRule="exact"/>
              <w:ind w:left="102"/>
              <w:rPr>
                <w:sz w:val="17"/>
              </w:rPr>
            </w:pPr>
            <w:r>
              <w:rPr>
                <w:sz w:val="17"/>
              </w:rPr>
              <w:t>Inspiration: Formidling af best practice samt Busi-</w:t>
            </w:r>
          </w:p>
          <w:p>
            <w:pPr>
              <w:pStyle w:val="TableParagraph"/>
              <w:spacing w:line="206" w:lineRule="exact" w:before="6"/>
              <w:ind w:left="102" w:right="263"/>
              <w:rPr>
                <w:sz w:val="17"/>
              </w:rPr>
            </w:pPr>
            <w:r>
              <w:rPr>
                <w:sz w:val="17"/>
              </w:rPr>
              <w:t>ness Cases. Skal drives af markedet, evt. med en national platform som kickstarter.</w:t>
            </w:r>
          </w:p>
        </w:tc>
      </w:tr>
    </w:tbl>
    <w:p>
      <w:pPr>
        <w:pStyle w:val="BodyText"/>
        <w:spacing w:before="7"/>
        <w:rPr>
          <w:sz w:val="15"/>
        </w:rPr>
      </w:pPr>
    </w:p>
    <w:p>
      <w:pPr>
        <w:pStyle w:val="Heading3"/>
        <w:numPr>
          <w:ilvl w:val="2"/>
          <w:numId w:val="21"/>
        </w:numPr>
        <w:tabs>
          <w:tab w:pos="2649" w:val="left" w:leader="none"/>
          <w:tab w:pos="2650" w:val="left" w:leader="none"/>
        </w:tabs>
        <w:spacing w:line="240" w:lineRule="auto" w:before="99" w:after="0"/>
        <w:ind w:left="2649" w:right="0" w:hanging="799"/>
        <w:jc w:val="left"/>
      </w:pPr>
      <w:bookmarkStart w:name="_bookmark79" w:id="80"/>
      <w:bookmarkEnd w:id="80"/>
      <w:r>
        <w:rPr/>
        <w:t>Rob</w:t>
      </w:r>
      <w:r>
        <w:rPr/>
        <w:t>otteknologi</w:t>
      </w:r>
    </w:p>
    <w:p>
      <w:pPr>
        <w:pStyle w:val="BodyText"/>
        <w:spacing w:line="278" w:lineRule="auto" w:before="35"/>
        <w:ind w:left="2649" w:right="1070"/>
      </w:pPr>
      <w:r>
        <w:rPr/>
        <w:t>Selvkørende robotter anvendes allerede på hospitaler til effektiv transport af va- rer, prøver mv. En national indendørs steddatabase ville kunne understøtte robot- ternes navigation, og kobles med informationer om f.eks. belægning og niveaufor- skelle.</w:t>
      </w:r>
    </w:p>
    <w:p>
      <w:pPr>
        <w:pStyle w:val="BodyText"/>
        <w:spacing w:before="3" w:after="1"/>
        <w:rPr>
          <w:sz w:val="1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196" w:hRule="atLeast"/>
        </w:trPr>
        <w:tc>
          <w:tcPr>
            <w:tcW w:w="7078" w:type="dxa"/>
            <w:gridSpan w:val="2"/>
            <w:tcBorders>
              <w:top w:val="nil"/>
              <w:left w:val="nil"/>
              <w:right w:val="nil"/>
            </w:tcBorders>
            <w:shd w:val="clear" w:color="auto" w:fill="2C647C"/>
          </w:tcPr>
          <w:p>
            <w:pPr>
              <w:pStyle w:val="TableParagraph"/>
              <w:spacing w:line="184" w:lineRule="exact" w:before="2"/>
              <w:ind w:left="2501" w:right="2501"/>
              <w:jc w:val="center"/>
              <w:rPr>
                <w:b/>
                <w:sz w:val="17"/>
              </w:rPr>
            </w:pPr>
            <w:r>
              <w:rPr>
                <w:b/>
                <w:color w:val="FFFFFF"/>
                <w:sz w:val="17"/>
              </w:rPr>
              <w:t>ROBOTTER</w:t>
            </w:r>
          </w:p>
        </w:tc>
      </w:tr>
      <w:tr>
        <w:trPr>
          <w:trHeight w:val="404" w:hRule="atLeast"/>
        </w:trPr>
        <w:tc>
          <w:tcPr>
            <w:tcW w:w="2434" w:type="dxa"/>
            <w:tcBorders>
              <w:left w:val="nil"/>
            </w:tcBorders>
            <w:shd w:val="clear" w:color="auto" w:fill="C8E9E6"/>
          </w:tcPr>
          <w:p>
            <w:pPr>
              <w:pStyle w:val="TableParagraph"/>
              <w:spacing w:line="208" w:lineRule="exact" w:before="6"/>
              <w:ind w:left="103" w:right="144"/>
              <w:rPr>
                <w:b/>
                <w:sz w:val="17"/>
              </w:rPr>
            </w:pPr>
            <w:r>
              <w:rPr>
                <w:b/>
                <w:sz w:val="17"/>
              </w:rPr>
              <w:t>Eksempel på domæne- specifikke egenskaber</w:t>
            </w:r>
          </w:p>
        </w:tc>
        <w:tc>
          <w:tcPr>
            <w:tcW w:w="4644" w:type="dxa"/>
            <w:tcBorders>
              <w:right w:val="nil"/>
            </w:tcBorders>
            <w:shd w:val="clear" w:color="auto" w:fill="C8E9E6"/>
          </w:tcPr>
          <w:p>
            <w:pPr>
              <w:pStyle w:val="TableParagraph"/>
              <w:spacing w:line="208" w:lineRule="exact" w:before="6"/>
              <w:ind w:left="102" w:right="123"/>
              <w:rPr>
                <w:sz w:val="17"/>
              </w:rPr>
            </w:pPr>
            <w:r>
              <w:rPr>
                <w:sz w:val="17"/>
              </w:rPr>
              <w:t>Belægning, Rute ID, Geometriske omgivelser, Kon- taktperson, Adgang,</w:t>
            </w:r>
          </w:p>
        </w:tc>
      </w:tr>
      <w:tr>
        <w:trPr>
          <w:trHeight w:val="395" w:hRule="atLeast"/>
        </w:trPr>
        <w:tc>
          <w:tcPr>
            <w:tcW w:w="2434" w:type="dxa"/>
            <w:tcBorders>
              <w:left w:val="nil"/>
            </w:tcBorders>
            <w:shd w:val="clear" w:color="auto" w:fill="E2F3F0"/>
          </w:tcPr>
          <w:p>
            <w:pPr>
              <w:pStyle w:val="TableParagraph"/>
              <w:spacing w:line="206" w:lineRule="exact"/>
              <w:ind w:left="103" w:right="445"/>
              <w:rPr>
                <w:b/>
                <w:sz w:val="17"/>
              </w:rPr>
            </w:pPr>
            <w:r>
              <w:rPr>
                <w:b/>
                <w:sz w:val="17"/>
              </w:rPr>
              <w:t>Potentiale og efter- spørgsel</w:t>
            </w:r>
          </w:p>
        </w:tc>
        <w:tc>
          <w:tcPr>
            <w:tcW w:w="4644" w:type="dxa"/>
            <w:tcBorders>
              <w:right w:val="nil"/>
            </w:tcBorders>
            <w:shd w:val="clear" w:color="auto" w:fill="E2F3F0"/>
          </w:tcPr>
          <w:p>
            <w:pPr>
              <w:pStyle w:val="TableParagraph"/>
              <w:spacing w:before="97"/>
              <w:ind w:left="102"/>
              <w:rPr>
                <w:sz w:val="17"/>
              </w:rPr>
            </w:pPr>
            <w:r>
              <w:rPr>
                <w:sz w:val="17"/>
              </w:rPr>
              <w:t>Medium – Stort</w:t>
            </w:r>
          </w:p>
        </w:tc>
      </w:tr>
      <w:tr>
        <w:trPr>
          <w:trHeight w:val="189" w:hRule="atLeast"/>
        </w:trPr>
        <w:tc>
          <w:tcPr>
            <w:tcW w:w="2434" w:type="dxa"/>
            <w:tcBorders>
              <w:left w:val="nil"/>
            </w:tcBorders>
            <w:shd w:val="clear" w:color="auto" w:fill="C8E9E6"/>
          </w:tcPr>
          <w:p>
            <w:pPr>
              <w:pStyle w:val="TableParagraph"/>
              <w:spacing w:line="179" w:lineRule="exact"/>
              <w:ind w:left="103"/>
              <w:rPr>
                <w:b/>
                <w:sz w:val="17"/>
              </w:rPr>
            </w:pPr>
            <w:r>
              <w:rPr>
                <w:b/>
                <w:sz w:val="17"/>
              </w:rPr>
              <w:t>Tidshorisont</w:t>
            </w:r>
          </w:p>
        </w:tc>
        <w:tc>
          <w:tcPr>
            <w:tcW w:w="4644" w:type="dxa"/>
            <w:tcBorders>
              <w:right w:val="nil"/>
            </w:tcBorders>
            <w:shd w:val="clear" w:color="auto" w:fill="C8E9E6"/>
          </w:tcPr>
          <w:p>
            <w:pPr>
              <w:pStyle w:val="TableParagraph"/>
              <w:spacing w:line="179" w:lineRule="exact"/>
              <w:ind w:left="102"/>
              <w:rPr>
                <w:sz w:val="17"/>
              </w:rPr>
            </w:pPr>
            <w:r>
              <w:rPr>
                <w:sz w:val="17"/>
              </w:rPr>
              <w:t>I dag</w:t>
            </w:r>
          </w:p>
        </w:tc>
      </w:tr>
      <w:tr>
        <w:trPr>
          <w:trHeight w:val="194" w:hRule="atLeast"/>
        </w:trPr>
        <w:tc>
          <w:tcPr>
            <w:tcW w:w="2434" w:type="dxa"/>
            <w:tcBorders>
              <w:left w:val="nil"/>
              <w:bottom w:val="nil"/>
            </w:tcBorders>
            <w:shd w:val="clear" w:color="auto" w:fill="E2F3F0"/>
          </w:tcPr>
          <w:p>
            <w:pPr>
              <w:pStyle w:val="TableParagraph"/>
              <w:spacing w:line="183" w:lineRule="exact" w:before="1"/>
              <w:ind w:left="103"/>
              <w:rPr>
                <w:b/>
                <w:sz w:val="17"/>
              </w:rPr>
            </w:pPr>
            <w:r>
              <w:rPr>
                <w:b/>
                <w:sz w:val="17"/>
              </w:rPr>
              <w:t>Drivere</w:t>
            </w:r>
          </w:p>
        </w:tc>
        <w:tc>
          <w:tcPr>
            <w:tcW w:w="4644" w:type="dxa"/>
            <w:tcBorders>
              <w:bottom w:val="nil"/>
              <w:right w:val="nil"/>
            </w:tcBorders>
            <w:shd w:val="clear" w:color="auto" w:fill="E2F3F0"/>
          </w:tcPr>
          <w:p>
            <w:pPr>
              <w:pStyle w:val="TableParagraph"/>
              <w:spacing w:line="183" w:lineRule="exact" w:before="1"/>
              <w:ind w:left="102"/>
              <w:rPr>
                <w:sz w:val="17"/>
              </w:rPr>
            </w:pPr>
            <w:r>
              <w:rPr>
                <w:sz w:val="17"/>
              </w:rPr>
              <w:t>Teknologisk udvikling</w:t>
            </w:r>
          </w:p>
        </w:tc>
      </w:tr>
      <w:tr>
        <w:trPr>
          <w:trHeight w:val="401" w:hRule="atLeast"/>
        </w:trPr>
        <w:tc>
          <w:tcPr>
            <w:tcW w:w="2434" w:type="dxa"/>
            <w:tcBorders>
              <w:top w:val="nil"/>
              <w:left w:val="nil"/>
            </w:tcBorders>
            <w:shd w:val="clear" w:color="auto" w:fill="C8E9E6"/>
          </w:tcPr>
          <w:p>
            <w:pPr>
              <w:pStyle w:val="TableParagraph"/>
              <w:spacing w:before="103"/>
              <w:ind w:left="103"/>
              <w:rPr>
                <w:b/>
                <w:sz w:val="17"/>
              </w:rPr>
            </w:pPr>
            <w:r>
              <w:rPr>
                <w:b/>
                <w:sz w:val="17"/>
              </w:rPr>
              <w:t>Barriere</w:t>
            </w:r>
          </w:p>
        </w:tc>
        <w:tc>
          <w:tcPr>
            <w:tcW w:w="4644" w:type="dxa"/>
            <w:tcBorders>
              <w:top w:val="nil"/>
              <w:right w:val="nil"/>
            </w:tcBorders>
            <w:shd w:val="clear" w:color="auto" w:fill="C8E9E6"/>
          </w:tcPr>
          <w:p>
            <w:pPr>
              <w:pStyle w:val="TableParagraph"/>
              <w:spacing w:line="206" w:lineRule="exact" w:before="6"/>
              <w:ind w:left="102" w:right="407"/>
              <w:rPr>
                <w:sz w:val="17"/>
              </w:rPr>
            </w:pPr>
            <w:r>
              <w:rPr>
                <w:sz w:val="17"/>
              </w:rPr>
              <w:t>Teknologisk udvikling for dataejerne, samt stort krav til dataejernes datadisciplin.</w:t>
            </w:r>
          </w:p>
        </w:tc>
      </w:tr>
      <w:tr>
        <w:trPr>
          <w:trHeight w:val="602" w:hRule="atLeast"/>
        </w:trPr>
        <w:tc>
          <w:tcPr>
            <w:tcW w:w="2434" w:type="dxa"/>
            <w:tcBorders>
              <w:left w:val="nil"/>
              <w:bottom w:val="nil"/>
            </w:tcBorders>
            <w:shd w:val="clear" w:color="auto" w:fill="E2F3F0"/>
          </w:tcPr>
          <w:p>
            <w:pPr>
              <w:pStyle w:val="TableParagraph"/>
              <w:spacing w:before="7"/>
              <w:rPr>
                <w:sz w:val="16"/>
              </w:rPr>
            </w:pPr>
          </w:p>
          <w:p>
            <w:pPr>
              <w:pStyle w:val="TableParagraph"/>
              <w:ind w:left="103"/>
              <w:rPr>
                <w:b/>
                <w:sz w:val="17"/>
              </w:rPr>
            </w:pPr>
            <w:r>
              <w:rPr>
                <w:b/>
                <w:sz w:val="17"/>
              </w:rPr>
              <w:t>Virkemidler</w:t>
            </w:r>
          </w:p>
        </w:tc>
        <w:tc>
          <w:tcPr>
            <w:tcW w:w="4644" w:type="dxa"/>
            <w:tcBorders>
              <w:bottom w:val="nil"/>
              <w:right w:val="nil"/>
            </w:tcBorders>
            <w:shd w:val="clear" w:color="auto" w:fill="E2F3F0"/>
          </w:tcPr>
          <w:p>
            <w:pPr>
              <w:pStyle w:val="TableParagraph"/>
              <w:spacing w:line="206" w:lineRule="exact" w:before="1"/>
              <w:ind w:left="102" w:right="211"/>
              <w:rPr>
                <w:sz w:val="17"/>
              </w:rPr>
            </w:pPr>
            <w:r>
              <w:rPr>
                <w:sz w:val="17"/>
              </w:rPr>
              <w:t>Inspiration: Formidling af best practise samt Busi- ness Cases. Skal drives af markedet, evt. med en national platform som kickstarter.</w:t>
            </w:r>
          </w:p>
        </w:tc>
      </w:tr>
    </w:tbl>
    <w:p>
      <w:pPr>
        <w:pStyle w:val="BodyText"/>
        <w:rPr>
          <w:sz w:val="20"/>
        </w:rPr>
      </w:pPr>
    </w:p>
    <w:p>
      <w:pPr>
        <w:pStyle w:val="BodyText"/>
        <w:spacing w:before="3"/>
        <w:rPr>
          <w:sz w:val="24"/>
        </w:rPr>
      </w:pPr>
    </w:p>
    <w:p>
      <w:pPr>
        <w:pStyle w:val="Heading2"/>
        <w:numPr>
          <w:ilvl w:val="1"/>
          <w:numId w:val="21"/>
        </w:numPr>
        <w:tabs>
          <w:tab w:pos="2649" w:val="left" w:leader="none"/>
          <w:tab w:pos="2650" w:val="left" w:leader="none"/>
        </w:tabs>
        <w:spacing w:line="240" w:lineRule="auto" w:before="1" w:after="0"/>
        <w:ind w:left="2649" w:right="0" w:hanging="655"/>
        <w:jc w:val="left"/>
      </w:pPr>
      <w:bookmarkStart w:name="_bookmark80" w:id="81"/>
      <w:bookmarkEnd w:id="81"/>
      <w:r>
        <w:rPr/>
        <w:t>Fa</w:t>
      </w:r>
      <w:r>
        <w:rPr/>
        <w:t>cility</w:t>
      </w:r>
      <w:r>
        <w:rPr>
          <w:spacing w:val="-1"/>
        </w:rPr>
        <w:t> </w:t>
      </w:r>
      <w:r>
        <w:rPr/>
        <w:t>Management</w:t>
      </w:r>
    </w:p>
    <w:p>
      <w:pPr>
        <w:pStyle w:val="BodyText"/>
        <w:spacing w:line="278" w:lineRule="auto" w:before="35"/>
        <w:ind w:left="2649" w:right="1029"/>
      </w:pPr>
      <w:r>
        <w:rPr/>
        <w:t>Anvendelsesdomænet </w:t>
      </w:r>
      <w:r>
        <w:rPr>
          <w:i/>
        </w:rPr>
        <w:t>facility management </w:t>
      </w:r>
      <w:r>
        <w:rPr/>
        <w:t>dækker produktion af stedfæstede data til understøttelse af drift, styring og vedligehold af de faciliteter, der danner ram- men om bygningens funktioner og aktiviteter. Det drejer sig både om selve byg- ningsdriften, teknisk drift, om rumanvendelsen og om tilknyttede services som rengøring</w:t>
      </w:r>
      <w:r>
        <w:rPr>
          <w:spacing w:val="-1"/>
        </w:rPr>
        <w:t> </w:t>
      </w:r>
      <w:r>
        <w:rPr/>
        <w:t>mv..</w:t>
      </w:r>
    </w:p>
    <w:p>
      <w:pPr>
        <w:pStyle w:val="BodyText"/>
        <w:spacing w:before="9"/>
        <w:rPr>
          <w:sz w:val="21"/>
        </w:rPr>
      </w:pPr>
    </w:p>
    <w:p>
      <w:pPr>
        <w:pStyle w:val="Heading3"/>
        <w:numPr>
          <w:ilvl w:val="2"/>
          <w:numId w:val="21"/>
        </w:numPr>
        <w:tabs>
          <w:tab w:pos="2649" w:val="left" w:leader="none"/>
          <w:tab w:pos="2650" w:val="left" w:leader="none"/>
        </w:tabs>
        <w:spacing w:line="240" w:lineRule="auto" w:before="0" w:after="0"/>
        <w:ind w:left="2649" w:right="0" w:hanging="799"/>
        <w:jc w:val="left"/>
      </w:pPr>
      <w:bookmarkStart w:name="_bookmark81" w:id="82"/>
      <w:bookmarkEnd w:id="82"/>
      <w:r>
        <w:rPr/>
        <w:t>B</w:t>
      </w:r>
      <w:r>
        <w:rPr/>
        <w:t>ygningsdrift – drift, service,</w:t>
      </w:r>
      <w:r>
        <w:rPr>
          <w:spacing w:val="-26"/>
        </w:rPr>
        <w:t> </w:t>
      </w:r>
      <w:r>
        <w:rPr/>
        <w:t>vedligehold</w:t>
      </w:r>
    </w:p>
    <w:p>
      <w:pPr>
        <w:pStyle w:val="BodyText"/>
        <w:spacing w:line="278" w:lineRule="auto" w:before="35"/>
        <w:ind w:left="2649" w:right="1036"/>
      </w:pPr>
      <w:r>
        <w:rPr/>
        <w:t>Stedfæstede data for forbrug og tekniske installationer kan understøtte effektiv bygningsdrift. Geografisk lokalisering af rum, installationer og tekniske anlæg (evt. også skjulte installationer) vil muliggøre mere omkostningseffektiv service, vedli- gehold og renovering. Trods IKT krav til nyere byggerier er der stadig ofte et skarpt skel mellem byggefasen og driftsfasen. Det betyder, at de digitale bygge- data, der produceres og anvendes i byggefasen, sjældent bringes med over og ud- nyttes i driftsfasen. En national indendørs steddatabase kan understøtte en øget produktion, lagring og anvendelse af data på tværs af alle aspekter af bygnings- driften, herunder driftsstyring, rengøring, vedligehold, arealanvendelse mv.</w:t>
      </w:r>
    </w:p>
    <w:p>
      <w:pPr>
        <w:pStyle w:val="BodyText"/>
        <w:spacing w:before="7"/>
        <w:rPr>
          <w:sz w:val="11"/>
        </w:rPr>
      </w:pPr>
    </w:p>
    <w:p>
      <w:pPr>
        <w:tabs>
          <w:tab w:pos="5381" w:val="left" w:leader="none"/>
          <w:tab w:pos="9733" w:val="left" w:leader="none"/>
        </w:tabs>
        <w:spacing w:before="100"/>
        <w:ind w:left="2654" w:right="0" w:firstLine="0"/>
        <w:jc w:val="left"/>
        <w:rPr>
          <w:b/>
          <w:sz w:val="17"/>
        </w:rPr>
      </w:pPr>
      <w:r>
        <w:rPr>
          <w:b/>
          <w:color w:val="FFFFFF"/>
          <w:w w:val="100"/>
          <w:sz w:val="17"/>
          <w:shd w:fill="2C647C" w:color="auto" w:val="clear"/>
        </w:rPr>
        <w:t> </w:t>
      </w:r>
      <w:r>
        <w:rPr>
          <w:b/>
          <w:color w:val="FFFFFF"/>
          <w:sz w:val="17"/>
          <w:shd w:fill="2C647C" w:color="auto" w:val="clear"/>
        </w:rPr>
        <w:tab/>
        <w:t>BYGNINGSDRIFT</w:t>
        <w:tab/>
      </w:r>
    </w:p>
    <w:tbl>
      <w:tblPr>
        <w:tblW w:w="0" w:type="auto"/>
        <w:jc w:val="left"/>
        <w:tblInd w:w="2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5"/>
        <w:gridCol w:w="4531"/>
      </w:tblGrid>
      <w:tr>
        <w:trPr>
          <w:trHeight w:val="412" w:hRule="atLeast"/>
        </w:trPr>
        <w:tc>
          <w:tcPr>
            <w:tcW w:w="2405" w:type="dxa"/>
            <w:tcBorders>
              <w:top w:val="single" w:sz="4" w:space="0" w:color="FFFFFF"/>
              <w:bottom w:val="single" w:sz="4" w:space="0" w:color="FFFFFF"/>
            </w:tcBorders>
            <w:shd w:val="clear" w:color="auto" w:fill="C8E9E6"/>
          </w:tcPr>
          <w:p>
            <w:pPr>
              <w:pStyle w:val="TableParagraph"/>
              <w:spacing w:line="206" w:lineRule="exact" w:before="7"/>
              <w:ind w:left="103" w:right="115"/>
              <w:rPr>
                <w:b/>
                <w:sz w:val="17"/>
              </w:rPr>
            </w:pPr>
            <w:r>
              <w:rPr>
                <w:b/>
                <w:sz w:val="17"/>
              </w:rPr>
              <w:t>Eksempel på domæne- specifikke egenskaber</w:t>
            </w:r>
          </w:p>
        </w:tc>
        <w:tc>
          <w:tcPr>
            <w:tcW w:w="4531" w:type="dxa"/>
            <w:tcBorders>
              <w:top w:val="single" w:sz="4" w:space="0" w:color="FFFFFF"/>
              <w:bottom w:val="single" w:sz="4" w:space="0" w:color="FFFFFF"/>
            </w:tcBorders>
            <w:shd w:val="clear" w:color="auto" w:fill="C8E9E6"/>
          </w:tcPr>
          <w:p>
            <w:pPr>
              <w:pStyle w:val="TableParagraph"/>
              <w:spacing w:line="206" w:lineRule="exact" w:before="7"/>
              <w:ind w:left="108" w:right="-8"/>
              <w:rPr>
                <w:sz w:val="17"/>
              </w:rPr>
            </w:pPr>
            <w:r>
              <w:rPr>
                <w:sz w:val="17"/>
              </w:rPr>
              <w:t>Rumanvendelse, Sidst udskiftet, Sidst vedligeholdt, Kontakt til tekniker, FM link, Brugerstyring</w:t>
            </w:r>
          </w:p>
        </w:tc>
      </w:tr>
      <w:tr>
        <w:trPr>
          <w:trHeight w:val="405" w:hRule="atLeast"/>
        </w:trPr>
        <w:tc>
          <w:tcPr>
            <w:tcW w:w="2405" w:type="dxa"/>
            <w:tcBorders>
              <w:top w:val="single" w:sz="4" w:space="0" w:color="FFFFFF"/>
              <w:bottom w:val="single" w:sz="4" w:space="0" w:color="FFFFFF"/>
            </w:tcBorders>
            <w:shd w:val="clear" w:color="auto" w:fill="E2F3F0"/>
          </w:tcPr>
          <w:p>
            <w:pPr>
              <w:pStyle w:val="TableParagraph"/>
              <w:spacing w:line="206" w:lineRule="exact" w:before="1"/>
              <w:ind w:left="103" w:right="416"/>
              <w:rPr>
                <w:b/>
                <w:sz w:val="17"/>
              </w:rPr>
            </w:pPr>
            <w:r>
              <w:rPr>
                <w:b/>
                <w:sz w:val="17"/>
              </w:rPr>
              <w:t>Potentiale og efter- spørgsel</w:t>
            </w:r>
          </w:p>
        </w:tc>
        <w:tc>
          <w:tcPr>
            <w:tcW w:w="4531" w:type="dxa"/>
            <w:tcBorders>
              <w:top w:val="single" w:sz="4" w:space="0" w:color="FFFFFF"/>
              <w:bottom w:val="single" w:sz="4" w:space="0" w:color="FFFFFF"/>
            </w:tcBorders>
            <w:shd w:val="clear" w:color="auto" w:fill="E2F3F0"/>
          </w:tcPr>
          <w:p>
            <w:pPr>
              <w:pStyle w:val="TableParagraph"/>
              <w:spacing w:before="98"/>
              <w:ind w:left="108"/>
              <w:rPr>
                <w:sz w:val="17"/>
              </w:rPr>
            </w:pPr>
            <w:r>
              <w:rPr>
                <w:sz w:val="17"/>
              </w:rPr>
              <w:t>Medium – Stort</w:t>
            </w:r>
          </w:p>
        </w:tc>
      </w:tr>
      <w:tr>
        <w:trPr>
          <w:trHeight w:val="201" w:hRule="atLeast"/>
        </w:trPr>
        <w:tc>
          <w:tcPr>
            <w:tcW w:w="2405" w:type="dxa"/>
            <w:tcBorders>
              <w:top w:val="single" w:sz="4" w:space="0" w:color="FFFFFF"/>
              <w:bottom w:val="single" w:sz="4" w:space="0" w:color="FFFFFF"/>
            </w:tcBorders>
            <w:shd w:val="clear" w:color="auto" w:fill="C8E9E6"/>
          </w:tcPr>
          <w:p>
            <w:pPr>
              <w:pStyle w:val="TableParagraph"/>
              <w:spacing w:line="181" w:lineRule="exact"/>
              <w:ind w:left="103"/>
              <w:rPr>
                <w:b/>
                <w:sz w:val="17"/>
              </w:rPr>
            </w:pPr>
            <w:r>
              <w:rPr>
                <w:b/>
                <w:sz w:val="17"/>
              </w:rPr>
              <w:t>Tidshorisont</w:t>
            </w:r>
          </w:p>
        </w:tc>
        <w:tc>
          <w:tcPr>
            <w:tcW w:w="4531" w:type="dxa"/>
            <w:tcBorders>
              <w:top w:val="single" w:sz="4" w:space="0" w:color="FFFFFF"/>
              <w:bottom w:val="single" w:sz="4" w:space="0" w:color="FFFFFF"/>
            </w:tcBorders>
            <w:shd w:val="clear" w:color="auto" w:fill="C8E9E6"/>
          </w:tcPr>
          <w:p>
            <w:pPr>
              <w:pStyle w:val="TableParagraph"/>
              <w:spacing w:line="181" w:lineRule="exact"/>
              <w:ind w:left="108"/>
              <w:rPr>
                <w:sz w:val="17"/>
              </w:rPr>
            </w:pPr>
            <w:r>
              <w:rPr>
                <w:sz w:val="17"/>
              </w:rPr>
              <w:t>Snart</w:t>
            </w:r>
          </w:p>
        </w:tc>
      </w:tr>
      <w:tr>
        <w:trPr>
          <w:trHeight w:val="206" w:hRule="atLeast"/>
        </w:trPr>
        <w:tc>
          <w:tcPr>
            <w:tcW w:w="2405" w:type="dxa"/>
            <w:tcBorders>
              <w:top w:val="single" w:sz="4" w:space="0" w:color="FFFFFF"/>
              <w:bottom w:val="single" w:sz="4" w:space="0" w:color="FFFFFF"/>
            </w:tcBorders>
            <w:shd w:val="clear" w:color="auto" w:fill="E2F3F0"/>
          </w:tcPr>
          <w:p>
            <w:pPr>
              <w:pStyle w:val="TableParagraph"/>
              <w:spacing w:line="184" w:lineRule="exact" w:before="2"/>
              <w:ind w:left="103"/>
              <w:rPr>
                <w:b/>
                <w:sz w:val="17"/>
              </w:rPr>
            </w:pPr>
            <w:r>
              <w:rPr>
                <w:b/>
                <w:sz w:val="17"/>
              </w:rPr>
              <w:t>Drivere</w:t>
            </w:r>
          </w:p>
        </w:tc>
        <w:tc>
          <w:tcPr>
            <w:tcW w:w="4531" w:type="dxa"/>
            <w:tcBorders>
              <w:top w:val="single" w:sz="4" w:space="0" w:color="FFFFFF"/>
              <w:bottom w:val="single" w:sz="4" w:space="0" w:color="FFFFFF"/>
            </w:tcBorders>
            <w:shd w:val="clear" w:color="auto" w:fill="E2F3F0"/>
          </w:tcPr>
          <w:p>
            <w:pPr>
              <w:pStyle w:val="TableParagraph"/>
              <w:spacing w:line="184" w:lineRule="exact" w:before="2"/>
              <w:ind w:left="108"/>
              <w:rPr>
                <w:sz w:val="17"/>
              </w:rPr>
            </w:pPr>
            <w:r>
              <w:rPr>
                <w:sz w:val="17"/>
              </w:rPr>
              <w:t>Teknologisk udvikling</w:t>
            </w:r>
          </w:p>
        </w:tc>
      </w:tr>
      <w:tr>
        <w:trPr>
          <w:trHeight w:val="206" w:hRule="atLeast"/>
        </w:trPr>
        <w:tc>
          <w:tcPr>
            <w:tcW w:w="2405" w:type="dxa"/>
            <w:tcBorders>
              <w:top w:val="single" w:sz="4" w:space="0" w:color="FFFFFF"/>
            </w:tcBorders>
            <w:shd w:val="clear" w:color="auto" w:fill="C8E9E6"/>
          </w:tcPr>
          <w:p>
            <w:pPr>
              <w:pStyle w:val="TableParagraph"/>
              <w:spacing w:line="185" w:lineRule="exact" w:before="1"/>
              <w:ind w:left="103"/>
              <w:rPr>
                <w:b/>
                <w:sz w:val="17"/>
              </w:rPr>
            </w:pPr>
            <w:r>
              <w:rPr>
                <w:b/>
                <w:sz w:val="17"/>
              </w:rPr>
              <w:t>Barriere</w:t>
            </w:r>
          </w:p>
        </w:tc>
        <w:tc>
          <w:tcPr>
            <w:tcW w:w="4531" w:type="dxa"/>
            <w:tcBorders>
              <w:top w:val="single" w:sz="4" w:space="0" w:color="FFFFFF"/>
            </w:tcBorders>
            <w:shd w:val="clear" w:color="auto" w:fill="C8E9E6"/>
          </w:tcPr>
          <w:p>
            <w:pPr>
              <w:pStyle w:val="TableParagraph"/>
              <w:spacing w:line="185" w:lineRule="exact" w:before="1"/>
              <w:ind w:left="108"/>
              <w:rPr>
                <w:sz w:val="17"/>
              </w:rPr>
            </w:pPr>
            <w:r>
              <w:rPr>
                <w:sz w:val="17"/>
              </w:rPr>
              <w:t>Implementering i organisationen</w:t>
            </w:r>
          </w:p>
        </w:tc>
      </w:tr>
    </w:tbl>
    <w:p>
      <w:pPr>
        <w:spacing w:after="0" w:line="185" w:lineRule="exact"/>
        <w:rPr>
          <w:sz w:val="17"/>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682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
        <w:rPr>
          <w:sz w:val="2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5"/>
        <w:gridCol w:w="4531"/>
      </w:tblGrid>
      <w:tr>
        <w:trPr>
          <w:trHeight w:val="402" w:hRule="atLeast"/>
        </w:trPr>
        <w:tc>
          <w:tcPr>
            <w:tcW w:w="2405" w:type="dxa"/>
            <w:tcBorders>
              <w:right w:val="nil"/>
            </w:tcBorders>
            <w:shd w:val="clear" w:color="auto" w:fill="E2F3F0"/>
          </w:tcPr>
          <w:p>
            <w:pPr>
              <w:pStyle w:val="TableParagraph"/>
              <w:spacing w:before="105"/>
              <w:ind w:left="103"/>
              <w:rPr>
                <w:b/>
                <w:sz w:val="17"/>
              </w:rPr>
            </w:pPr>
            <w:r>
              <w:rPr>
                <w:b/>
                <w:sz w:val="17"/>
              </w:rPr>
              <w:t>Virkemidler</w:t>
            </w:r>
          </w:p>
        </w:tc>
        <w:tc>
          <w:tcPr>
            <w:tcW w:w="4531" w:type="dxa"/>
            <w:tcBorders>
              <w:left w:val="nil"/>
            </w:tcBorders>
            <w:shd w:val="clear" w:color="auto" w:fill="E2F3F0"/>
          </w:tcPr>
          <w:p>
            <w:pPr>
              <w:pStyle w:val="TableParagraph"/>
              <w:spacing w:line="206" w:lineRule="exact" w:before="8"/>
              <w:ind w:left="103" w:right="93"/>
              <w:rPr>
                <w:sz w:val="17"/>
              </w:rPr>
            </w:pPr>
            <w:r>
              <w:rPr>
                <w:sz w:val="17"/>
              </w:rPr>
              <w:t>Lovkrav ved nybyg eller renovation af bygninger. Inspiration og gode business cases kan kickstarte.</w:t>
            </w:r>
          </w:p>
        </w:tc>
      </w:tr>
    </w:tbl>
    <w:p>
      <w:pPr>
        <w:pStyle w:val="BodyText"/>
        <w:spacing w:before="1"/>
      </w:pPr>
    </w:p>
    <w:p>
      <w:pPr>
        <w:pStyle w:val="Heading3"/>
        <w:numPr>
          <w:ilvl w:val="2"/>
          <w:numId w:val="21"/>
        </w:numPr>
        <w:tabs>
          <w:tab w:pos="2649" w:val="left" w:leader="none"/>
          <w:tab w:pos="2650" w:val="left" w:leader="none"/>
        </w:tabs>
        <w:spacing w:line="240" w:lineRule="auto" w:before="100" w:after="0"/>
        <w:ind w:left="2649" w:right="0" w:hanging="799"/>
        <w:jc w:val="left"/>
      </w:pPr>
      <w:bookmarkStart w:name="_bookmark82" w:id="83"/>
      <w:bookmarkEnd w:id="83"/>
      <w:r>
        <w:rPr/>
        <w:t>Sp</w:t>
      </w:r>
      <w:r>
        <w:rPr/>
        <w:t>ace management –</w:t>
      </w:r>
      <w:r>
        <w:rPr>
          <w:spacing w:val="-1"/>
        </w:rPr>
        <w:t> </w:t>
      </w:r>
      <w:r>
        <w:rPr/>
        <w:t>arealoptimering</w:t>
      </w:r>
    </w:p>
    <w:p>
      <w:pPr>
        <w:pStyle w:val="BodyText"/>
        <w:spacing w:line="278" w:lineRule="auto" w:before="34"/>
        <w:ind w:left="2649" w:right="1079"/>
      </w:pPr>
      <w:r>
        <w:rPr/>
        <w:t>Som nævnt tidligere, er der stort fokus på optimal udnyttelse af eksisterende kva- dratmeter i de offentlige ejendomsorganisationer. Der kan være betydelige bespa- relser forbundet med at øge kapacitetsudnyttelse i offentlige bygninger, fx ved at nybyggeri kan anvendes til flere forskellige formål, at foreninger anvender sko- lerne uden for skoletiden, og at administrationsbygninger udnyttes optimalt. Ejen- domsorganisationerne efterspørger, i den forbindelse aktivitetsdata om den lø- bende anvendelse og personbelastning af bygninger og rum.</w:t>
      </w:r>
    </w:p>
    <w:p>
      <w:pPr>
        <w:pStyle w:val="BodyText"/>
        <w:spacing w:before="9"/>
        <w:rPr>
          <w:sz w:val="21"/>
        </w:rPr>
      </w:pPr>
    </w:p>
    <w:p>
      <w:pPr>
        <w:pStyle w:val="BodyText"/>
        <w:spacing w:line="278" w:lineRule="auto"/>
        <w:ind w:left="2649" w:right="1038"/>
      </w:pPr>
      <w:r>
        <w:rPr/>
        <w:t>En steddatabase ville kunne understøtte præcis lokalisering og samkøring af data </w:t>
      </w:r>
      <w:r>
        <w:rPr>
          <w:position w:val="1"/>
        </w:rPr>
        <w:t>fra fx fra sensorer (PIR, temperatur, CO</w:t>
      </w:r>
      <w:r>
        <w:rPr>
          <w:sz w:val="11"/>
        </w:rPr>
        <w:t>2 </w:t>
      </w:r>
      <w:r>
        <w:rPr>
          <w:position w:val="1"/>
        </w:rPr>
        <w:t>m.v.), Wi-Fi og alarm-, låse- og booking- </w:t>
      </w:r>
      <w:r>
        <w:rPr/>
        <w:t>systemer. Dermed kan der produceres stedfæstede aktivitetsdata, der kan indgå som beslutningsgrundlag i forbindelse med arealoptimering.</w:t>
      </w:r>
    </w:p>
    <w:p>
      <w:pPr>
        <w:pStyle w:val="BodyText"/>
        <w:spacing w:before="4"/>
        <w:rPr>
          <w:sz w:val="1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194" w:hRule="atLeast"/>
        </w:trPr>
        <w:tc>
          <w:tcPr>
            <w:tcW w:w="7078" w:type="dxa"/>
            <w:gridSpan w:val="2"/>
            <w:tcBorders>
              <w:top w:val="nil"/>
              <w:left w:val="nil"/>
              <w:bottom w:val="nil"/>
              <w:right w:val="nil"/>
            </w:tcBorders>
            <w:shd w:val="clear" w:color="auto" w:fill="2C647C"/>
          </w:tcPr>
          <w:p>
            <w:pPr>
              <w:pStyle w:val="TableParagraph"/>
              <w:spacing w:line="183" w:lineRule="exact" w:before="2"/>
              <w:ind w:left="2501" w:right="2501"/>
              <w:jc w:val="center"/>
              <w:rPr>
                <w:b/>
                <w:sz w:val="17"/>
              </w:rPr>
            </w:pPr>
            <w:r>
              <w:rPr>
                <w:b/>
                <w:color w:val="FFFFFF"/>
                <w:sz w:val="17"/>
              </w:rPr>
              <w:t>SPACE MANAGEMENT</w:t>
            </w:r>
          </w:p>
        </w:tc>
      </w:tr>
      <w:tr>
        <w:trPr>
          <w:trHeight w:val="401" w:hRule="atLeast"/>
        </w:trPr>
        <w:tc>
          <w:tcPr>
            <w:tcW w:w="2434" w:type="dxa"/>
            <w:tcBorders>
              <w:top w:val="nil"/>
              <w:left w:val="nil"/>
            </w:tcBorders>
            <w:shd w:val="clear" w:color="auto" w:fill="C8E9E6"/>
          </w:tcPr>
          <w:p>
            <w:pPr>
              <w:pStyle w:val="TableParagraph"/>
              <w:spacing w:line="206" w:lineRule="exact" w:before="6"/>
              <w:ind w:left="103" w:right="144"/>
              <w:rPr>
                <w:b/>
                <w:sz w:val="17"/>
              </w:rPr>
            </w:pPr>
            <w:r>
              <w:rPr>
                <w:b/>
                <w:sz w:val="17"/>
              </w:rPr>
              <w:t>Eksempel på domæne- specifikke egenskaber</w:t>
            </w:r>
          </w:p>
        </w:tc>
        <w:tc>
          <w:tcPr>
            <w:tcW w:w="4644" w:type="dxa"/>
            <w:tcBorders>
              <w:top w:val="nil"/>
              <w:right w:val="nil"/>
            </w:tcBorders>
            <w:shd w:val="clear" w:color="auto" w:fill="C8E9E6"/>
          </w:tcPr>
          <w:p>
            <w:pPr>
              <w:pStyle w:val="TableParagraph"/>
              <w:spacing w:before="103"/>
              <w:ind w:left="102"/>
              <w:rPr>
                <w:sz w:val="17"/>
              </w:rPr>
            </w:pPr>
            <w:r>
              <w:rPr>
                <w:sz w:val="17"/>
              </w:rPr>
              <w:t>Rumanvendelse, Belægningsgrad,</w:t>
            </w:r>
          </w:p>
        </w:tc>
      </w:tr>
      <w:tr>
        <w:trPr>
          <w:trHeight w:val="396" w:hRule="atLeast"/>
        </w:trPr>
        <w:tc>
          <w:tcPr>
            <w:tcW w:w="2434" w:type="dxa"/>
            <w:tcBorders>
              <w:left w:val="nil"/>
            </w:tcBorders>
            <w:shd w:val="clear" w:color="auto" w:fill="E2F3F0"/>
          </w:tcPr>
          <w:p>
            <w:pPr>
              <w:pStyle w:val="TableParagraph"/>
              <w:spacing w:line="206" w:lineRule="exact" w:before="1"/>
              <w:ind w:left="103" w:right="445"/>
              <w:rPr>
                <w:b/>
                <w:sz w:val="17"/>
              </w:rPr>
            </w:pPr>
            <w:r>
              <w:rPr>
                <w:b/>
                <w:sz w:val="17"/>
              </w:rPr>
              <w:t>Potentiale og efter- spørgsel</w:t>
            </w:r>
          </w:p>
        </w:tc>
        <w:tc>
          <w:tcPr>
            <w:tcW w:w="4644" w:type="dxa"/>
            <w:tcBorders>
              <w:right w:val="nil"/>
            </w:tcBorders>
            <w:shd w:val="clear" w:color="auto" w:fill="E2F3F0"/>
          </w:tcPr>
          <w:p>
            <w:pPr>
              <w:pStyle w:val="TableParagraph"/>
              <w:spacing w:before="98"/>
              <w:ind w:left="102"/>
              <w:rPr>
                <w:sz w:val="17"/>
              </w:rPr>
            </w:pPr>
            <w:r>
              <w:rPr>
                <w:sz w:val="17"/>
              </w:rPr>
              <w:t>Stort</w:t>
            </w:r>
          </w:p>
        </w:tc>
      </w:tr>
      <w:tr>
        <w:trPr>
          <w:trHeight w:val="188" w:hRule="atLeast"/>
        </w:trPr>
        <w:tc>
          <w:tcPr>
            <w:tcW w:w="2434" w:type="dxa"/>
            <w:tcBorders>
              <w:left w:val="nil"/>
            </w:tcBorders>
            <w:shd w:val="clear" w:color="auto" w:fill="C8E9E6"/>
          </w:tcPr>
          <w:p>
            <w:pPr>
              <w:pStyle w:val="TableParagraph"/>
              <w:spacing w:line="178" w:lineRule="exact"/>
              <w:ind w:left="103"/>
              <w:rPr>
                <w:b/>
                <w:sz w:val="17"/>
              </w:rPr>
            </w:pPr>
            <w:r>
              <w:rPr>
                <w:b/>
                <w:sz w:val="17"/>
              </w:rPr>
              <w:t>Tidshorisont</w:t>
            </w:r>
          </w:p>
        </w:tc>
        <w:tc>
          <w:tcPr>
            <w:tcW w:w="4644" w:type="dxa"/>
            <w:tcBorders>
              <w:right w:val="nil"/>
            </w:tcBorders>
            <w:shd w:val="clear" w:color="auto" w:fill="C8E9E6"/>
          </w:tcPr>
          <w:p>
            <w:pPr>
              <w:pStyle w:val="TableParagraph"/>
              <w:spacing w:line="178" w:lineRule="exact"/>
              <w:ind w:left="102"/>
              <w:rPr>
                <w:sz w:val="17"/>
              </w:rPr>
            </w:pPr>
            <w:r>
              <w:rPr>
                <w:sz w:val="17"/>
              </w:rPr>
              <w:t>Snart</w:t>
            </w:r>
          </w:p>
        </w:tc>
      </w:tr>
      <w:tr>
        <w:trPr>
          <w:trHeight w:val="611" w:hRule="atLeast"/>
        </w:trPr>
        <w:tc>
          <w:tcPr>
            <w:tcW w:w="2434" w:type="dxa"/>
            <w:tcBorders>
              <w:left w:val="nil"/>
            </w:tcBorders>
            <w:shd w:val="clear" w:color="auto" w:fill="E2F3F0"/>
          </w:tcPr>
          <w:p>
            <w:pPr>
              <w:pStyle w:val="TableParagraph"/>
              <w:spacing w:before="3"/>
              <w:rPr>
                <w:sz w:val="17"/>
              </w:rPr>
            </w:pPr>
          </w:p>
          <w:p>
            <w:pPr>
              <w:pStyle w:val="TableParagraph"/>
              <w:spacing w:before="1"/>
              <w:ind w:left="103"/>
              <w:rPr>
                <w:b/>
                <w:sz w:val="17"/>
              </w:rPr>
            </w:pPr>
            <w:r>
              <w:rPr>
                <w:b/>
                <w:sz w:val="17"/>
              </w:rPr>
              <w:t>Drivere</w:t>
            </w:r>
          </w:p>
        </w:tc>
        <w:tc>
          <w:tcPr>
            <w:tcW w:w="4644" w:type="dxa"/>
            <w:tcBorders>
              <w:right w:val="nil"/>
            </w:tcBorders>
            <w:shd w:val="clear" w:color="auto" w:fill="E2F3F0"/>
          </w:tcPr>
          <w:p>
            <w:pPr>
              <w:pStyle w:val="TableParagraph"/>
              <w:spacing w:before="1"/>
              <w:ind w:left="102"/>
              <w:rPr>
                <w:sz w:val="17"/>
              </w:rPr>
            </w:pPr>
            <w:r>
              <w:rPr>
                <w:sz w:val="17"/>
              </w:rPr>
              <w:t>Stort fokus på besparelsespotentialer ved arealop-</w:t>
            </w:r>
          </w:p>
          <w:p>
            <w:pPr>
              <w:pStyle w:val="TableParagraph"/>
              <w:spacing w:line="206" w:lineRule="exact" w:before="9"/>
              <w:ind w:left="102" w:right="127"/>
              <w:rPr>
                <w:sz w:val="17"/>
              </w:rPr>
            </w:pPr>
            <w:r>
              <w:rPr>
                <w:sz w:val="17"/>
              </w:rPr>
              <w:t>timering. Mangel på databaseret beslutningsgrund- lag</w:t>
            </w:r>
          </w:p>
        </w:tc>
      </w:tr>
      <w:tr>
        <w:trPr>
          <w:trHeight w:val="395" w:hRule="atLeast"/>
        </w:trPr>
        <w:tc>
          <w:tcPr>
            <w:tcW w:w="2434" w:type="dxa"/>
            <w:tcBorders>
              <w:left w:val="nil"/>
            </w:tcBorders>
            <w:shd w:val="clear" w:color="auto" w:fill="C8E9E6"/>
          </w:tcPr>
          <w:p>
            <w:pPr>
              <w:pStyle w:val="TableParagraph"/>
              <w:spacing w:before="97"/>
              <w:ind w:left="103"/>
              <w:rPr>
                <w:b/>
                <w:sz w:val="17"/>
              </w:rPr>
            </w:pPr>
            <w:r>
              <w:rPr>
                <w:b/>
                <w:sz w:val="17"/>
              </w:rPr>
              <w:t>Barriere</w:t>
            </w:r>
          </w:p>
        </w:tc>
        <w:tc>
          <w:tcPr>
            <w:tcW w:w="4644" w:type="dxa"/>
            <w:tcBorders>
              <w:right w:val="nil"/>
            </w:tcBorders>
            <w:shd w:val="clear" w:color="auto" w:fill="C8E9E6"/>
          </w:tcPr>
          <w:p>
            <w:pPr>
              <w:pStyle w:val="TableParagraph"/>
              <w:spacing w:line="201" w:lineRule="exact"/>
              <w:ind w:left="102"/>
              <w:rPr>
                <w:sz w:val="17"/>
              </w:rPr>
            </w:pPr>
            <w:r>
              <w:rPr>
                <w:sz w:val="17"/>
              </w:rPr>
              <w:t>Mangel på systemer til produktion af aktivitetsdata.</w:t>
            </w:r>
          </w:p>
          <w:p>
            <w:pPr>
              <w:pStyle w:val="TableParagraph"/>
              <w:spacing w:line="184" w:lineRule="exact"/>
              <w:ind w:left="102"/>
              <w:rPr>
                <w:sz w:val="17"/>
              </w:rPr>
            </w:pPr>
            <w:r>
              <w:rPr>
                <w:sz w:val="17"/>
              </w:rPr>
              <w:t>Persondatalovgivning</w:t>
            </w:r>
          </w:p>
        </w:tc>
      </w:tr>
      <w:tr>
        <w:trPr>
          <w:trHeight w:val="817" w:hRule="atLeast"/>
        </w:trPr>
        <w:tc>
          <w:tcPr>
            <w:tcW w:w="2434" w:type="dxa"/>
            <w:tcBorders>
              <w:left w:val="nil"/>
              <w:bottom w:val="nil"/>
            </w:tcBorders>
            <w:shd w:val="clear" w:color="auto" w:fill="E2F3F0"/>
          </w:tcPr>
          <w:p>
            <w:pPr>
              <w:pStyle w:val="TableParagraph"/>
              <w:spacing w:before="7"/>
              <w:rPr>
                <w:sz w:val="25"/>
              </w:rPr>
            </w:pPr>
          </w:p>
          <w:p>
            <w:pPr>
              <w:pStyle w:val="TableParagraph"/>
              <w:ind w:left="103"/>
              <w:rPr>
                <w:b/>
                <w:sz w:val="17"/>
              </w:rPr>
            </w:pPr>
            <w:r>
              <w:rPr>
                <w:b/>
                <w:sz w:val="17"/>
              </w:rPr>
              <w:t>Virkemidler</w:t>
            </w:r>
          </w:p>
        </w:tc>
        <w:tc>
          <w:tcPr>
            <w:tcW w:w="4644" w:type="dxa"/>
            <w:tcBorders>
              <w:bottom w:val="nil"/>
              <w:right w:val="nil"/>
            </w:tcBorders>
            <w:shd w:val="clear" w:color="auto" w:fill="E2F3F0"/>
          </w:tcPr>
          <w:p>
            <w:pPr>
              <w:pStyle w:val="TableParagraph"/>
              <w:spacing w:line="206" w:lineRule="exact" w:before="7"/>
              <w:ind w:left="102" w:right="117"/>
              <w:rPr>
                <w:sz w:val="17"/>
              </w:rPr>
            </w:pPr>
            <w:r>
              <w:rPr>
                <w:sz w:val="17"/>
              </w:rPr>
              <w:t>Investeringer i infrastruktur som giver værktøjer til at effektivisere udnyttelsen af eksisterende kva- dratmeter. Evt. gode businesscases hvis det skal drives delvist af markedet.</w:t>
            </w:r>
          </w:p>
        </w:tc>
      </w:tr>
    </w:tbl>
    <w:p>
      <w:pPr>
        <w:pStyle w:val="BodyText"/>
        <w:spacing w:before="6"/>
        <w:rPr>
          <w:sz w:val="23"/>
        </w:rPr>
      </w:pPr>
    </w:p>
    <w:p>
      <w:pPr>
        <w:pStyle w:val="Heading3"/>
        <w:numPr>
          <w:ilvl w:val="2"/>
          <w:numId w:val="21"/>
        </w:numPr>
        <w:tabs>
          <w:tab w:pos="2649" w:val="left" w:leader="none"/>
          <w:tab w:pos="2650" w:val="left" w:leader="none"/>
        </w:tabs>
        <w:spacing w:line="278" w:lineRule="auto" w:before="0" w:after="0"/>
        <w:ind w:left="2649" w:right="1413" w:hanging="799"/>
        <w:jc w:val="left"/>
      </w:pPr>
      <w:bookmarkStart w:name="_bookmark83" w:id="84"/>
      <w:bookmarkEnd w:id="84"/>
      <w:r>
        <w:rPr/>
        <w:t>O</w:t>
      </w:r>
      <w:r>
        <w:rPr/>
        <w:t>rganisationsservice – rengøring, lokaleadministration, for- plejning</w:t>
      </w:r>
      <w:r>
        <w:rPr>
          <w:spacing w:val="-1"/>
        </w:rPr>
        <w:t> </w:t>
      </w:r>
      <w:r>
        <w:rPr/>
        <w:t>mv.</w:t>
      </w:r>
    </w:p>
    <w:p>
      <w:pPr>
        <w:pStyle w:val="BodyText"/>
        <w:spacing w:line="278" w:lineRule="auto"/>
        <w:ind w:left="2649" w:right="1098"/>
      </w:pPr>
      <w:r>
        <w:rPr/>
        <w:t>Effektiv og velfungerende anvendelse af bygningsmassen afhænger af en række understøttende services vedrørende fx rengøring, lokalebooking og forplejning. En steddatabase ville kunne understøtte disse, ved at muliggøre produktion af sted- fæstede og realtime aktivitetsdata. En oplagt anvendelse er effektivisering af ren- gøringsservices. Rengøringsudgifter afhænger af det samlede rengøringsareal og den fastlagte rengøringsfrekvens. Ved at sikre, at der kun gøres rent i det omfang lokaler har været brugt, kan behovsstyret rengøring mindske udgifterne.</w:t>
      </w:r>
    </w:p>
    <w:p>
      <w:pPr>
        <w:pStyle w:val="BodyText"/>
        <w:spacing w:before="1"/>
        <w:rPr>
          <w:sz w:val="21"/>
        </w:rPr>
      </w:pPr>
    </w:p>
    <w:p>
      <w:pPr>
        <w:pStyle w:val="BodyText"/>
        <w:spacing w:line="278" w:lineRule="auto"/>
        <w:ind w:left="2649" w:right="1143"/>
      </w:pPr>
      <w:r>
        <w:rPr/>
        <w:t>Mange kommuner har data fra lokale- og bookings systemer, og viser hvor meget de forskellige lokaler bliver brugt. Ved at sammenstille disse oplysninger med en sted- eller rumdatabase, kan der dannes et forbedret grundlag, hvor oplysninger om anvendelsestider kan kobles med oplysninger om areal for de forskellige rum, zoner eller områder. I den sammenhæng efterspørges præcise tal over arealer.</w:t>
      </w:r>
    </w:p>
    <w:p>
      <w:pPr>
        <w:pStyle w:val="BodyText"/>
        <w:spacing w:before="7"/>
        <w:rPr>
          <w:sz w:val="1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196" w:hRule="atLeast"/>
        </w:trPr>
        <w:tc>
          <w:tcPr>
            <w:tcW w:w="7078" w:type="dxa"/>
            <w:gridSpan w:val="2"/>
            <w:tcBorders>
              <w:top w:val="nil"/>
              <w:left w:val="nil"/>
              <w:right w:val="nil"/>
            </w:tcBorders>
            <w:shd w:val="clear" w:color="auto" w:fill="2C647C"/>
          </w:tcPr>
          <w:p>
            <w:pPr>
              <w:pStyle w:val="TableParagraph"/>
              <w:spacing w:line="184" w:lineRule="exact" w:before="2"/>
              <w:ind w:left="2294"/>
              <w:rPr>
                <w:b/>
                <w:sz w:val="17"/>
              </w:rPr>
            </w:pPr>
            <w:r>
              <w:rPr>
                <w:b/>
                <w:color w:val="FFFFFF"/>
                <w:sz w:val="17"/>
              </w:rPr>
              <w:t>ORGANISATIONSSERVICE</w:t>
            </w:r>
          </w:p>
        </w:tc>
      </w:tr>
      <w:tr>
        <w:trPr>
          <w:trHeight w:val="402" w:hRule="atLeast"/>
        </w:trPr>
        <w:tc>
          <w:tcPr>
            <w:tcW w:w="2434" w:type="dxa"/>
            <w:tcBorders>
              <w:left w:val="nil"/>
            </w:tcBorders>
            <w:shd w:val="clear" w:color="auto" w:fill="C8E9E6"/>
          </w:tcPr>
          <w:p>
            <w:pPr>
              <w:pStyle w:val="TableParagraph"/>
              <w:spacing w:line="206" w:lineRule="exact" w:before="7"/>
              <w:ind w:left="103" w:right="144"/>
              <w:rPr>
                <w:b/>
                <w:sz w:val="17"/>
              </w:rPr>
            </w:pPr>
            <w:r>
              <w:rPr>
                <w:b/>
                <w:sz w:val="17"/>
              </w:rPr>
              <w:t>Eksempel på domæne- specifikke egenskaber</w:t>
            </w:r>
          </w:p>
        </w:tc>
        <w:tc>
          <w:tcPr>
            <w:tcW w:w="4644" w:type="dxa"/>
            <w:tcBorders>
              <w:right w:val="nil"/>
            </w:tcBorders>
            <w:shd w:val="clear" w:color="auto" w:fill="C8E9E6"/>
          </w:tcPr>
          <w:p>
            <w:pPr>
              <w:pStyle w:val="TableParagraph"/>
              <w:spacing w:line="206" w:lineRule="exact" w:before="7"/>
              <w:ind w:left="102" w:right="158"/>
              <w:rPr>
                <w:sz w:val="17"/>
              </w:rPr>
            </w:pPr>
            <w:r>
              <w:rPr>
                <w:sz w:val="17"/>
              </w:rPr>
              <w:t>Rumanvendelse, Aktivitetsdata, Periodisk eftersyn, Brugerstyring, Areal</w:t>
            </w:r>
          </w:p>
        </w:tc>
      </w:tr>
      <w:tr>
        <w:trPr>
          <w:trHeight w:val="398" w:hRule="atLeast"/>
        </w:trPr>
        <w:tc>
          <w:tcPr>
            <w:tcW w:w="2434" w:type="dxa"/>
            <w:tcBorders>
              <w:left w:val="nil"/>
            </w:tcBorders>
            <w:shd w:val="clear" w:color="auto" w:fill="E2F3F0"/>
          </w:tcPr>
          <w:p>
            <w:pPr>
              <w:pStyle w:val="TableParagraph"/>
              <w:spacing w:line="202" w:lineRule="exact"/>
              <w:ind w:left="103"/>
              <w:rPr>
                <w:b/>
                <w:sz w:val="17"/>
              </w:rPr>
            </w:pPr>
            <w:r>
              <w:rPr>
                <w:b/>
                <w:sz w:val="17"/>
              </w:rPr>
              <w:t>Potentiale og efter-</w:t>
            </w:r>
          </w:p>
          <w:p>
            <w:pPr>
              <w:pStyle w:val="TableParagraph"/>
              <w:spacing w:line="184" w:lineRule="exact" w:before="2"/>
              <w:ind w:left="103"/>
              <w:rPr>
                <w:b/>
                <w:sz w:val="17"/>
              </w:rPr>
            </w:pPr>
            <w:r>
              <w:rPr>
                <w:b/>
                <w:sz w:val="17"/>
              </w:rPr>
              <w:t>spørgsel</w:t>
            </w:r>
          </w:p>
        </w:tc>
        <w:tc>
          <w:tcPr>
            <w:tcW w:w="4644" w:type="dxa"/>
            <w:tcBorders>
              <w:right w:val="nil"/>
            </w:tcBorders>
            <w:shd w:val="clear" w:color="auto" w:fill="E2F3F0"/>
          </w:tcPr>
          <w:p>
            <w:pPr>
              <w:pStyle w:val="TableParagraph"/>
              <w:spacing w:before="100"/>
              <w:ind w:left="102"/>
              <w:rPr>
                <w:sz w:val="17"/>
              </w:rPr>
            </w:pPr>
            <w:r>
              <w:rPr>
                <w:sz w:val="17"/>
              </w:rPr>
              <w:t>Medium – Stort</w:t>
            </w:r>
          </w:p>
        </w:tc>
      </w:tr>
      <w:tr>
        <w:trPr>
          <w:trHeight w:val="195" w:hRule="atLeast"/>
        </w:trPr>
        <w:tc>
          <w:tcPr>
            <w:tcW w:w="2434" w:type="dxa"/>
            <w:tcBorders>
              <w:left w:val="nil"/>
            </w:tcBorders>
            <w:shd w:val="clear" w:color="auto" w:fill="C8E9E6"/>
          </w:tcPr>
          <w:p>
            <w:pPr>
              <w:pStyle w:val="TableParagraph"/>
              <w:spacing w:line="184" w:lineRule="exact" w:before="1"/>
              <w:ind w:left="103"/>
              <w:rPr>
                <w:b/>
                <w:sz w:val="17"/>
              </w:rPr>
            </w:pPr>
            <w:r>
              <w:rPr>
                <w:b/>
                <w:sz w:val="17"/>
              </w:rPr>
              <w:t>Tidshorisont</w:t>
            </w:r>
          </w:p>
        </w:tc>
        <w:tc>
          <w:tcPr>
            <w:tcW w:w="4644" w:type="dxa"/>
            <w:tcBorders>
              <w:right w:val="nil"/>
            </w:tcBorders>
            <w:shd w:val="clear" w:color="auto" w:fill="C8E9E6"/>
          </w:tcPr>
          <w:p>
            <w:pPr>
              <w:pStyle w:val="TableParagraph"/>
              <w:spacing w:line="184" w:lineRule="exact" w:before="1"/>
              <w:ind w:left="102"/>
              <w:rPr>
                <w:sz w:val="17"/>
              </w:rPr>
            </w:pPr>
            <w:r>
              <w:rPr>
                <w:sz w:val="17"/>
              </w:rPr>
              <w:t>Nu – Snart</w:t>
            </w:r>
          </w:p>
        </w:tc>
      </w:tr>
      <w:tr>
        <w:trPr>
          <w:trHeight w:val="196" w:hRule="atLeast"/>
        </w:trPr>
        <w:tc>
          <w:tcPr>
            <w:tcW w:w="2434" w:type="dxa"/>
            <w:tcBorders>
              <w:left w:val="nil"/>
            </w:tcBorders>
            <w:shd w:val="clear" w:color="auto" w:fill="E2F3F0"/>
          </w:tcPr>
          <w:p>
            <w:pPr>
              <w:pStyle w:val="TableParagraph"/>
              <w:spacing w:line="184" w:lineRule="exact" w:before="2"/>
              <w:ind w:left="103"/>
              <w:rPr>
                <w:b/>
                <w:sz w:val="17"/>
              </w:rPr>
            </w:pPr>
            <w:r>
              <w:rPr>
                <w:b/>
                <w:sz w:val="17"/>
              </w:rPr>
              <w:t>Drivere</w:t>
            </w:r>
          </w:p>
        </w:tc>
        <w:tc>
          <w:tcPr>
            <w:tcW w:w="4644" w:type="dxa"/>
            <w:tcBorders>
              <w:right w:val="nil"/>
            </w:tcBorders>
            <w:shd w:val="clear" w:color="auto" w:fill="E2F3F0"/>
          </w:tcPr>
          <w:p>
            <w:pPr>
              <w:pStyle w:val="TableParagraph"/>
              <w:spacing w:line="184" w:lineRule="exact" w:before="2"/>
              <w:ind w:left="102"/>
              <w:rPr>
                <w:sz w:val="17"/>
              </w:rPr>
            </w:pPr>
            <w:r>
              <w:rPr>
                <w:sz w:val="17"/>
              </w:rPr>
              <w:t>Effektiviseringspotentiale</w:t>
            </w:r>
          </w:p>
        </w:tc>
      </w:tr>
      <w:tr>
        <w:trPr>
          <w:trHeight w:val="402" w:hRule="atLeast"/>
        </w:trPr>
        <w:tc>
          <w:tcPr>
            <w:tcW w:w="2434" w:type="dxa"/>
            <w:tcBorders>
              <w:left w:val="nil"/>
              <w:bottom w:val="nil"/>
            </w:tcBorders>
            <w:shd w:val="clear" w:color="auto" w:fill="C8E9E6"/>
          </w:tcPr>
          <w:p>
            <w:pPr>
              <w:pStyle w:val="TableParagraph"/>
              <w:spacing w:before="105"/>
              <w:ind w:left="103"/>
              <w:rPr>
                <w:b/>
                <w:sz w:val="17"/>
              </w:rPr>
            </w:pPr>
            <w:r>
              <w:rPr>
                <w:b/>
                <w:sz w:val="17"/>
              </w:rPr>
              <w:t>Barriere</w:t>
            </w:r>
          </w:p>
        </w:tc>
        <w:tc>
          <w:tcPr>
            <w:tcW w:w="4644" w:type="dxa"/>
            <w:tcBorders>
              <w:bottom w:val="nil"/>
              <w:right w:val="nil"/>
            </w:tcBorders>
            <w:shd w:val="clear" w:color="auto" w:fill="C8E9E6"/>
          </w:tcPr>
          <w:p>
            <w:pPr>
              <w:pStyle w:val="TableParagraph"/>
              <w:spacing w:line="206" w:lineRule="exact" w:before="7"/>
              <w:ind w:left="102" w:right="1728"/>
              <w:rPr>
                <w:sz w:val="17"/>
              </w:rPr>
            </w:pPr>
            <w:r>
              <w:rPr>
                <w:sz w:val="17"/>
              </w:rPr>
              <w:t>Produktion af fornødne data Implementering i organisationen</w:t>
            </w:r>
          </w:p>
        </w:tc>
      </w:tr>
    </w:tbl>
    <w:p>
      <w:pPr>
        <w:spacing w:after="0" w:line="206" w:lineRule="exac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group style="position:absolute;margin-left:56.465145pt;margin-top:-.222301pt;width:112.9pt;height:841.1pt;mso-position-horizontal-relative:page;mso-position-vertical-relative:page;z-index:-176728" coordorigin="1129,-4" coordsize="2258,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759;top:2878;width:1136;height:1133" type="#_x0000_t75" stroked="false">
              <v:imagedata r:id="rId52" o:title=""/>
            </v:shape>
            <w10:wrap type="none"/>
          </v:group>
        </w:pict>
      </w:r>
    </w:p>
    <w:p>
      <w:pPr>
        <w:pStyle w:val="BodyText"/>
        <w:rPr>
          <w:sz w:val="20"/>
        </w:rPr>
      </w:pPr>
    </w:p>
    <w:p>
      <w:pPr>
        <w:pStyle w:val="BodyText"/>
        <w:spacing w:before="1"/>
        <w:rPr>
          <w:sz w:val="29"/>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609" w:hRule="atLeast"/>
        </w:trPr>
        <w:tc>
          <w:tcPr>
            <w:tcW w:w="2434" w:type="dxa"/>
            <w:tcBorders>
              <w:right w:val="nil"/>
            </w:tcBorders>
            <w:shd w:val="clear" w:color="auto" w:fill="E2F3F0"/>
          </w:tcPr>
          <w:p>
            <w:pPr>
              <w:pStyle w:val="TableParagraph"/>
              <w:spacing w:before="1"/>
              <w:rPr>
                <w:sz w:val="17"/>
              </w:rPr>
            </w:pPr>
          </w:p>
          <w:p>
            <w:pPr>
              <w:pStyle w:val="TableParagraph"/>
              <w:ind w:left="103"/>
              <w:rPr>
                <w:b/>
                <w:sz w:val="17"/>
              </w:rPr>
            </w:pPr>
            <w:r>
              <w:rPr>
                <w:b/>
                <w:sz w:val="17"/>
              </w:rPr>
              <w:t>Virkemidler</w:t>
            </w:r>
          </w:p>
        </w:tc>
        <w:tc>
          <w:tcPr>
            <w:tcW w:w="4644" w:type="dxa"/>
            <w:tcBorders>
              <w:left w:val="nil"/>
            </w:tcBorders>
            <w:shd w:val="clear" w:color="auto" w:fill="E2F3F0"/>
          </w:tcPr>
          <w:p>
            <w:pPr>
              <w:pStyle w:val="TableParagraph"/>
              <w:spacing w:line="206" w:lineRule="exact" w:before="8"/>
              <w:ind w:left="102" w:right="211"/>
              <w:rPr>
                <w:sz w:val="17"/>
              </w:rPr>
            </w:pPr>
            <w:r>
              <w:rPr>
                <w:sz w:val="17"/>
              </w:rPr>
              <w:t>Inspiration: Formidling af best practise samt Busi- ness Cases. Skal drives af markedet, evt. med en national platform som kickstarter.</w:t>
            </w:r>
          </w:p>
        </w:tc>
      </w:tr>
    </w:tbl>
    <w:p>
      <w:pPr>
        <w:pStyle w:val="BodyText"/>
        <w:spacing w:before="4"/>
        <w:rPr>
          <w:sz w:val="16"/>
        </w:rPr>
      </w:pPr>
    </w:p>
    <w:p>
      <w:pPr>
        <w:pStyle w:val="Heading2"/>
        <w:numPr>
          <w:ilvl w:val="1"/>
          <w:numId w:val="22"/>
        </w:numPr>
        <w:tabs>
          <w:tab w:pos="2649" w:val="left" w:leader="none"/>
          <w:tab w:pos="2650" w:val="left" w:leader="none"/>
        </w:tabs>
        <w:spacing w:line="240" w:lineRule="auto" w:before="100" w:after="0"/>
        <w:ind w:left="2649" w:right="0" w:hanging="655"/>
        <w:jc w:val="left"/>
      </w:pPr>
      <w:bookmarkStart w:name="_bookmark84" w:id="85"/>
      <w:bookmarkEnd w:id="85"/>
      <w:r>
        <w:rPr/>
        <w:t>L</w:t>
      </w:r>
      <w:r>
        <w:rPr/>
        <w:t>edelsesinformation</w:t>
      </w:r>
    </w:p>
    <w:p>
      <w:pPr>
        <w:pStyle w:val="BodyText"/>
        <w:spacing w:line="278" w:lineRule="auto" w:before="35"/>
        <w:ind w:left="2649" w:right="1222"/>
      </w:pPr>
      <w:r>
        <w:rPr/>
        <w:t>Anvendelsesdomænet </w:t>
      </w:r>
      <w:r>
        <w:rPr>
          <w:i/>
        </w:rPr>
        <w:t>ledelsesinformation </w:t>
      </w:r>
      <w:r>
        <w:rPr/>
        <w:t>handler om produktion af de data, der er nødvendige for strategisk forvaltning af ejendomme og ejendomsporteføljer (</w:t>
      </w:r>
      <w:r>
        <w:rPr>
          <w:i/>
        </w:rPr>
        <w:t>business intelligence</w:t>
      </w:r>
      <w:r>
        <w:rPr/>
        <w:t>). En steddatabase vil kunne understøtte produktion af let adgang til og visualisering af forskellige former for stedfæstede data og nøgletal for bygningers indre forhold – bygnings- drifts-, forbrugs, og aktivitetsdata.</w:t>
      </w:r>
    </w:p>
    <w:p>
      <w:pPr>
        <w:pStyle w:val="BodyText"/>
        <w:spacing w:before="8"/>
        <w:rPr>
          <w:sz w:val="21"/>
        </w:rPr>
      </w:pPr>
    </w:p>
    <w:p>
      <w:pPr>
        <w:pStyle w:val="BodyText"/>
        <w:spacing w:line="278" w:lineRule="auto" w:before="1"/>
        <w:ind w:left="2649" w:right="1147"/>
      </w:pPr>
      <w:r>
        <w:rPr/>
        <w:t>Præcise og let aflæselige data for bygningers drift, aktivitet, performance, anven- delse mv. forventes i stigende grad at blive efterspurgt af ledelsen som grundlag for strategiske beslutninger og prioriteringer, udpegning af indsatsområder mv. Her er den geografiske komponent i visualiseringen essentiel. Relevante nøgletal kan fx indbefatte:</w:t>
      </w:r>
    </w:p>
    <w:p>
      <w:pPr>
        <w:pStyle w:val="BodyText"/>
        <w:spacing w:before="6"/>
        <w:rPr>
          <w:sz w:val="21"/>
        </w:rPr>
      </w:pPr>
    </w:p>
    <w:p>
      <w:pPr>
        <w:pStyle w:val="ListParagraph"/>
        <w:numPr>
          <w:ilvl w:val="2"/>
          <w:numId w:val="22"/>
        </w:numPr>
        <w:tabs>
          <w:tab w:pos="3219" w:val="left" w:leader="none"/>
        </w:tabs>
        <w:spacing w:line="240" w:lineRule="auto" w:before="0" w:after="0"/>
        <w:ind w:left="3218" w:right="0" w:hanging="285"/>
        <w:jc w:val="left"/>
        <w:rPr>
          <w:sz w:val="17"/>
        </w:rPr>
      </w:pPr>
      <w:r>
        <w:rPr>
          <w:sz w:val="17"/>
        </w:rPr>
        <w:t>Antal medarbejdere, elever, brugere,</w:t>
      </w:r>
      <w:r>
        <w:rPr>
          <w:spacing w:val="-1"/>
          <w:sz w:val="17"/>
        </w:rPr>
        <w:t> </w:t>
      </w:r>
      <w:r>
        <w:rPr>
          <w:sz w:val="17"/>
        </w:rPr>
        <w:t>patienter/tidsinterval</w:t>
      </w:r>
    </w:p>
    <w:p>
      <w:pPr>
        <w:pStyle w:val="ListParagraph"/>
        <w:numPr>
          <w:ilvl w:val="2"/>
          <w:numId w:val="22"/>
        </w:numPr>
        <w:tabs>
          <w:tab w:pos="3219" w:val="left" w:leader="none"/>
        </w:tabs>
        <w:spacing w:line="240" w:lineRule="auto" w:before="32" w:after="0"/>
        <w:ind w:left="3218" w:right="0" w:hanging="285"/>
        <w:jc w:val="left"/>
        <w:rPr>
          <w:sz w:val="11"/>
        </w:rPr>
      </w:pPr>
      <w:r>
        <w:rPr>
          <w:sz w:val="17"/>
        </w:rPr>
        <w:t>Omkostninger for</w:t>
      </w:r>
      <w:r>
        <w:rPr>
          <w:spacing w:val="-3"/>
          <w:sz w:val="17"/>
        </w:rPr>
        <w:t> </w:t>
      </w:r>
      <w:r>
        <w:rPr>
          <w:sz w:val="17"/>
        </w:rPr>
        <w:t>forbrug/m</w:t>
      </w:r>
      <w:r>
        <w:rPr>
          <w:position w:val="6"/>
          <w:sz w:val="11"/>
        </w:rPr>
        <w:t>3</w:t>
      </w:r>
    </w:p>
    <w:p>
      <w:pPr>
        <w:pStyle w:val="ListParagraph"/>
        <w:numPr>
          <w:ilvl w:val="2"/>
          <w:numId w:val="22"/>
        </w:numPr>
        <w:tabs>
          <w:tab w:pos="3219" w:val="left" w:leader="none"/>
        </w:tabs>
        <w:spacing w:line="240" w:lineRule="auto" w:before="31" w:after="0"/>
        <w:ind w:left="3218" w:right="0" w:hanging="285"/>
        <w:jc w:val="left"/>
        <w:rPr>
          <w:sz w:val="17"/>
        </w:rPr>
      </w:pPr>
      <w:r>
        <w:rPr>
          <w:sz w:val="17"/>
        </w:rPr>
        <w:t>Produktivitet/zone</w:t>
      </w:r>
    </w:p>
    <w:p>
      <w:pPr>
        <w:pStyle w:val="ListParagraph"/>
        <w:numPr>
          <w:ilvl w:val="2"/>
          <w:numId w:val="22"/>
        </w:numPr>
        <w:tabs>
          <w:tab w:pos="3219" w:val="left" w:leader="none"/>
        </w:tabs>
        <w:spacing w:line="240" w:lineRule="auto" w:before="32" w:after="0"/>
        <w:ind w:left="3218" w:right="0" w:hanging="285"/>
        <w:jc w:val="left"/>
        <w:rPr>
          <w:sz w:val="17"/>
        </w:rPr>
      </w:pPr>
      <w:r>
        <w:rPr>
          <w:sz w:val="17"/>
        </w:rPr>
        <w:t>Udnyttelsesgrad/zone</w:t>
      </w:r>
    </w:p>
    <w:p>
      <w:pPr>
        <w:pStyle w:val="BodyText"/>
        <w:spacing w:before="10"/>
        <w:rPr>
          <w:sz w:val="21"/>
        </w:rPr>
      </w:pPr>
    </w:p>
    <w:tbl>
      <w:tblPr>
        <w:tblCellSpacing w:w="4" w:type="dxa"/>
        <w:tblW w:w="0" w:type="auto"/>
        <w:jc w:val="left"/>
        <w:tblInd w:w="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4644"/>
      </w:tblGrid>
      <w:tr>
        <w:trPr>
          <w:trHeight w:val="194" w:hRule="atLeast"/>
        </w:trPr>
        <w:tc>
          <w:tcPr>
            <w:tcW w:w="7078" w:type="dxa"/>
            <w:gridSpan w:val="2"/>
            <w:tcBorders>
              <w:top w:val="nil"/>
              <w:left w:val="nil"/>
              <w:bottom w:val="nil"/>
              <w:right w:val="nil"/>
            </w:tcBorders>
            <w:shd w:val="clear" w:color="auto" w:fill="2C647C"/>
          </w:tcPr>
          <w:p>
            <w:pPr>
              <w:pStyle w:val="TableParagraph"/>
              <w:spacing w:line="183" w:lineRule="exact" w:before="2"/>
              <w:ind w:left="2357"/>
              <w:rPr>
                <w:b/>
                <w:sz w:val="17"/>
              </w:rPr>
            </w:pPr>
            <w:r>
              <w:rPr>
                <w:b/>
                <w:color w:val="FFFFFF"/>
                <w:sz w:val="17"/>
              </w:rPr>
              <w:t>LEDELSESINFORMATION</w:t>
            </w:r>
          </w:p>
        </w:tc>
      </w:tr>
      <w:tr>
        <w:trPr>
          <w:trHeight w:val="401" w:hRule="atLeast"/>
        </w:trPr>
        <w:tc>
          <w:tcPr>
            <w:tcW w:w="2434" w:type="dxa"/>
            <w:tcBorders>
              <w:top w:val="nil"/>
              <w:left w:val="nil"/>
            </w:tcBorders>
            <w:shd w:val="clear" w:color="auto" w:fill="C8E9E6"/>
          </w:tcPr>
          <w:p>
            <w:pPr>
              <w:pStyle w:val="TableParagraph"/>
              <w:spacing w:line="206" w:lineRule="exact" w:before="6"/>
              <w:ind w:left="103" w:right="144"/>
              <w:rPr>
                <w:b/>
                <w:sz w:val="17"/>
              </w:rPr>
            </w:pPr>
            <w:r>
              <w:rPr>
                <w:b/>
                <w:sz w:val="17"/>
              </w:rPr>
              <w:t>Eksempel på domæne- specifikke egenskaber</w:t>
            </w:r>
          </w:p>
        </w:tc>
        <w:tc>
          <w:tcPr>
            <w:tcW w:w="4644" w:type="dxa"/>
            <w:tcBorders>
              <w:top w:val="nil"/>
              <w:right w:val="nil"/>
            </w:tcBorders>
            <w:shd w:val="clear" w:color="auto" w:fill="C8E9E6"/>
          </w:tcPr>
          <w:p>
            <w:pPr>
              <w:pStyle w:val="TableParagraph"/>
              <w:spacing w:line="206" w:lineRule="exact" w:before="6"/>
              <w:ind w:left="102" w:right="398"/>
              <w:rPr>
                <w:sz w:val="17"/>
              </w:rPr>
            </w:pPr>
            <w:r>
              <w:rPr>
                <w:sz w:val="17"/>
              </w:rPr>
              <w:t>Samlet forbrug, Aktivitetsdata, Rumanvendelse, Omkostning, Belægningsgrad, Areal</w:t>
            </w:r>
          </w:p>
        </w:tc>
      </w:tr>
      <w:tr>
        <w:trPr>
          <w:trHeight w:val="395" w:hRule="atLeast"/>
        </w:trPr>
        <w:tc>
          <w:tcPr>
            <w:tcW w:w="2434" w:type="dxa"/>
            <w:tcBorders>
              <w:left w:val="nil"/>
            </w:tcBorders>
            <w:shd w:val="clear" w:color="auto" w:fill="E2F3F0"/>
          </w:tcPr>
          <w:p>
            <w:pPr>
              <w:pStyle w:val="TableParagraph"/>
              <w:spacing w:line="206" w:lineRule="exact" w:before="1"/>
              <w:ind w:left="103" w:right="445"/>
              <w:rPr>
                <w:b/>
                <w:sz w:val="17"/>
              </w:rPr>
            </w:pPr>
            <w:r>
              <w:rPr>
                <w:b/>
                <w:sz w:val="17"/>
              </w:rPr>
              <w:t>Potentiale og efter- spørgsel</w:t>
            </w:r>
          </w:p>
        </w:tc>
        <w:tc>
          <w:tcPr>
            <w:tcW w:w="4644" w:type="dxa"/>
            <w:tcBorders>
              <w:right w:val="nil"/>
            </w:tcBorders>
            <w:shd w:val="clear" w:color="auto" w:fill="E2F3F0"/>
          </w:tcPr>
          <w:p>
            <w:pPr>
              <w:pStyle w:val="TableParagraph"/>
              <w:spacing w:before="98"/>
              <w:ind w:left="102"/>
              <w:rPr>
                <w:sz w:val="17"/>
              </w:rPr>
            </w:pPr>
            <w:r>
              <w:rPr>
                <w:sz w:val="17"/>
              </w:rPr>
              <w:t>Medium – Stort</w:t>
            </w:r>
          </w:p>
        </w:tc>
      </w:tr>
      <w:tr>
        <w:trPr>
          <w:trHeight w:val="187" w:hRule="atLeast"/>
        </w:trPr>
        <w:tc>
          <w:tcPr>
            <w:tcW w:w="2434" w:type="dxa"/>
            <w:tcBorders>
              <w:left w:val="nil"/>
              <w:bottom w:val="nil"/>
            </w:tcBorders>
            <w:shd w:val="clear" w:color="auto" w:fill="C8E9E6"/>
          </w:tcPr>
          <w:p>
            <w:pPr>
              <w:pStyle w:val="TableParagraph"/>
              <w:spacing w:line="178" w:lineRule="exact"/>
              <w:ind w:left="103"/>
              <w:rPr>
                <w:b/>
                <w:sz w:val="17"/>
              </w:rPr>
            </w:pPr>
            <w:r>
              <w:rPr>
                <w:b/>
                <w:sz w:val="17"/>
              </w:rPr>
              <w:t>Tidshorisont</w:t>
            </w:r>
          </w:p>
        </w:tc>
        <w:tc>
          <w:tcPr>
            <w:tcW w:w="4644" w:type="dxa"/>
            <w:tcBorders>
              <w:bottom w:val="nil"/>
              <w:right w:val="nil"/>
            </w:tcBorders>
            <w:shd w:val="clear" w:color="auto" w:fill="C8E9E6"/>
          </w:tcPr>
          <w:p>
            <w:pPr>
              <w:pStyle w:val="TableParagraph"/>
              <w:spacing w:line="178" w:lineRule="exact"/>
              <w:ind w:left="102"/>
              <w:rPr>
                <w:sz w:val="17"/>
              </w:rPr>
            </w:pPr>
            <w:r>
              <w:rPr>
                <w:sz w:val="17"/>
              </w:rPr>
              <w:t>Snart</w:t>
            </w:r>
          </w:p>
        </w:tc>
      </w:tr>
      <w:tr>
        <w:trPr>
          <w:trHeight w:val="194" w:hRule="atLeast"/>
        </w:trPr>
        <w:tc>
          <w:tcPr>
            <w:tcW w:w="2434" w:type="dxa"/>
            <w:tcBorders>
              <w:top w:val="nil"/>
              <w:left w:val="nil"/>
            </w:tcBorders>
            <w:shd w:val="clear" w:color="auto" w:fill="E2F3F0"/>
          </w:tcPr>
          <w:p>
            <w:pPr>
              <w:pStyle w:val="TableParagraph"/>
              <w:spacing w:line="184" w:lineRule="exact"/>
              <w:ind w:left="103"/>
              <w:rPr>
                <w:b/>
                <w:sz w:val="17"/>
              </w:rPr>
            </w:pPr>
            <w:r>
              <w:rPr>
                <w:b/>
                <w:sz w:val="17"/>
              </w:rPr>
              <w:t>Drivere</w:t>
            </w:r>
          </w:p>
        </w:tc>
        <w:tc>
          <w:tcPr>
            <w:tcW w:w="4644" w:type="dxa"/>
            <w:tcBorders>
              <w:top w:val="nil"/>
              <w:right w:val="nil"/>
            </w:tcBorders>
            <w:shd w:val="clear" w:color="auto" w:fill="E2F3F0"/>
          </w:tcPr>
          <w:p>
            <w:pPr>
              <w:pStyle w:val="TableParagraph"/>
              <w:spacing w:line="184" w:lineRule="exact"/>
              <w:ind w:left="102"/>
              <w:rPr>
                <w:sz w:val="17"/>
              </w:rPr>
            </w:pPr>
            <w:r>
              <w:rPr>
                <w:sz w:val="17"/>
              </w:rPr>
              <w:t>Fokus på strategisk, databaseret porteføljestyring</w:t>
            </w:r>
          </w:p>
        </w:tc>
      </w:tr>
      <w:tr>
        <w:trPr>
          <w:trHeight w:val="195" w:hRule="atLeast"/>
        </w:trPr>
        <w:tc>
          <w:tcPr>
            <w:tcW w:w="2434" w:type="dxa"/>
            <w:tcBorders>
              <w:left w:val="nil"/>
            </w:tcBorders>
            <w:shd w:val="clear" w:color="auto" w:fill="C8E9E6"/>
          </w:tcPr>
          <w:p>
            <w:pPr>
              <w:pStyle w:val="TableParagraph"/>
              <w:spacing w:line="184" w:lineRule="exact" w:before="1"/>
              <w:ind w:left="103"/>
              <w:rPr>
                <w:b/>
                <w:sz w:val="17"/>
              </w:rPr>
            </w:pPr>
            <w:r>
              <w:rPr>
                <w:b/>
                <w:sz w:val="17"/>
              </w:rPr>
              <w:t>Barriere</w:t>
            </w:r>
          </w:p>
        </w:tc>
        <w:tc>
          <w:tcPr>
            <w:tcW w:w="4644" w:type="dxa"/>
            <w:tcBorders>
              <w:right w:val="nil"/>
            </w:tcBorders>
            <w:shd w:val="clear" w:color="auto" w:fill="C8E9E6"/>
          </w:tcPr>
          <w:p>
            <w:pPr>
              <w:pStyle w:val="TableParagraph"/>
              <w:spacing w:line="184" w:lineRule="exact" w:before="1"/>
              <w:ind w:left="102"/>
              <w:rPr>
                <w:sz w:val="17"/>
              </w:rPr>
            </w:pPr>
            <w:r>
              <w:rPr>
                <w:sz w:val="17"/>
              </w:rPr>
              <w:t>Etablering af målerinfrastruktur og systemer</w:t>
            </w:r>
          </w:p>
        </w:tc>
      </w:tr>
      <w:tr>
        <w:trPr>
          <w:trHeight w:val="402" w:hRule="atLeast"/>
        </w:trPr>
        <w:tc>
          <w:tcPr>
            <w:tcW w:w="2434" w:type="dxa"/>
            <w:tcBorders>
              <w:left w:val="nil"/>
              <w:bottom w:val="nil"/>
            </w:tcBorders>
            <w:shd w:val="clear" w:color="auto" w:fill="E2F3F0"/>
          </w:tcPr>
          <w:p>
            <w:pPr>
              <w:pStyle w:val="TableParagraph"/>
              <w:spacing w:before="105"/>
              <w:ind w:left="103"/>
              <w:rPr>
                <w:b/>
                <w:sz w:val="17"/>
              </w:rPr>
            </w:pPr>
            <w:r>
              <w:rPr>
                <w:b/>
                <w:sz w:val="17"/>
              </w:rPr>
              <w:t>Virkemidler</w:t>
            </w:r>
          </w:p>
        </w:tc>
        <w:tc>
          <w:tcPr>
            <w:tcW w:w="4644" w:type="dxa"/>
            <w:tcBorders>
              <w:bottom w:val="nil"/>
              <w:right w:val="nil"/>
            </w:tcBorders>
            <w:shd w:val="clear" w:color="auto" w:fill="E2F3F0"/>
          </w:tcPr>
          <w:p>
            <w:pPr>
              <w:pStyle w:val="TableParagraph"/>
              <w:spacing w:line="206" w:lineRule="exact" w:before="8"/>
              <w:ind w:left="102" w:right="256"/>
              <w:rPr>
                <w:sz w:val="17"/>
              </w:rPr>
            </w:pPr>
            <w:r>
              <w:rPr>
                <w:sz w:val="17"/>
              </w:rPr>
              <w:t>Drives af efterspørgslen. Skal drives af markedet, evt. med en national platform som kickstarter.</w:t>
            </w:r>
          </w:p>
        </w:tc>
      </w:tr>
    </w:tbl>
    <w:p>
      <w:pPr>
        <w:spacing w:after="0" w:line="206" w:lineRule="exac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660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0"/>
          <w:numId w:val="22"/>
        </w:numPr>
        <w:tabs>
          <w:tab w:pos="2649" w:val="left" w:leader="none"/>
          <w:tab w:pos="2650" w:val="left" w:leader="none"/>
        </w:tabs>
        <w:spacing w:line="254" w:lineRule="auto" w:before="101" w:after="0"/>
        <w:ind w:left="2649" w:right="1107" w:hanging="427"/>
        <w:jc w:val="left"/>
      </w:pPr>
      <w:bookmarkStart w:name="_bookmark85" w:id="86"/>
      <w:bookmarkEnd w:id="86"/>
      <w:r>
        <w:rPr/>
        <w:t>O</w:t>
      </w:r>
      <w:r>
        <w:rPr/>
        <w:t>ffentlige bygningsejeres og tredjepartaktø- rers perspektiv på en national indendørs steddatabase</w:t>
      </w:r>
    </w:p>
    <w:p>
      <w:pPr>
        <w:pStyle w:val="BodyText"/>
        <w:spacing w:line="278" w:lineRule="auto" w:before="15"/>
        <w:ind w:left="2649" w:right="1037"/>
      </w:pPr>
      <w:r>
        <w:rPr/>
        <w:t>For at kvalificere forståelsen af, hvordan en national steddatabase for indendørs geografi kan understøtte energieffektivisering, er repræsentanter fra relevante brugergrupper blevet inddraget. Der er gennemført kvalitative interview og afholdt en workshop med fagpersoner fra en række offentlige ejendomsorganisationer og gennemført interview med leverandører af software til energistyring og facility ma- nagement.</w:t>
      </w:r>
    </w:p>
    <w:p>
      <w:pPr>
        <w:pStyle w:val="BodyText"/>
        <w:spacing w:before="6"/>
        <w:rPr>
          <w:sz w:val="21"/>
        </w:rPr>
      </w:pPr>
    </w:p>
    <w:p>
      <w:pPr>
        <w:pStyle w:val="ListParagraph"/>
        <w:numPr>
          <w:ilvl w:val="0"/>
          <w:numId w:val="23"/>
        </w:numPr>
        <w:tabs>
          <w:tab w:pos="2932" w:val="left" w:leader="none"/>
          <w:tab w:pos="2933" w:val="left" w:leader="none"/>
        </w:tabs>
        <w:spacing w:line="278" w:lineRule="auto" w:before="0" w:after="0"/>
        <w:ind w:left="2933" w:right="1191" w:hanging="284"/>
        <w:jc w:val="left"/>
        <w:rPr>
          <w:sz w:val="17"/>
        </w:rPr>
      </w:pPr>
      <w:r>
        <w:rPr>
          <w:b/>
          <w:sz w:val="17"/>
        </w:rPr>
        <w:t>Inddragelsen af offentlige bygningsejere </w:t>
      </w:r>
      <w:r>
        <w:rPr>
          <w:sz w:val="17"/>
        </w:rPr>
        <w:t>havde til formål at indsamle, trykprøve og videreudvikle ideer til anvendelser, hvorigennem steddatabasen kan understøtte energieffektivisering, samt identificere barrierer og yderligere potentialer for</w:t>
      </w:r>
      <w:r>
        <w:rPr>
          <w:spacing w:val="-3"/>
          <w:sz w:val="17"/>
        </w:rPr>
        <w:t> </w:t>
      </w:r>
      <w:r>
        <w:rPr>
          <w:sz w:val="17"/>
        </w:rPr>
        <w:t>steddatabasen.</w:t>
      </w:r>
    </w:p>
    <w:p>
      <w:pPr>
        <w:pStyle w:val="ListParagraph"/>
        <w:numPr>
          <w:ilvl w:val="0"/>
          <w:numId w:val="23"/>
        </w:numPr>
        <w:tabs>
          <w:tab w:pos="2933" w:val="left" w:leader="none"/>
        </w:tabs>
        <w:spacing w:line="278" w:lineRule="auto" w:before="0" w:after="0"/>
        <w:ind w:left="2933" w:right="1114" w:hanging="284"/>
        <w:jc w:val="both"/>
        <w:rPr>
          <w:sz w:val="17"/>
        </w:rPr>
      </w:pPr>
      <w:r>
        <w:rPr>
          <w:b/>
          <w:sz w:val="17"/>
        </w:rPr>
        <w:t>Inddragelsen af tredjepartsaktørerne </w:t>
      </w:r>
      <w:r>
        <w:rPr>
          <w:sz w:val="17"/>
        </w:rPr>
        <w:t>havde til formål at give en markeds- nær vurdering af de muligheder og udfordringer, der knytter sig til en national steddatabase og datainfrastruktur for indendørs</w:t>
      </w:r>
      <w:r>
        <w:rPr>
          <w:spacing w:val="-4"/>
          <w:sz w:val="17"/>
        </w:rPr>
        <w:t> </w:t>
      </w:r>
      <w:r>
        <w:rPr>
          <w:sz w:val="17"/>
        </w:rPr>
        <w:t>geografi.</w:t>
      </w:r>
    </w:p>
    <w:p>
      <w:pPr>
        <w:pStyle w:val="BodyText"/>
        <w:spacing w:before="5"/>
        <w:rPr>
          <w:sz w:val="21"/>
        </w:rPr>
      </w:pPr>
    </w:p>
    <w:p>
      <w:pPr>
        <w:pStyle w:val="BodyText"/>
        <w:spacing w:line="278" w:lineRule="auto"/>
        <w:ind w:left="2649" w:right="1298"/>
      </w:pPr>
      <w:r>
        <w:rPr/>
        <w:t>Herunder præsenteres hovedkonklusioner fra to interviewrunder efterfulgt af en kort diskussion af forskelle og sammenhænge i perspektiverne.</w:t>
      </w:r>
    </w:p>
    <w:p>
      <w:pPr>
        <w:pStyle w:val="BodyText"/>
        <w:spacing w:before="9"/>
        <w:rPr>
          <w:sz w:val="20"/>
        </w:rPr>
      </w:pPr>
    </w:p>
    <w:p>
      <w:pPr>
        <w:pStyle w:val="Heading2"/>
        <w:tabs>
          <w:tab w:pos="2649" w:val="left" w:leader="none"/>
        </w:tabs>
        <w:ind w:left="1993" w:firstLine="0"/>
      </w:pPr>
      <w:r>
        <w:rPr/>
        <w:t>6.1</w:t>
        <w:tab/>
      </w:r>
      <w:bookmarkStart w:name="_bookmark86" w:id="87"/>
      <w:bookmarkEnd w:id="87"/>
      <w:r>
        <w:rPr/>
        <w:t>I</w:t>
      </w:r>
      <w:r>
        <w:rPr/>
        <w:t>nterview med offentlige</w:t>
      </w:r>
      <w:r>
        <w:rPr>
          <w:spacing w:val="-5"/>
        </w:rPr>
        <w:t> </w:t>
      </w:r>
      <w:r>
        <w:rPr/>
        <w:t>bygningsejere</w:t>
      </w:r>
    </w:p>
    <w:p>
      <w:pPr>
        <w:pStyle w:val="BodyText"/>
        <w:spacing w:line="278" w:lineRule="auto" w:before="36"/>
        <w:ind w:left="2649" w:right="1038"/>
      </w:pPr>
      <w:r>
        <w:rPr/>
        <w:t>Der er gennemført interview med energi- og IT-faglige medarbejdere fra syv of- fentlige ejendomsorganisationer.</w:t>
      </w:r>
      <w:r>
        <w:rPr>
          <w:position w:val="6"/>
          <w:sz w:val="11"/>
        </w:rPr>
        <w:t>22 </w:t>
      </w:r>
      <w:r>
        <w:rPr/>
        <w:t>Herunder præsenteres de overordnede resulta- ter fra analysen. Interviewresultaterne uddybes og dokumenteres i </w:t>
      </w:r>
      <w:hyperlink w:history="true" w:anchor="_bookmark122">
        <w:r>
          <w:rPr/>
          <w:t>”Appendix 7:</w:t>
        </w:r>
      </w:hyperlink>
      <w:r>
        <w:rPr/>
        <w:t> </w:t>
      </w:r>
      <w:hyperlink w:history="true" w:anchor="_bookmark122">
        <w:r>
          <w:rPr/>
          <w:t>Uddybende resultater fra interview med bygningsejere</w:t>
        </w:r>
      </w:hyperlink>
      <w:r>
        <w:rPr/>
        <w:t>”.</w:t>
      </w:r>
    </w:p>
    <w:p>
      <w:pPr>
        <w:pStyle w:val="BodyText"/>
        <w:spacing w:before="8"/>
        <w:rPr>
          <w:sz w:val="21"/>
        </w:rPr>
      </w:pPr>
    </w:p>
    <w:p>
      <w:pPr>
        <w:pStyle w:val="BodyText"/>
        <w:spacing w:line="278" w:lineRule="auto"/>
        <w:ind w:left="2649" w:right="1203"/>
        <w:jc w:val="both"/>
      </w:pPr>
      <w:r>
        <w:rPr/>
        <w:t>Interviewene viser, at mange af de interviewede aktører har udfordringer med at indsamle valide, hyppigt opdaterede forsyningsdata på hovedmålerniveau for de- res bygninger, og at energieffektivisering typisk sker på bygningsniveeau og kun meget sjældent på rumniveau.</w:t>
      </w:r>
    </w:p>
    <w:p>
      <w:pPr>
        <w:pStyle w:val="BodyText"/>
        <w:spacing w:before="8"/>
        <w:rPr>
          <w:sz w:val="18"/>
        </w:rPr>
      </w:pPr>
    </w:p>
    <w:p>
      <w:pPr>
        <w:spacing w:before="0"/>
        <w:ind w:left="3045" w:right="1675" w:firstLine="0"/>
        <w:jc w:val="left"/>
        <w:rPr>
          <w:rFonts w:ascii="Palatino Linotype" w:hAnsi="Palatino Linotype"/>
          <w:sz w:val="19"/>
        </w:rPr>
      </w:pPr>
      <w:r>
        <w:rPr>
          <w:rFonts w:ascii="Palatino Linotype" w:hAnsi="Palatino Linotype"/>
          <w:i/>
          <w:sz w:val="19"/>
        </w:rPr>
        <w:t>Vi kan vel godt sige, at der ikke er noget der foregår på rumniveau […] Nogle </w:t>
      </w:r>
      <w:r>
        <w:rPr>
          <w:rFonts w:ascii="Palatino Linotype" w:hAnsi="Palatino Linotype"/>
          <w:i/>
          <w:sz w:val="19"/>
        </w:rPr>
        <w:t>gange bygningskapitel, nogle gange enkelte anlæg. […] Men det er ikke rumni- veau. Ejendomme, bygningsniveau, fløjniveau, anlægsniveeau. Ikke rumniveau. </w:t>
      </w:r>
      <w:r>
        <w:rPr>
          <w:rFonts w:ascii="Palatino Linotype" w:hAnsi="Palatino Linotype"/>
          <w:sz w:val="19"/>
        </w:rPr>
        <w:t>Energimedarbejder</w:t>
      </w:r>
    </w:p>
    <w:p>
      <w:pPr>
        <w:pStyle w:val="BodyText"/>
        <w:spacing w:before="4"/>
        <w:rPr>
          <w:rFonts w:ascii="Palatino Linotype"/>
          <w:sz w:val="20"/>
        </w:rPr>
      </w:pPr>
    </w:p>
    <w:p>
      <w:pPr>
        <w:pStyle w:val="BodyText"/>
        <w:spacing w:line="278" w:lineRule="auto"/>
        <w:ind w:left="2649" w:right="1137"/>
      </w:pPr>
      <w:r>
        <w:rPr/>
        <w:t>Energimedarbejderne vurderer derfor, at muligheden for at monitorere og styre energiforbrug på rumniveau med brug af en steddatabase ikke er særligt relevant for dem, og påpeger, at data skal aggregeres på zoneniveau, hvis steddatabasen skal være operationel i deres nuværende praksis.</w:t>
      </w:r>
    </w:p>
    <w:p>
      <w:pPr>
        <w:pStyle w:val="BodyText"/>
        <w:spacing w:before="5"/>
        <w:rPr>
          <w:sz w:val="21"/>
        </w:rPr>
      </w:pPr>
    </w:p>
    <w:p>
      <w:pPr>
        <w:pStyle w:val="BodyText"/>
        <w:spacing w:line="278" w:lineRule="auto"/>
        <w:ind w:left="2649" w:right="1131"/>
      </w:pPr>
      <w:r>
        <w:rPr/>
        <w:t>Generelt vurderer de interviewede bygningsejere, at steddatabasens største po- tentiale for at understøtte energieffektivisering relaterer sig til arealoptimering. Bygningsejerne har p.t. stort fokus på arealoptimering – i form af øget udnyttelse af bygningsmassen gennem multifunktionelle rum, bygninger mv. – og flere vur- derer, at steddatabasen ville kunne bidrage til dette, såfremt den kan understøtte produktionen af præcise, stedfæstede aktivitetsdata. De vurderer, at der knytter sig større potentiale for anvendelse af steddatabasen til effektiv bygningsdrift (fx til logistik, wayfinding og behovsstyret rengøring) end til energibesparelser.</w:t>
      </w:r>
    </w:p>
    <w:p>
      <w:pPr>
        <w:pStyle w:val="BodyText"/>
        <w:spacing w:before="4"/>
        <w:rPr>
          <w:sz w:val="25"/>
        </w:rPr>
      </w:pPr>
      <w:r>
        <w:rPr/>
        <w:pict>
          <v:line style="position:absolute;mso-position-horizontal-relative:page;mso-position-vertical-relative:paragraph;z-index:3992;mso-wrap-distance-left:0;mso-wrap-distance-right:0" from="181.490005pt,17.603317pt" to="325.510005pt,17.603317pt" stroked="true" strokeweight=".47998pt" strokecolor="#000000">
            <v:stroke dashstyle="solid"/>
            <w10:wrap type="topAndBottom"/>
          </v:line>
        </w:pict>
      </w:r>
    </w:p>
    <w:p>
      <w:pPr>
        <w:pStyle w:val="BodyText"/>
        <w:spacing w:before="4"/>
      </w:pPr>
    </w:p>
    <w:p>
      <w:pPr>
        <w:spacing w:before="101"/>
        <w:ind w:left="2649" w:right="1038" w:firstLine="0"/>
        <w:jc w:val="left"/>
        <w:rPr>
          <w:sz w:val="15"/>
        </w:rPr>
      </w:pPr>
      <w:r>
        <w:rPr>
          <w:position w:val="5"/>
          <w:sz w:val="10"/>
        </w:rPr>
        <w:t>22 </w:t>
      </w:r>
      <w:r>
        <w:rPr>
          <w:sz w:val="15"/>
        </w:rPr>
        <w:t>Disse indbefatter Brønderslev Kommune, Egedal Kommune, Gladsaxe Kommune, Middelfart kommune, Københavns Kommune, Region Syd (Nyt OUH) og Bygningsstyrelsen.</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651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3"/>
        </w:rPr>
      </w:pPr>
    </w:p>
    <w:p>
      <w:pPr>
        <w:pStyle w:val="ListParagraph"/>
        <w:numPr>
          <w:ilvl w:val="2"/>
          <w:numId w:val="24"/>
        </w:numPr>
        <w:tabs>
          <w:tab w:pos="2649" w:val="left" w:leader="none"/>
          <w:tab w:pos="2650" w:val="left" w:leader="none"/>
        </w:tabs>
        <w:spacing w:line="240" w:lineRule="auto" w:before="99" w:after="0"/>
        <w:ind w:left="2649" w:right="0" w:hanging="799"/>
        <w:jc w:val="left"/>
        <w:rPr>
          <w:b/>
          <w:sz w:val="20"/>
        </w:rPr>
      </w:pPr>
      <w:bookmarkStart w:name="_bookmark87" w:id="88"/>
      <w:bookmarkEnd w:id="88"/>
      <w:r>
        <w:rPr>
          <w:b/>
          <w:sz w:val="20"/>
        </w:rPr>
        <w:t>Hovedkon</w:t>
      </w:r>
      <w:r>
        <w:rPr>
          <w:b/>
          <w:sz w:val="20"/>
        </w:rPr>
        <w:t>klusioner – bygningsejernes perspektiv</w:t>
      </w:r>
    </w:p>
    <w:p>
      <w:pPr>
        <w:pStyle w:val="BodyText"/>
        <w:spacing w:line="278" w:lineRule="auto" w:before="34"/>
        <w:ind w:left="2649" w:right="1094"/>
      </w:pPr>
      <w:r>
        <w:rPr/>
        <w:t>Samlet set kan resultaterne fra interview med repræsentanter for udvalgte offent- lige bygningsejere opsummeres som følger:</w:t>
      </w:r>
    </w:p>
    <w:p>
      <w:pPr>
        <w:pStyle w:val="BodyText"/>
        <w:spacing w:before="5"/>
        <w:rPr>
          <w:sz w:val="21"/>
        </w:rPr>
      </w:pPr>
    </w:p>
    <w:p>
      <w:pPr>
        <w:pStyle w:val="Heading4"/>
        <w:numPr>
          <w:ilvl w:val="3"/>
          <w:numId w:val="24"/>
        </w:numPr>
        <w:tabs>
          <w:tab w:pos="3369" w:val="left" w:leader="none"/>
          <w:tab w:pos="3370" w:val="left" w:leader="none"/>
        </w:tabs>
        <w:spacing w:line="240" w:lineRule="auto" w:before="0" w:after="0"/>
        <w:ind w:left="3369" w:right="0" w:hanging="360"/>
        <w:jc w:val="left"/>
      </w:pPr>
      <w:r>
        <w:rPr/>
        <w:t>Et ambitiøst og ressourcekrævende</w:t>
      </w:r>
      <w:r>
        <w:rPr>
          <w:spacing w:val="-6"/>
        </w:rPr>
        <w:t> </w:t>
      </w:r>
      <w:r>
        <w:rPr/>
        <w:t>projekt</w:t>
      </w:r>
    </w:p>
    <w:p>
      <w:pPr>
        <w:pStyle w:val="BodyText"/>
        <w:spacing w:line="278" w:lineRule="auto" w:before="32"/>
        <w:ind w:left="3369" w:right="1089"/>
      </w:pPr>
      <w:r>
        <w:rPr/>
        <w:t>Bygningsejerne ser positivt på udvikling af en national steddatabase, men påpeger, at det er et ambitiøst og ressourcekrævende projekt.</w:t>
      </w:r>
    </w:p>
    <w:p>
      <w:pPr>
        <w:pStyle w:val="BodyText"/>
        <w:spacing w:before="9"/>
        <w:rPr>
          <w:sz w:val="19"/>
        </w:rPr>
      </w:pPr>
    </w:p>
    <w:p>
      <w:pPr>
        <w:pStyle w:val="ListParagraph"/>
        <w:numPr>
          <w:ilvl w:val="3"/>
          <w:numId w:val="24"/>
        </w:numPr>
        <w:tabs>
          <w:tab w:pos="3369" w:val="left" w:leader="none"/>
          <w:tab w:pos="3370" w:val="left" w:leader="none"/>
        </w:tabs>
        <w:spacing w:line="278" w:lineRule="auto" w:before="1" w:after="0"/>
        <w:ind w:left="3369" w:right="1064" w:hanging="360"/>
        <w:jc w:val="left"/>
        <w:rPr>
          <w:sz w:val="17"/>
        </w:rPr>
      </w:pPr>
      <w:r>
        <w:rPr>
          <w:b/>
          <w:sz w:val="17"/>
        </w:rPr>
        <w:t>Forskellige perspektiver på steddatabasens potentiale og relevans </w:t>
      </w:r>
      <w:r>
        <w:rPr>
          <w:sz w:val="17"/>
        </w:rPr>
        <w:t>Energifaglige medarbejdere udtrykker skepsis ift. en steddatabases an- vendelsespotentiale, mens datafaglige medarbejdere ser flere muligheder, ligesom vurderingen af anvendelsesmulighederne varierer med organisati- onernes digitale</w:t>
      </w:r>
      <w:r>
        <w:rPr>
          <w:spacing w:val="-2"/>
          <w:sz w:val="17"/>
        </w:rPr>
        <w:t> </w:t>
      </w:r>
      <w:r>
        <w:rPr>
          <w:sz w:val="17"/>
        </w:rPr>
        <w:t>modenhedsniveau.</w:t>
      </w:r>
    </w:p>
    <w:p>
      <w:pPr>
        <w:pStyle w:val="BodyText"/>
        <w:spacing w:before="9"/>
        <w:rPr>
          <w:sz w:val="19"/>
        </w:rPr>
      </w:pPr>
    </w:p>
    <w:p>
      <w:pPr>
        <w:pStyle w:val="Heading4"/>
        <w:numPr>
          <w:ilvl w:val="3"/>
          <w:numId w:val="24"/>
        </w:numPr>
        <w:tabs>
          <w:tab w:pos="3369" w:val="left" w:leader="none"/>
          <w:tab w:pos="3370" w:val="left" w:leader="none"/>
        </w:tabs>
        <w:spacing w:line="240" w:lineRule="auto" w:before="0" w:after="0"/>
        <w:ind w:left="3369" w:right="0" w:hanging="360"/>
        <w:jc w:val="left"/>
      </w:pPr>
      <w:r>
        <w:rPr/>
        <w:t>Begrænset understøttelse af</w:t>
      </w:r>
      <w:r>
        <w:rPr>
          <w:spacing w:val="-7"/>
        </w:rPr>
        <w:t> </w:t>
      </w:r>
      <w:r>
        <w:rPr/>
        <w:t>energieffektivisering</w:t>
      </w:r>
    </w:p>
    <w:p>
      <w:pPr>
        <w:pStyle w:val="BodyText"/>
        <w:spacing w:line="278" w:lineRule="auto" w:before="32"/>
        <w:ind w:left="3369" w:right="1105"/>
      </w:pPr>
      <w:r>
        <w:rPr/>
        <w:t>Bygningsejerne påpeger, at energieffektivisering primært kræver valide data på bygnings- og ikke rumniveau, og vurderer derfor, at en steddata- base kun i begrænset omfang vil kunne understøtte energieffektivisering.</w:t>
      </w:r>
    </w:p>
    <w:p>
      <w:pPr>
        <w:pStyle w:val="BodyText"/>
      </w:pPr>
    </w:p>
    <w:p>
      <w:pPr>
        <w:pStyle w:val="Heading4"/>
        <w:numPr>
          <w:ilvl w:val="3"/>
          <w:numId w:val="24"/>
        </w:numPr>
        <w:tabs>
          <w:tab w:pos="3369" w:val="left" w:leader="none"/>
          <w:tab w:pos="3370" w:val="left" w:leader="none"/>
        </w:tabs>
        <w:spacing w:line="207" w:lineRule="exact" w:before="1" w:after="0"/>
        <w:ind w:left="3369" w:right="0" w:hanging="360"/>
        <w:jc w:val="left"/>
      </w:pPr>
      <w:r>
        <w:rPr/>
        <w:t>Arealoptimering og</w:t>
      </w:r>
      <w:r>
        <w:rPr>
          <w:spacing w:val="-1"/>
        </w:rPr>
        <w:t> </w:t>
      </w:r>
      <w:r>
        <w:rPr/>
        <w:t>visualisering</w:t>
      </w:r>
    </w:p>
    <w:p>
      <w:pPr>
        <w:pStyle w:val="BodyText"/>
        <w:ind w:left="3369" w:right="1178"/>
      </w:pPr>
      <w:r>
        <w:rPr/>
        <w:t>Bygningsejerne vurderer, at steddatabasens primære værdi ift. energief- fektivisering vil knytte sig til:</w:t>
      </w:r>
    </w:p>
    <w:p>
      <w:pPr>
        <w:pStyle w:val="ListParagraph"/>
        <w:numPr>
          <w:ilvl w:val="4"/>
          <w:numId w:val="24"/>
        </w:numPr>
        <w:tabs>
          <w:tab w:pos="4089" w:val="left" w:leader="none"/>
          <w:tab w:pos="4090" w:val="left" w:leader="none"/>
        </w:tabs>
        <w:spacing w:line="259" w:lineRule="auto" w:before="32" w:after="0"/>
        <w:ind w:left="4089" w:right="1118" w:hanging="360"/>
        <w:jc w:val="left"/>
        <w:rPr>
          <w:sz w:val="17"/>
        </w:rPr>
      </w:pPr>
      <w:r>
        <w:rPr>
          <w:sz w:val="17"/>
        </w:rPr>
        <w:t>Produktion af stedfæstede aktivitetsdata til understøttelse af are- aloptimering</w:t>
      </w:r>
    </w:p>
    <w:p>
      <w:pPr>
        <w:pStyle w:val="ListParagraph"/>
        <w:numPr>
          <w:ilvl w:val="4"/>
          <w:numId w:val="24"/>
        </w:numPr>
        <w:tabs>
          <w:tab w:pos="4089" w:val="left" w:leader="none"/>
          <w:tab w:pos="4090" w:val="left" w:leader="none"/>
        </w:tabs>
        <w:spacing w:line="259" w:lineRule="auto" w:before="18" w:after="0"/>
        <w:ind w:left="4089" w:right="1039" w:hanging="360"/>
        <w:jc w:val="left"/>
        <w:rPr>
          <w:sz w:val="17"/>
        </w:rPr>
      </w:pPr>
      <w:r>
        <w:rPr>
          <w:sz w:val="17"/>
        </w:rPr>
        <w:t>Produktion og visualisering af stedfæstede driftsdata til understøt- telse af driftsoptimering (overvågning, fejlfinding, service</w:t>
      </w:r>
      <w:r>
        <w:rPr>
          <w:spacing w:val="-9"/>
          <w:sz w:val="17"/>
        </w:rPr>
        <w:t> </w:t>
      </w:r>
      <w:r>
        <w:rPr>
          <w:sz w:val="17"/>
        </w:rPr>
        <w:t>m.v.)</w:t>
      </w:r>
    </w:p>
    <w:p>
      <w:pPr>
        <w:pStyle w:val="BodyText"/>
        <w:spacing w:before="6"/>
        <w:rPr>
          <w:sz w:val="18"/>
        </w:rPr>
      </w:pPr>
    </w:p>
    <w:p>
      <w:pPr>
        <w:pStyle w:val="Heading4"/>
        <w:numPr>
          <w:ilvl w:val="3"/>
          <w:numId w:val="24"/>
        </w:numPr>
        <w:tabs>
          <w:tab w:pos="3369" w:val="left" w:leader="none"/>
          <w:tab w:pos="3370" w:val="left" w:leader="none"/>
        </w:tabs>
        <w:spacing w:line="240" w:lineRule="auto" w:before="1" w:after="0"/>
        <w:ind w:left="3369" w:right="0" w:hanging="360"/>
        <w:jc w:val="left"/>
      </w:pPr>
      <w:r>
        <w:rPr/>
        <w:t>Energi er ikke et primært</w:t>
      </w:r>
      <w:r>
        <w:rPr>
          <w:spacing w:val="-11"/>
        </w:rPr>
        <w:t> </w:t>
      </w:r>
      <w:r>
        <w:rPr/>
        <w:t>anvendelsesdomæne</w:t>
      </w:r>
    </w:p>
    <w:p>
      <w:pPr>
        <w:pStyle w:val="BodyText"/>
        <w:spacing w:line="278" w:lineRule="auto" w:before="31"/>
        <w:ind w:left="3369" w:right="1092"/>
      </w:pPr>
      <w:r>
        <w:rPr/>
        <w:t>Bygningsejerne ser mere oplagte anvendelser for steddatabasen på andre områder end energi, herunder bl.a. rengøring, navigation og beredskab.</w:t>
      </w:r>
    </w:p>
    <w:p>
      <w:pPr>
        <w:pStyle w:val="BodyText"/>
        <w:spacing w:before="1"/>
      </w:pPr>
    </w:p>
    <w:p>
      <w:pPr>
        <w:pStyle w:val="Heading4"/>
        <w:numPr>
          <w:ilvl w:val="3"/>
          <w:numId w:val="24"/>
        </w:numPr>
        <w:tabs>
          <w:tab w:pos="3369" w:val="left" w:leader="none"/>
          <w:tab w:pos="3370" w:val="left" w:leader="none"/>
        </w:tabs>
        <w:spacing w:line="240" w:lineRule="auto" w:before="0" w:after="0"/>
        <w:ind w:left="3369" w:right="0" w:hanging="360"/>
        <w:jc w:val="left"/>
      </w:pPr>
      <w:r>
        <w:rPr/>
        <w:t>Fælles standarder for</w:t>
      </w:r>
      <w:r>
        <w:rPr>
          <w:spacing w:val="-6"/>
        </w:rPr>
        <w:t> </w:t>
      </w:r>
      <w:r>
        <w:rPr/>
        <w:t>data</w:t>
      </w:r>
    </w:p>
    <w:p>
      <w:pPr>
        <w:pStyle w:val="BodyText"/>
        <w:spacing w:line="278" w:lineRule="auto" w:before="32"/>
        <w:ind w:left="3369" w:right="1104"/>
      </w:pPr>
      <w:r>
        <w:rPr/>
        <w:t>Bygningsejerne efterspørger fælles standarder for dataformat og dataad- gang og ser en mulighed for, at en steddatabase kan fremme fælles, ens- artede krav til data- og systemleverandører.</w:t>
      </w:r>
    </w:p>
    <w:p>
      <w:pPr>
        <w:pStyle w:val="BodyText"/>
      </w:pPr>
    </w:p>
    <w:p>
      <w:pPr>
        <w:pStyle w:val="Heading4"/>
        <w:numPr>
          <w:ilvl w:val="3"/>
          <w:numId w:val="24"/>
        </w:numPr>
        <w:tabs>
          <w:tab w:pos="3369" w:val="left" w:leader="none"/>
          <w:tab w:pos="3370" w:val="left" w:leader="none"/>
        </w:tabs>
        <w:spacing w:line="240" w:lineRule="auto" w:before="0" w:after="0"/>
        <w:ind w:left="3369" w:right="0" w:hanging="360"/>
        <w:jc w:val="left"/>
      </w:pPr>
      <w:r>
        <w:rPr/>
        <w:t>Økonomiske</w:t>
      </w:r>
      <w:r>
        <w:rPr>
          <w:spacing w:val="-2"/>
        </w:rPr>
        <w:t> </w:t>
      </w:r>
      <w:r>
        <w:rPr/>
        <w:t>barrierer</w:t>
      </w:r>
    </w:p>
    <w:p>
      <w:pPr>
        <w:pStyle w:val="BodyText"/>
        <w:spacing w:line="278" w:lineRule="auto" w:before="32"/>
        <w:ind w:left="3369" w:right="1158"/>
      </w:pPr>
      <w:r>
        <w:rPr/>
        <w:t>Bygningsejerne vurderer, at de største barrierer for steddatabasen vil være ressourceforbrug til 1) produktion og vedligehold af stamdata til steddatabasen og 2) produktion af detaljerede energi- og driftsdata, her- under investering i målerinfrastruktur.</w:t>
      </w:r>
    </w:p>
    <w:p>
      <w:pPr>
        <w:pStyle w:val="BodyText"/>
        <w:spacing w:before="11"/>
        <w:rPr>
          <w:sz w:val="18"/>
        </w:rPr>
      </w:pPr>
    </w:p>
    <w:p>
      <w:pPr>
        <w:spacing w:before="1"/>
        <w:ind w:left="3045" w:right="1640" w:firstLine="0"/>
        <w:jc w:val="left"/>
        <w:rPr>
          <w:rFonts w:ascii="Palatino Linotype" w:hAnsi="Palatino Linotype"/>
          <w:i/>
          <w:sz w:val="19"/>
        </w:rPr>
      </w:pPr>
      <w:r>
        <w:rPr>
          <w:rFonts w:ascii="Palatino Linotype" w:hAnsi="Palatino Linotype"/>
          <w:i/>
          <w:sz w:val="19"/>
        </w:rPr>
        <w:t>Der skal være nogle, der tør tage chancen og kan se idéen i det. Og hvis det er en </w:t>
      </w:r>
      <w:r>
        <w:rPr>
          <w:rFonts w:ascii="Palatino Linotype" w:hAnsi="Palatino Linotype"/>
          <w:i/>
          <w:sz w:val="19"/>
        </w:rPr>
        <w:t>succes, så er der nok nogle, som skal følge efter.</w:t>
      </w:r>
    </w:p>
    <w:p>
      <w:pPr>
        <w:spacing w:line="255" w:lineRule="exact" w:before="0"/>
        <w:ind w:left="3045" w:right="0" w:firstLine="0"/>
        <w:jc w:val="left"/>
        <w:rPr>
          <w:rFonts w:ascii="Palatino Linotype"/>
          <w:sz w:val="19"/>
        </w:rPr>
      </w:pPr>
      <w:r>
        <w:rPr>
          <w:rFonts w:ascii="Palatino Linotype"/>
          <w:sz w:val="19"/>
        </w:rPr>
        <w:t>Ejendoms- og energimedarbejder</w:t>
      </w:r>
    </w:p>
    <w:p>
      <w:pPr>
        <w:pStyle w:val="BodyText"/>
        <w:spacing w:before="10"/>
        <w:rPr>
          <w:rFonts w:ascii="Palatino Linotype"/>
        </w:rPr>
      </w:pPr>
    </w:p>
    <w:p>
      <w:pPr>
        <w:spacing w:before="1"/>
        <w:ind w:left="3045" w:right="1353" w:firstLine="0"/>
        <w:jc w:val="left"/>
        <w:rPr>
          <w:rFonts w:ascii="Palatino Linotype" w:hAnsi="Palatino Linotype"/>
          <w:i/>
          <w:sz w:val="19"/>
        </w:rPr>
      </w:pPr>
      <w:r>
        <w:rPr>
          <w:rFonts w:ascii="Palatino Linotype" w:hAnsi="Palatino Linotype"/>
          <w:i/>
          <w:sz w:val="19"/>
        </w:rPr>
        <w:t>Det er fantastisk at få det GIS-relateret på bygningsdelen, det vil vi sætte stor pris </w:t>
      </w:r>
      <w:r>
        <w:rPr>
          <w:rFonts w:ascii="Palatino Linotype" w:hAnsi="Palatino Linotype"/>
          <w:i/>
          <w:sz w:val="19"/>
        </w:rPr>
        <w:t>på. Det skal gøres ordenligt fra starten af, så der kun er enkelte registre der skal ajourføres. Hvis der er en eneste, der begynder at sige, at der skal laves et ekstra re- gister, så dør det.</w:t>
      </w:r>
    </w:p>
    <w:p>
      <w:pPr>
        <w:spacing w:line="256" w:lineRule="exact" w:before="0"/>
        <w:ind w:left="3045" w:right="0" w:firstLine="0"/>
        <w:jc w:val="left"/>
        <w:rPr>
          <w:rFonts w:ascii="Palatino Linotype"/>
          <w:sz w:val="19"/>
        </w:rPr>
      </w:pPr>
      <w:r>
        <w:rPr>
          <w:rFonts w:ascii="Palatino Linotype"/>
          <w:sz w:val="19"/>
        </w:rPr>
        <w:t>Chef</w:t>
      </w:r>
    </w:p>
    <w:p>
      <w:pPr>
        <w:pStyle w:val="BodyText"/>
        <w:spacing w:before="11"/>
        <w:rPr>
          <w:rFonts w:ascii="Palatino Linotype"/>
        </w:rPr>
      </w:pPr>
    </w:p>
    <w:p>
      <w:pPr>
        <w:spacing w:before="0"/>
        <w:ind w:left="3045" w:right="1484" w:firstLine="0"/>
        <w:jc w:val="left"/>
        <w:rPr>
          <w:rFonts w:ascii="Palatino Linotype" w:hAnsi="Palatino Linotype"/>
          <w:i/>
          <w:sz w:val="19"/>
        </w:rPr>
      </w:pPr>
      <w:r>
        <w:rPr>
          <w:rFonts w:ascii="Palatino Linotype" w:hAnsi="Palatino Linotype"/>
          <w:i/>
          <w:sz w:val="19"/>
        </w:rPr>
        <w:t>[Der er] helt sikkert potentiale, med så meget data på hvert rum, men man skal </w:t>
      </w:r>
      <w:r>
        <w:rPr>
          <w:rFonts w:ascii="Palatino Linotype" w:hAnsi="Palatino Linotype"/>
          <w:i/>
          <w:sz w:val="19"/>
        </w:rPr>
        <w:t>vide hvad man kan gøre med det. Der skal være et eller andet mål. Men det er også ambitiøst. Men det skal det selvfølgelig også være.</w:t>
      </w:r>
    </w:p>
    <w:p>
      <w:pPr>
        <w:spacing w:before="2"/>
        <w:ind w:left="3045" w:right="0" w:firstLine="0"/>
        <w:jc w:val="left"/>
        <w:rPr>
          <w:rFonts w:ascii="Palatino Linotype"/>
          <w:sz w:val="19"/>
        </w:rPr>
      </w:pPr>
      <w:r>
        <w:rPr>
          <w:rFonts w:ascii="Palatino Linotype"/>
          <w:sz w:val="19"/>
        </w:rPr>
        <w:t>Energimedarbejder</w:t>
      </w:r>
    </w:p>
    <w:p>
      <w:pPr>
        <w:spacing w:after="0"/>
        <w:jc w:val="left"/>
        <w:rPr>
          <w:rFonts w:ascii="Palatino Linotype"/>
          <w:sz w:val="19"/>
        </w:rPr>
        <w:sectPr>
          <w:type w:val="continuous"/>
          <w:pgSz w:w="11910" w:h="16840"/>
          <w:pgMar w:top="1580" w:bottom="280" w:left="980" w:right="10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639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2"/>
        </w:rPr>
      </w:pPr>
    </w:p>
    <w:p>
      <w:pPr>
        <w:pStyle w:val="Heading2"/>
        <w:numPr>
          <w:ilvl w:val="1"/>
          <w:numId w:val="24"/>
        </w:numPr>
        <w:tabs>
          <w:tab w:pos="2649" w:val="left" w:leader="none"/>
          <w:tab w:pos="2650" w:val="left" w:leader="none"/>
        </w:tabs>
        <w:spacing w:line="240" w:lineRule="auto" w:before="100" w:after="0"/>
        <w:ind w:left="2649" w:right="0" w:hanging="655"/>
        <w:jc w:val="left"/>
      </w:pPr>
      <w:bookmarkStart w:name="_bookmark88" w:id="89"/>
      <w:bookmarkEnd w:id="89"/>
      <w:r>
        <w:rPr/>
        <w:t>I</w:t>
      </w:r>
      <w:r>
        <w:rPr/>
        <w:t>nterview med</w:t>
      </w:r>
      <w:r>
        <w:rPr>
          <w:spacing w:val="-2"/>
        </w:rPr>
        <w:t> </w:t>
      </w:r>
      <w:r>
        <w:rPr/>
        <w:t>tredjepartsaktører</w:t>
      </w:r>
    </w:p>
    <w:p>
      <w:pPr>
        <w:pStyle w:val="BodyText"/>
        <w:spacing w:line="278" w:lineRule="auto" w:before="35"/>
        <w:ind w:left="2649" w:right="1038"/>
      </w:pPr>
      <w:r>
        <w:rPr/>
        <w:t>Der er gennemført fem interviews med tredjepartsaktører, herunder fire interview med leverandører af softwaresystemer til drift, styring og energieffektivisering på ejendomsområdet</w:t>
      </w:r>
      <w:r>
        <w:rPr>
          <w:position w:val="6"/>
          <w:sz w:val="11"/>
        </w:rPr>
        <w:t>23 </w:t>
      </w:r>
      <w:r>
        <w:rPr/>
        <w:t>og et interview med en rådgiver med speciale i udvikling af di- gitale koncepter og energiløsninger. Herunder præsenteres de overordnede resul- tater fra analysen. Interviewresultaterne uddybes og dokumenteres i </w:t>
      </w:r>
      <w:hyperlink w:history="true" w:anchor="_bookmark123">
        <w:r>
          <w:rPr/>
          <w:t>”Appendix 8:</w:t>
        </w:r>
      </w:hyperlink>
      <w:r>
        <w:rPr/>
        <w:t> </w:t>
      </w:r>
      <w:hyperlink w:history="true" w:anchor="_bookmark123">
        <w:r>
          <w:rPr/>
          <w:t>Uddybende resultater fra interview med tredjepartsaktører</w:t>
        </w:r>
      </w:hyperlink>
      <w:r>
        <w:rPr/>
        <w:t>”.</w:t>
      </w:r>
    </w:p>
    <w:p>
      <w:pPr>
        <w:pStyle w:val="BodyText"/>
        <w:spacing w:before="9"/>
        <w:rPr>
          <w:sz w:val="21"/>
        </w:rPr>
      </w:pPr>
    </w:p>
    <w:p>
      <w:pPr>
        <w:pStyle w:val="BodyText"/>
        <w:spacing w:line="278" w:lineRule="auto"/>
        <w:ind w:left="2649" w:right="1104"/>
      </w:pPr>
      <w:r>
        <w:rPr/>
        <w:t>Interviewene viser, at tredjepartsaktørerne – om end i varierende grad – kan se meningen med og relevansen af en national infrastruktur for indendørs geografi. De er interesserede i projektet, ser en vis synergi med deres egne ydelser og vur- derer, at en steddatabase i moderat omfang vil kunne understøtte deres ydelser på markedet. Tredjepartsaktørerne oplever ikke et aktuelt behov fra deres kunder ift. de datamuligheder, som steddatabasen vil give, men de forventer, at dette vil komme i fremtiden.</w:t>
      </w:r>
    </w:p>
    <w:p>
      <w:pPr>
        <w:pStyle w:val="BodyText"/>
        <w:spacing w:before="10"/>
        <w:rPr>
          <w:sz w:val="18"/>
        </w:rPr>
      </w:pPr>
    </w:p>
    <w:p>
      <w:pPr>
        <w:spacing w:before="0"/>
        <w:ind w:left="3045" w:right="1471" w:firstLine="0"/>
        <w:jc w:val="left"/>
        <w:rPr>
          <w:rFonts w:ascii="Palatino Linotype" w:hAnsi="Palatino Linotype"/>
          <w:i/>
          <w:sz w:val="19"/>
        </w:rPr>
      </w:pPr>
      <w:r>
        <w:rPr>
          <w:rFonts w:ascii="Palatino Linotype" w:hAnsi="Palatino Linotype"/>
          <w:i/>
          <w:sz w:val="19"/>
        </w:rPr>
        <w:t>Det er nok ikke lige i morgen, vi har glæde af det. [… Men] jeg er ret sikker på, at </w:t>
      </w:r>
      <w:r>
        <w:rPr>
          <w:rFonts w:ascii="Palatino Linotype" w:hAnsi="Palatino Linotype"/>
          <w:i/>
          <w:sz w:val="19"/>
        </w:rPr>
        <w:t>det her kommer i fremtiden, og det giver også værdi. Men det er ikke noget, vores kunder efterspørger i dag. Det er nogle tanker og ting, der vil kunne give værdi om 5-10 år.</w:t>
      </w:r>
    </w:p>
    <w:p>
      <w:pPr>
        <w:spacing w:line="256" w:lineRule="exact"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059"/>
      </w:pPr>
      <w:r>
        <w:rPr/>
        <w:t>De anser energieffektivisering som et begrænset anvendelsesdomæne og ser større potentiale i forhold til domæner, som eksempelvis navigation og facility ma- nagement.</w:t>
      </w:r>
    </w:p>
    <w:p>
      <w:pPr>
        <w:pStyle w:val="BodyText"/>
        <w:spacing w:before="8"/>
        <w:rPr>
          <w:sz w:val="21"/>
        </w:rPr>
      </w:pPr>
    </w:p>
    <w:p>
      <w:pPr>
        <w:pStyle w:val="ListParagraph"/>
        <w:numPr>
          <w:ilvl w:val="2"/>
          <w:numId w:val="24"/>
        </w:numPr>
        <w:tabs>
          <w:tab w:pos="2649" w:val="left" w:leader="none"/>
          <w:tab w:pos="2650" w:val="left" w:leader="none"/>
        </w:tabs>
        <w:spacing w:line="240" w:lineRule="auto" w:before="1" w:after="0"/>
        <w:ind w:left="2649" w:right="0" w:hanging="799"/>
        <w:jc w:val="left"/>
        <w:rPr>
          <w:b/>
          <w:sz w:val="20"/>
        </w:rPr>
      </w:pPr>
      <w:bookmarkStart w:name="_bookmark89" w:id="90"/>
      <w:bookmarkEnd w:id="90"/>
      <w:r>
        <w:rPr>
          <w:b/>
          <w:sz w:val="20"/>
        </w:rPr>
        <w:t>Hovedkon</w:t>
      </w:r>
      <w:r>
        <w:rPr>
          <w:b/>
          <w:sz w:val="20"/>
        </w:rPr>
        <w:t>klusioner – tredjepartsaktørernes</w:t>
      </w:r>
      <w:r>
        <w:rPr>
          <w:b/>
          <w:spacing w:val="-1"/>
          <w:sz w:val="20"/>
        </w:rPr>
        <w:t> </w:t>
      </w:r>
      <w:r>
        <w:rPr>
          <w:b/>
          <w:sz w:val="20"/>
        </w:rPr>
        <w:t>perspektiv</w:t>
      </w:r>
    </w:p>
    <w:p>
      <w:pPr>
        <w:pStyle w:val="BodyText"/>
        <w:spacing w:line="278" w:lineRule="auto" w:before="34"/>
        <w:ind w:left="2649" w:right="1158"/>
      </w:pPr>
      <w:r>
        <w:rPr/>
        <w:t>Samlet set kan resultaterne fra interviews med repræsentanter for udvalgte tred- jepartsaktører opsummeres som følger:</w:t>
      </w:r>
    </w:p>
    <w:p>
      <w:pPr>
        <w:pStyle w:val="BodyText"/>
        <w:spacing w:before="4"/>
        <w:rPr>
          <w:sz w:val="21"/>
        </w:rPr>
      </w:pPr>
    </w:p>
    <w:p>
      <w:pPr>
        <w:pStyle w:val="Heading4"/>
        <w:numPr>
          <w:ilvl w:val="0"/>
          <w:numId w:val="25"/>
        </w:numPr>
        <w:tabs>
          <w:tab w:pos="3009" w:val="left" w:leader="none"/>
          <w:tab w:pos="3010" w:val="left" w:leader="none"/>
        </w:tabs>
        <w:spacing w:line="207" w:lineRule="exact" w:before="1" w:after="0"/>
        <w:ind w:left="3009" w:right="0" w:hanging="360"/>
        <w:jc w:val="left"/>
      </w:pPr>
      <w:r>
        <w:rPr/>
        <w:t>Interesse og</w:t>
      </w:r>
      <w:r>
        <w:rPr>
          <w:spacing w:val="-3"/>
        </w:rPr>
        <w:t> </w:t>
      </w:r>
      <w:r>
        <w:rPr/>
        <w:t>opbakning</w:t>
      </w:r>
    </w:p>
    <w:p>
      <w:pPr>
        <w:pStyle w:val="BodyText"/>
        <w:spacing w:line="276" w:lineRule="auto"/>
        <w:ind w:left="3009" w:right="1046"/>
      </w:pPr>
      <w:r>
        <w:rPr/>
        <w:t>Tredjepartsaktørerne finder tanken om at udvikle en national datainfrastruktur for indendørs geografi interessant og perspektivrig. Holdningen til projektets relevans og potentiale varierer fra moderat skepsis til begejstring. Flere ud- trykker opbakning til projektet, og alle udtrykker interesse for at følge med i den videre udvikling.</w:t>
      </w:r>
    </w:p>
    <w:p>
      <w:pPr>
        <w:pStyle w:val="BodyText"/>
        <w:spacing w:before="6"/>
        <w:rPr>
          <w:sz w:val="22"/>
        </w:rPr>
      </w:pPr>
    </w:p>
    <w:p>
      <w:pPr>
        <w:pStyle w:val="Heading4"/>
        <w:numPr>
          <w:ilvl w:val="0"/>
          <w:numId w:val="25"/>
        </w:numPr>
        <w:tabs>
          <w:tab w:pos="3009" w:val="left" w:leader="none"/>
          <w:tab w:pos="3010" w:val="left" w:leader="none"/>
        </w:tabs>
        <w:spacing w:line="207" w:lineRule="exact" w:before="0" w:after="0"/>
        <w:ind w:left="3009" w:right="0" w:hanging="360"/>
        <w:jc w:val="left"/>
      </w:pPr>
      <w:r>
        <w:rPr/>
        <w:t>Indirekte understøttelse af</w:t>
      </w:r>
      <w:r>
        <w:rPr>
          <w:spacing w:val="-6"/>
        </w:rPr>
        <w:t> </w:t>
      </w:r>
      <w:r>
        <w:rPr/>
        <w:t>energieffektivisering</w:t>
      </w:r>
    </w:p>
    <w:p>
      <w:pPr>
        <w:pStyle w:val="BodyText"/>
        <w:spacing w:line="276" w:lineRule="auto"/>
        <w:ind w:left="3009" w:right="1085"/>
      </w:pPr>
      <w:r>
        <w:rPr/>
        <w:t>Flere aktører vurderer, at en steddatabase vil understøtte datadrevet byg- ningsdrift og derigennem indirekte – og i begrænset omfang – energieffektivi- sering. De påpeger, at en steddatabase og datainfrastruktur vil kunne under- støtte produktion, kombinering, analyse, lagring og genbrug af data samt mere effektiv drift via præcis lokalisering af installationer, lækager mv. Der er dog enighed om, at de energibesparelser, en steddatabase vil kunne medføre, ikke i sig selv er nok til at berettige de fornødne investeringer i projektet.</w:t>
      </w:r>
    </w:p>
    <w:p>
      <w:pPr>
        <w:pStyle w:val="BodyText"/>
        <w:spacing w:before="9"/>
        <w:rPr>
          <w:sz w:val="19"/>
        </w:rPr>
      </w:pPr>
    </w:p>
    <w:p>
      <w:pPr>
        <w:pStyle w:val="Heading4"/>
        <w:numPr>
          <w:ilvl w:val="0"/>
          <w:numId w:val="25"/>
        </w:numPr>
        <w:tabs>
          <w:tab w:pos="3009" w:val="left" w:leader="none"/>
          <w:tab w:pos="3010" w:val="left" w:leader="none"/>
        </w:tabs>
        <w:spacing w:line="240" w:lineRule="auto" w:before="0" w:after="0"/>
        <w:ind w:left="3009" w:right="0" w:hanging="360"/>
        <w:jc w:val="left"/>
      </w:pPr>
      <w:r>
        <w:rPr/>
        <w:t>Moderat</w:t>
      </w:r>
      <w:r>
        <w:rPr>
          <w:spacing w:val="-3"/>
        </w:rPr>
        <w:t> </w:t>
      </w:r>
      <w:r>
        <w:rPr/>
        <w:t>forretningspotentiale</w:t>
      </w:r>
    </w:p>
    <w:p>
      <w:pPr>
        <w:pStyle w:val="BodyText"/>
        <w:spacing w:line="278" w:lineRule="auto" w:before="34"/>
        <w:ind w:left="3009" w:right="1039"/>
      </w:pPr>
      <w:r>
        <w:rPr/>
        <w:t>Flere aktører ser gode synergi mellem de dataydelser og –services, de leverer til deres kunder, og de datamuligheder en national steddatabase vil give. Især leverandører af software, hvis anvendelse rækker ud over energiområdet, som fx FM-systemer, vurderer, at realiseringen af en national steddatabase vil rumme et moderat forretningspotentiale ift. deres ydelser.</w:t>
      </w:r>
    </w:p>
    <w:p>
      <w:pPr>
        <w:pStyle w:val="BodyText"/>
        <w:spacing w:before="1"/>
        <w:rPr>
          <w:sz w:val="19"/>
        </w:rPr>
      </w:pPr>
      <w:r>
        <w:rPr/>
        <w:pict>
          <v:line style="position:absolute;mso-position-horizontal-relative:page;mso-position-vertical-relative:paragraph;z-index:4208;mso-wrap-distance-left:0;mso-wrap-distance-right:0" from="181.490005pt,13.810455pt" to="325.510005pt,13.810455pt" stroked="true" strokeweight=".47998pt" strokecolor="#000000">
            <v:stroke dashstyle="solid"/>
            <w10:wrap type="topAndBottom"/>
          </v:line>
        </w:pict>
      </w:r>
    </w:p>
    <w:p>
      <w:pPr>
        <w:pStyle w:val="BodyText"/>
        <w:spacing w:before="4"/>
      </w:pPr>
    </w:p>
    <w:p>
      <w:pPr>
        <w:spacing w:before="101"/>
        <w:ind w:left="2649" w:right="0" w:firstLine="0"/>
        <w:jc w:val="left"/>
        <w:rPr>
          <w:sz w:val="15"/>
        </w:rPr>
      </w:pPr>
      <w:r>
        <w:rPr>
          <w:position w:val="5"/>
          <w:sz w:val="10"/>
        </w:rPr>
        <w:t>23 </w:t>
      </w:r>
      <w:r>
        <w:rPr>
          <w:sz w:val="15"/>
        </w:rPr>
        <w:t>Systemerne retter sig bl.a. mod </w:t>
      </w:r>
      <w:r>
        <w:rPr>
          <w:i/>
          <w:sz w:val="15"/>
        </w:rPr>
        <w:t>facility management </w:t>
      </w:r>
      <w:r>
        <w:rPr>
          <w:sz w:val="15"/>
        </w:rPr>
        <w:t>(FM), </w:t>
      </w:r>
      <w:r>
        <w:rPr>
          <w:i/>
          <w:sz w:val="15"/>
        </w:rPr>
        <w:t>energy management </w:t>
      </w:r>
      <w:r>
        <w:rPr>
          <w:sz w:val="15"/>
        </w:rPr>
        <w:t>(EMS) og</w:t>
      </w:r>
    </w:p>
    <w:p>
      <w:pPr>
        <w:spacing w:before="0"/>
        <w:ind w:left="2649" w:right="0" w:firstLine="0"/>
        <w:jc w:val="left"/>
        <w:rPr>
          <w:sz w:val="15"/>
        </w:rPr>
      </w:pPr>
      <w:r>
        <w:rPr>
          <w:i/>
          <w:sz w:val="15"/>
        </w:rPr>
        <w:t>open metering </w:t>
      </w:r>
      <w:r>
        <w:rPr>
          <w:sz w:val="15"/>
        </w:rPr>
        <w:t>(OMS).</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26"/>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629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rPr>
          <w:sz w:val="20"/>
        </w:rPr>
      </w:pPr>
    </w:p>
    <w:p>
      <w:pPr>
        <w:pStyle w:val="BodyText"/>
        <w:spacing w:before="11"/>
        <w:rPr>
          <w:sz w:val="19"/>
        </w:rPr>
      </w:pPr>
    </w:p>
    <w:p>
      <w:pPr>
        <w:pStyle w:val="ListParagraph"/>
        <w:numPr>
          <w:ilvl w:val="1"/>
          <w:numId w:val="26"/>
        </w:numPr>
        <w:tabs>
          <w:tab w:pos="3009" w:val="left" w:leader="none"/>
          <w:tab w:pos="3010" w:val="left" w:leader="none"/>
        </w:tabs>
        <w:spacing w:line="278" w:lineRule="auto" w:before="101" w:after="0"/>
        <w:ind w:left="3009" w:right="1113" w:hanging="360"/>
        <w:jc w:val="left"/>
        <w:rPr>
          <w:sz w:val="17"/>
        </w:rPr>
      </w:pPr>
      <w:r>
        <w:rPr>
          <w:b/>
          <w:sz w:val="17"/>
        </w:rPr>
        <w:t>Svagt aktuelt behov, men forventning om fremtidig efterspørgsel </w:t>
      </w:r>
      <w:r>
        <w:rPr>
          <w:sz w:val="17"/>
        </w:rPr>
        <w:t>Flere aktører påpeger, at kun få af deres kunder på nuværende tidspunkt ville være klar til at udnytte de muligheder en national steddatabase giver. Mange bygningsejere mangler stadig at få overblik over grundlæggende energi- og bygningsdata og at realisere oplagte energibesparelser. Men flere af de inter- viewede forventer, at der på sigt vil blive efterspørgsel efter de datamulighe- der en steddatabase</w:t>
      </w:r>
      <w:r>
        <w:rPr>
          <w:spacing w:val="-3"/>
          <w:sz w:val="17"/>
        </w:rPr>
        <w:t> </w:t>
      </w:r>
      <w:r>
        <w:rPr>
          <w:sz w:val="17"/>
        </w:rPr>
        <w:t>rummer.</w:t>
      </w:r>
    </w:p>
    <w:p>
      <w:pPr>
        <w:pStyle w:val="BodyText"/>
        <w:spacing w:before="2"/>
      </w:pPr>
    </w:p>
    <w:p>
      <w:pPr>
        <w:pStyle w:val="Heading4"/>
        <w:numPr>
          <w:ilvl w:val="1"/>
          <w:numId w:val="26"/>
        </w:numPr>
        <w:tabs>
          <w:tab w:pos="3009" w:val="left" w:leader="none"/>
          <w:tab w:pos="3010" w:val="left" w:leader="none"/>
        </w:tabs>
        <w:spacing w:line="240" w:lineRule="auto" w:before="0" w:after="0"/>
        <w:ind w:left="3009" w:right="0" w:hanging="360"/>
        <w:jc w:val="left"/>
      </w:pPr>
      <w:r>
        <w:rPr/>
        <w:t>Værdi på tværs af</w:t>
      </w:r>
      <w:r>
        <w:rPr>
          <w:spacing w:val="-5"/>
        </w:rPr>
        <w:t> </w:t>
      </w:r>
      <w:r>
        <w:rPr/>
        <w:t>anvendelsesdomæner</w:t>
      </w:r>
    </w:p>
    <w:p>
      <w:pPr>
        <w:pStyle w:val="BodyText"/>
        <w:spacing w:line="278" w:lineRule="auto" w:before="33"/>
        <w:ind w:left="3009" w:right="1024"/>
      </w:pPr>
      <w:r>
        <w:rPr/>
        <w:t>Betragtet på tværs af anvendelsesdomæner (fx energi, drift, vedligehold, na- vigation og logistik) vurderer mange af aktørerne, at projektet kan blive vær- diskabende på sigt. I den forbindelse påpeger aktørerne, at det er yderst van- skelig at forudse brugsværdien af datasæt og datainfrastrukturer, der endnu ikke findes. Flere har dog en klar forventning om, at data vil kunne skabe værdi på mange og uforudsigelige måder i fremtiden, og mener derfor, at det er meningsfuldt at skabe et solidt grundlag for nye typer af data. Desuden ser leverandørerne ikke at en indendørs datainfrastruktur konflikter med deres ek- sisterende forretning, men nærmere kan supplere denne.</w:t>
      </w:r>
    </w:p>
    <w:p>
      <w:pPr>
        <w:pStyle w:val="BodyText"/>
        <w:spacing w:before="11"/>
        <w:rPr>
          <w:sz w:val="18"/>
        </w:rPr>
      </w:pPr>
    </w:p>
    <w:p>
      <w:pPr>
        <w:spacing w:before="0"/>
        <w:ind w:left="3045" w:right="1461" w:firstLine="0"/>
        <w:jc w:val="both"/>
        <w:rPr>
          <w:rFonts w:ascii="Palatino Linotype" w:hAnsi="Palatino Linotype"/>
          <w:i/>
          <w:sz w:val="19"/>
        </w:rPr>
      </w:pPr>
      <w:r>
        <w:rPr>
          <w:rFonts w:ascii="Palatino Linotype" w:hAnsi="Palatino Linotype"/>
          <w:i/>
          <w:sz w:val="19"/>
        </w:rPr>
        <w:t>Det [steddatabasen] ville give vores kunder en hurtigere start, i opstartsfasen, hvis </w:t>
      </w:r>
      <w:r>
        <w:rPr>
          <w:rFonts w:ascii="Palatino Linotype" w:hAnsi="Palatino Linotype"/>
          <w:i/>
          <w:sz w:val="19"/>
        </w:rPr>
        <w:t>de begynder at bruge [vores system], og i et samfundsøkonomiske perspektiv vil</w:t>
      </w:r>
      <w:r>
        <w:rPr>
          <w:rFonts w:ascii="Palatino Linotype" w:hAnsi="Palatino Linotype"/>
          <w:i/>
          <w:spacing w:val="-35"/>
          <w:sz w:val="19"/>
        </w:rPr>
        <w:t> </w:t>
      </w:r>
      <w:r>
        <w:rPr>
          <w:rFonts w:ascii="Palatino Linotype" w:hAnsi="Palatino Linotype"/>
          <w:i/>
          <w:sz w:val="19"/>
        </w:rPr>
        <w:t>det være at bibeholde data, holde stamdata i</w:t>
      </w:r>
      <w:r>
        <w:rPr>
          <w:rFonts w:ascii="Palatino Linotype" w:hAnsi="Palatino Linotype"/>
          <w:i/>
          <w:spacing w:val="-8"/>
          <w:sz w:val="19"/>
        </w:rPr>
        <w:t> </w:t>
      </w:r>
      <w:r>
        <w:rPr>
          <w:rFonts w:ascii="Palatino Linotype" w:hAnsi="Palatino Linotype"/>
          <w:i/>
          <w:sz w:val="19"/>
        </w:rPr>
        <w:t>live.</w:t>
      </w:r>
    </w:p>
    <w:p>
      <w:pPr>
        <w:spacing w:before="1"/>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9"/>
        <w:rPr>
          <w:rFonts w:ascii="Palatino Linotype"/>
        </w:rPr>
      </w:pPr>
    </w:p>
    <w:p>
      <w:pPr>
        <w:spacing w:before="0"/>
        <w:ind w:left="3045" w:right="0" w:firstLine="0"/>
        <w:jc w:val="left"/>
        <w:rPr>
          <w:rFonts w:ascii="Palatino Linotype"/>
          <w:i/>
          <w:sz w:val="19"/>
        </w:rPr>
      </w:pPr>
      <w:r>
        <w:rPr>
          <w:rFonts w:ascii="Palatino Linotype"/>
          <w:i/>
          <w:sz w:val="19"/>
        </w:rPr>
        <w:t>Helt overordnet for kommuner er det for detaljeret [i forhold til energi].</w:t>
      </w:r>
    </w:p>
    <w:p>
      <w:pPr>
        <w:spacing w:before="1"/>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11"/>
        <w:rPr>
          <w:rFonts w:ascii="Palatino Linotype"/>
        </w:rPr>
      </w:pPr>
    </w:p>
    <w:p>
      <w:pPr>
        <w:spacing w:before="0"/>
        <w:ind w:left="3045" w:right="1468" w:firstLine="0"/>
        <w:jc w:val="left"/>
        <w:rPr>
          <w:rFonts w:ascii="Palatino Linotype" w:hAnsi="Palatino Linotype"/>
          <w:i/>
          <w:sz w:val="19"/>
        </w:rPr>
      </w:pPr>
      <w:r>
        <w:rPr>
          <w:rFonts w:ascii="Palatino Linotype" w:hAnsi="Palatino Linotype"/>
          <w:i/>
          <w:sz w:val="19"/>
        </w:rPr>
        <w:t>Der vil helt givet være noget – det er enormt svært, når man udvikler en ny tekno- </w:t>
      </w:r>
      <w:r>
        <w:rPr>
          <w:rFonts w:ascii="Palatino Linotype" w:hAnsi="Palatino Linotype"/>
          <w:i/>
          <w:sz w:val="19"/>
        </w:rPr>
        <w:t>logi eller et nyt datasæt, man kan altid udvikle scenarier og drømmen – men de største [gevinster] er altid noget der kommer bagefter. Det er det.</w:t>
      </w:r>
    </w:p>
    <w:p>
      <w:pPr>
        <w:spacing w:before="1"/>
        <w:ind w:left="3045" w:right="0" w:firstLine="0"/>
        <w:jc w:val="left"/>
        <w:rPr>
          <w:rFonts w:ascii="Palatino Linotype" w:hAnsi="Palatino Linotype"/>
          <w:sz w:val="19"/>
        </w:rPr>
      </w:pPr>
      <w:r>
        <w:rPr>
          <w:rFonts w:ascii="Palatino Linotype" w:hAnsi="Palatino Linotype"/>
          <w:sz w:val="19"/>
        </w:rPr>
        <w:t>Rådgiver inden for energi</w:t>
      </w:r>
    </w:p>
    <w:p>
      <w:pPr>
        <w:pStyle w:val="BodyText"/>
        <w:spacing w:before="9"/>
        <w:rPr>
          <w:rFonts w:ascii="Palatino Linotype"/>
        </w:rPr>
      </w:pPr>
    </w:p>
    <w:p>
      <w:pPr>
        <w:spacing w:before="0"/>
        <w:ind w:left="3045" w:right="1426" w:firstLine="0"/>
        <w:jc w:val="left"/>
        <w:rPr>
          <w:rFonts w:ascii="Palatino Linotype" w:hAnsi="Palatino Linotype"/>
          <w:i/>
          <w:sz w:val="19"/>
        </w:rPr>
      </w:pPr>
      <w:r>
        <w:rPr>
          <w:rFonts w:ascii="Palatino Linotype" w:hAnsi="Palatino Linotype"/>
          <w:i/>
          <w:sz w:val="19"/>
        </w:rPr>
        <w:t>Jeg må indrømme, at jeg tænker, om det er lidt for over-engineered ift. de problemer </w:t>
      </w:r>
      <w:r>
        <w:rPr>
          <w:rFonts w:ascii="Palatino Linotype" w:hAnsi="Palatino Linotype"/>
          <w:i/>
          <w:sz w:val="19"/>
        </w:rPr>
        <w:t>der er med opsamling af data. […] Jeg tænker lidt med det her, starter man for tid- ligt, er der ikke andre problemer der skal løses først? Jeg synes, det er fedt at sidde og kunne placere målere og se hvilke arealer, de her bi-målere dækker. Det har vi snakket om i al den tid, jeg har været ansat her. Men i dagligdagen er der andre problemstillinger, der skal løses først. Men der er gode perspektiver i det. Det er ikke lige i morgen det bliver efterspurgt, men jeg er ikke i tvivl om at det kommer, vil jeg sige.</w:t>
      </w:r>
    </w:p>
    <w:p>
      <w:pPr>
        <w:spacing w:before="2"/>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2"/>
        <w:rPr>
          <w:rFonts w:ascii="Palatino Linotype"/>
          <w:sz w:val="21"/>
        </w:rPr>
      </w:pPr>
    </w:p>
    <w:p>
      <w:pPr>
        <w:tabs>
          <w:tab w:pos="2649" w:val="left" w:leader="none"/>
        </w:tabs>
        <w:spacing w:line="261" w:lineRule="auto" w:before="0"/>
        <w:ind w:left="2649" w:right="1169" w:hanging="656"/>
        <w:jc w:val="left"/>
        <w:rPr>
          <w:b/>
          <w:sz w:val="24"/>
        </w:rPr>
      </w:pPr>
      <w:r>
        <w:rPr>
          <w:b/>
          <w:sz w:val="24"/>
        </w:rPr>
        <w:t>6.3</w:t>
        <w:tab/>
      </w:r>
      <w:bookmarkStart w:name="_bookmark90" w:id="91"/>
      <w:bookmarkEnd w:id="91"/>
      <w:r>
        <w:rPr>
          <w:b/>
          <w:sz w:val="24"/>
        </w:rPr>
        <w:t>F</w:t>
      </w:r>
      <w:r>
        <w:rPr>
          <w:b/>
          <w:sz w:val="24"/>
        </w:rPr>
        <w:t>orskelle og sammenfald mellem bygningsejeres og tredjepartsaktørers</w:t>
      </w:r>
      <w:r>
        <w:rPr>
          <w:b/>
          <w:spacing w:val="-2"/>
          <w:sz w:val="24"/>
        </w:rPr>
        <w:t> </w:t>
      </w:r>
      <w:r>
        <w:rPr>
          <w:b/>
          <w:sz w:val="24"/>
        </w:rPr>
        <w:t>perspektiv</w:t>
      </w:r>
    </w:p>
    <w:p>
      <w:pPr>
        <w:pStyle w:val="BodyText"/>
        <w:spacing w:line="278" w:lineRule="auto" w:before="13"/>
        <w:ind w:left="2649" w:right="1031"/>
      </w:pPr>
      <w:r>
        <w:rPr/>
        <w:t>Der ses en række forskelle og en række sammenfald mellem de interviewede of- fentlige bygningsejere og de interviewede tredjepartsaktørers perspektiv på en na- tional indendørs steddatabase.</w:t>
      </w:r>
    </w:p>
    <w:p>
      <w:pPr>
        <w:pStyle w:val="BodyText"/>
        <w:spacing w:before="8"/>
        <w:rPr>
          <w:sz w:val="21"/>
        </w:rPr>
      </w:pPr>
    </w:p>
    <w:p>
      <w:pPr>
        <w:pStyle w:val="Heading3"/>
        <w:numPr>
          <w:ilvl w:val="2"/>
          <w:numId w:val="27"/>
        </w:numPr>
        <w:tabs>
          <w:tab w:pos="2649" w:val="left" w:leader="none"/>
          <w:tab w:pos="2650" w:val="left" w:leader="none"/>
        </w:tabs>
        <w:spacing w:line="240" w:lineRule="auto" w:before="0" w:after="0"/>
        <w:ind w:left="2649" w:right="0" w:hanging="799"/>
        <w:jc w:val="left"/>
      </w:pPr>
      <w:bookmarkStart w:name="_bookmark91" w:id="92"/>
      <w:bookmarkEnd w:id="92"/>
      <w:r>
        <w:rPr/>
        <w:t>For</w:t>
      </w:r>
      <w:r>
        <w:rPr/>
        <w:t>skellige</w:t>
      </w:r>
      <w:r>
        <w:rPr>
          <w:spacing w:val="-3"/>
        </w:rPr>
        <w:t> </w:t>
      </w:r>
      <w:r>
        <w:rPr/>
        <w:t>perspektiver</w:t>
      </w:r>
    </w:p>
    <w:p>
      <w:pPr>
        <w:pStyle w:val="BodyText"/>
        <w:spacing w:line="278" w:lineRule="auto" w:before="34"/>
        <w:ind w:left="2649" w:right="1084"/>
      </w:pPr>
      <w:r>
        <w:rPr/>
        <w:t>Generelt er tredjepartsaktørerne mere interesserede og mere positivt stemt for en steddatabase end bygningsejerne. Dette kan have en række forklaringer.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620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4"/>
        </w:rPr>
      </w:pPr>
    </w:p>
    <w:p>
      <w:pPr>
        <w:spacing w:before="101"/>
        <w:ind w:left="2649" w:right="0" w:firstLine="0"/>
        <w:jc w:val="left"/>
        <w:rPr>
          <w:i/>
          <w:sz w:val="17"/>
        </w:rPr>
      </w:pPr>
      <w:r>
        <w:rPr>
          <w:i/>
          <w:sz w:val="17"/>
        </w:rPr>
        <w:t>Forskel i fordeling af omkostninger</w:t>
      </w:r>
    </w:p>
    <w:p>
      <w:pPr>
        <w:pStyle w:val="BodyText"/>
        <w:spacing w:line="278" w:lineRule="auto" w:before="33"/>
        <w:ind w:left="2649" w:right="1057"/>
      </w:pPr>
      <w:r>
        <w:rPr/>
        <w:t>For det første vil en steddatabase være forbundet med forskellige omkostninger for de to parter. For tredjepartsaktørerne vil der kun være få omkostninger i for- bindelse med tilpasning af deres eksisterende systemer til nye datamodeller eller services, mens det for bygningsejerne formentligt vil kræve en del investeringer at producere og vedligeholde de data som steddatabasen</w:t>
      </w:r>
      <w:r>
        <w:rPr>
          <w:spacing w:val="-8"/>
        </w:rPr>
        <w:t> </w:t>
      </w:r>
      <w:r>
        <w:rPr/>
        <w:t>kræver.</w:t>
      </w:r>
    </w:p>
    <w:p>
      <w:pPr>
        <w:pStyle w:val="BodyText"/>
        <w:spacing w:before="3"/>
        <w:rPr>
          <w:sz w:val="23"/>
        </w:rPr>
      </w:pPr>
    </w:p>
    <w:p>
      <w:pPr>
        <w:spacing w:before="0"/>
        <w:ind w:left="2649" w:right="0" w:firstLine="0"/>
        <w:jc w:val="left"/>
        <w:rPr>
          <w:i/>
          <w:sz w:val="17"/>
        </w:rPr>
      </w:pPr>
      <w:r>
        <w:rPr>
          <w:i/>
          <w:sz w:val="17"/>
        </w:rPr>
        <w:t>Forskel i data- og udviklingsfokus</w:t>
      </w:r>
    </w:p>
    <w:p>
      <w:pPr>
        <w:pStyle w:val="BodyText"/>
        <w:spacing w:line="278" w:lineRule="auto" w:before="33"/>
        <w:ind w:left="2649" w:right="1138"/>
      </w:pPr>
      <w:r>
        <w:rPr/>
        <w:t>For det andet er en steddatabase et udviklingsprojekt med forskellig relevans for de to parters kerneforretning. Tredjepartaktørernes kerneforretning handler om udvikling af datarelaterede softwareløsninger, og de har derfor et udpræget fokus på den fremtidige udvikling på dataområdet. Bygningsejernes kerneforretning er derimod at sikre en effektiv og velfungerende bygningsdrift, og deres interesse i data gælder derfor primært data, der umiddelbart kan skabe værdi i den daglige drift.</w:t>
      </w:r>
    </w:p>
    <w:p>
      <w:pPr>
        <w:pStyle w:val="BodyText"/>
        <w:spacing w:before="2"/>
        <w:rPr>
          <w:sz w:val="23"/>
        </w:rPr>
      </w:pPr>
    </w:p>
    <w:p>
      <w:pPr>
        <w:spacing w:before="0"/>
        <w:ind w:left="2649" w:right="0" w:firstLine="0"/>
        <w:jc w:val="left"/>
        <w:rPr>
          <w:i/>
          <w:sz w:val="17"/>
        </w:rPr>
      </w:pPr>
      <w:r>
        <w:rPr>
          <w:i/>
          <w:sz w:val="17"/>
        </w:rPr>
        <w:t>Forskel i tidsmæssig orientering</w:t>
      </w:r>
    </w:p>
    <w:p>
      <w:pPr>
        <w:pStyle w:val="BodyText"/>
        <w:spacing w:line="278" w:lineRule="auto" w:before="36"/>
        <w:ind w:left="2649" w:right="1031"/>
      </w:pPr>
      <w:r>
        <w:rPr/>
        <w:t>For det tredje har parterne lidt forskellige tidsmæssige perspektiver. Tredjepartsle- verandørerne må hele tiden orientere sig mod fremtidens marked, for at sikre de- res forretnings fortsatte relevans, mens bygningsejerne må orientere sig mod den daglige drift, for at sikre bygningernes aktuelle og fremtidige værdi. Det betyder, at tredjepartsaktørerne har en generel interesse i datasæt og dataydelser, der </w:t>
      </w:r>
      <w:r>
        <w:rPr>
          <w:i/>
        </w:rPr>
        <w:t>må- </w:t>
      </w:r>
      <w:r>
        <w:rPr>
          <w:i/>
        </w:rPr>
        <w:t>ske </w:t>
      </w:r>
      <w:r>
        <w:rPr/>
        <w:t>kan skabe værdi i bygningsdriften på </w:t>
      </w:r>
      <w:r>
        <w:rPr>
          <w:i/>
        </w:rPr>
        <w:t>længere sigt</w:t>
      </w:r>
      <w:r>
        <w:rPr/>
        <w:t>, mens bygningsejerne pri- mært har interesse i datasæt og dataydelser, der </w:t>
      </w:r>
      <w:r>
        <w:rPr>
          <w:i/>
        </w:rPr>
        <w:t>uden tvivl </w:t>
      </w:r>
      <w:r>
        <w:rPr/>
        <w:t>kan skabe værdi i bygningsdriften </w:t>
      </w:r>
      <w:r>
        <w:rPr>
          <w:i/>
        </w:rPr>
        <w:t>på kort</w:t>
      </w:r>
      <w:r>
        <w:rPr>
          <w:i/>
          <w:spacing w:val="-2"/>
        </w:rPr>
        <w:t> </w:t>
      </w:r>
      <w:r>
        <w:rPr>
          <w:i/>
        </w:rPr>
        <w:t>sigt</w:t>
      </w:r>
      <w:r>
        <w:rPr/>
        <w:t>.</w:t>
      </w:r>
    </w:p>
    <w:p>
      <w:pPr>
        <w:pStyle w:val="BodyText"/>
        <w:spacing w:before="10"/>
        <w:rPr>
          <w:sz w:val="21"/>
        </w:rPr>
      </w:pPr>
    </w:p>
    <w:p>
      <w:pPr>
        <w:pStyle w:val="Heading3"/>
        <w:numPr>
          <w:ilvl w:val="2"/>
          <w:numId w:val="27"/>
        </w:numPr>
        <w:tabs>
          <w:tab w:pos="2649" w:val="left" w:leader="none"/>
          <w:tab w:pos="2650" w:val="left" w:leader="none"/>
        </w:tabs>
        <w:spacing w:line="240" w:lineRule="auto" w:before="1" w:after="0"/>
        <w:ind w:left="2649" w:right="0" w:hanging="799"/>
        <w:jc w:val="left"/>
      </w:pPr>
      <w:bookmarkStart w:name="_bookmark92" w:id="93"/>
      <w:bookmarkEnd w:id="93"/>
      <w:r>
        <w:rPr/>
        <w:t>S</w:t>
      </w:r>
      <w:r>
        <w:rPr/>
        <w:t>ammenfaldende</w:t>
      </w:r>
      <w:r>
        <w:rPr>
          <w:spacing w:val="-1"/>
        </w:rPr>
        <w:t> </w:t>
      </w:r>
      <w:r>
        <w:rPr/>
        <w:t>perspektiver</w:t>
      </w:r>
    </w:p>
    <w:p>
      <w:pPr>
        <w:pStyle w:val="BodyText"/>
        <w:spacing w:line="278" w:lineRule="auto" w:before="34"/>
        <w:ind w:left="2649" w:right="1070"/>
      </w:pPr>
      <w:r>
        <w:rPr/>
        <w:t>I forhold til anvendelse, dataopfattelse og ansvarsfordeling har de to parter delvist sammenfaldende perspektiver.</w:t>
      </w:r>
    </w:p>
    <w:p>
      <w:pPr>
        <w:pStyle w:val="BodyText"/>
        <w:spacing w:before="11"/>
        <w:rPr>
          <w:sz w:val="22"/>
        </w:rPr>
      </w:pPr>
    </w:p>
    <w:p>
      <w:pPr>
        <w:spacing w:before="1"/>
        <w:ind w:left="2649" w:right="0" w:firstLine="0"/>
        <w:jc w:val="left"/>
        <w:rPr>
          <w:i/>
          <w:sz w:val="17"/>
        </w:rPr>
      </w:pPr>
      <w:r>
        <w:rPr>
          <w:i/>
          <w:sz w:val="17"/>
        </w:rPr>
        <w:t>Andre anvendelser end energi</w:t>
      </w:r>
    </w:p>
    <w:p>
      <w:pPr>
        <w:pStyle w:val="BodyText"/>
        <w:spacing w:line="278" w:lineRule="auto" w:before="33"/>
        <w:ind w:left="2649" w:right="1134"/>
      </w:pPr>
      <w:r>
        <w:rPr/>
        <w:t>Begge parter vurderer, at en steddatabases potentiale til alene at understøtte energieffektivisering er begrænset, og de ser begge et større anvendelsespotenti- ale på andre områder af bygningsdriften, herunder service, vedligehold, naviga- tion, rengøring mv.</w:t>
      </w:r>
    </w:p>
    <w:p>
      <w:pPr>
        <w:pStyle w:val="BodyText"/>
        <w:spacing w:before="2"/>
        <w:rPr>
          <w:sz w:val="23"/>
        </w:rPr>
      </w:pPr>
    </w:p>
    <w:p>
      <w:pPr>
        <w:spacing w:before="1"/>
        <w:ind w:left="2649" w:right="0" w:firstLine="0"/>
        <w:jc w:val="left"/>
        <w:rPr>
          <w:i/>
          <w:sz w:val="17"/>
        </w:rPr>
      </w:pPr>
      <w:r>
        <w:rPr>
          <w:i/>
          <w:sz w:val="17"/>
        </w:rPr>
        <w:t>Data vil få stadig større betydning i bygningsdriften</w:t>
      </w:r>
    </w:p>
    <w:p>
      <w:pPr>
        <w:pStyle w:val="BodyText"/>
        <w:spacing w:line="278" w:lineRule="auto" w:before="33"/>
        <w:ind w:left="2649" w:right="1048"/>
      </w:pPr>
      <w:r>
        <w:rPr/>
        <w:t>Parterne er også enige om, at data – og ikke mindst sammenkobling af data på tværs af domæner – vil få større betydning for ejendomsadministrationen i fremti- den. Der er forskel på, hvor langt de forskellige offentlige bygningsejere er nået, i forhold til at digitalisere deres bygnings- og driftsdata og etablere smarte, tværgå- ende arbejdsgange. Men der er enighed om, data vil udgøre et, i stigende grad, vigtigt og værdifuldt grundlag for ejendomsadministrationen. Samtidigt er der en fælles erkendelse af, at det er svært at forudsige præcist, hvordan data vil skabe værdi fremtiden – og at forestillinger om fremtiden ofte er begrænsede af, hvad der er muligt i dag.</w:t>
      </w:r>
    </w:p>
    <w:p>
      <w:pPr>
        <w:pStyle w:val="BodyText"/>
        <w:spacing w:before="2"/>
        <w:rPr>
          <w:sz w:val="23"/>
        </w:rPr>
      </w:pPr>
    </w:p>
    <w:p>
      <w:pPr>
        <w:spacing w:before="1"/>
        <w:ind w:left="2649" w:right="0" w:firstLine="0"/>
        <w:jc w:val="left"/>
        <w:rPr>
          <w:i/>
          <w:sz w:val="17"/>
        </w:rPr>
      </w:pPr>
      <w:r>
        <w:rPr>
          <w:i/>
          <w:sz w:val="17"/>
        </w:rPr>
        <w:t>Opbakning til national løsning</w:t>
      </w:r>
    </w:p>
    <w:p>
      <w:pPr>
        <w:pStyle w:val="BodyText"/>
        <w:spacing w:line="278" w:lineRule="auto" w:before="35"/>
        <w:ind w:left="2649" w:right="1117"/>
      </w:pPr>
      <w:r>
        <w:rPr/>
        <w:t>Begge parter påpeger, at det er vigtigt at en eventuel national datainfrastruktur for indendørs geografi bliver let at bruge og har automatisk integration til andre relevante systemer, så bygningsejere og dataleverandører ikke skal ajourføre de samme data i flere registre. I det omfang, der kan skabes rammer herfor, er der opbakning til at skabe en national infrastruktur. En statslig aktør vurderer at have mulighed for at sikre, at der fastsættes operationelle standarder for data, og at data gemmes, genbruges og kan stilles til rådighed for interesserede aktører.</w:t>
      </w:r>
    </w:p>
    <w:p>
      <w:pPr>
        <w:spacing w:after="0" w:line="278" w:lineRule="auto"/>
        <w:sectPr>
          <w:type w:val="continuous"/>
          <w:pgSz w:w="11910" w:h="16840"/>
          <w:pgMar w:top="1580" w:bottom="280" w:left="980" w:right="100"/>
        </w:sectPr>
      </w:pPr>
    </w:p>
    <w:p>
      <w:pPr>
        <w:spacing w:before="83"/>
        <w:ind w:left="2635" w:right="-19" w:firstLine="0"/>
        <w:jc w:val="left"/>
        <w:rPr>
          <w:sz w:val="12"/>
        </w:rPr>
      </w:pPr>
      <w:r>
        <w:rPr/>
        <w:pict>
          <v:line style="position:absolute;mso-position-horizontal-relative:page;mso-position-vertical-relative:paragraph;z-index:-176104" from="180.770004pt,3.822214pt" to="291.410004pt,3.822214pt" stroked="true" strokeweight=".48pt" strokecolor="#000000">
            <v:stroke dashstyle="solid"/>
            <w10:wrap type="none"/>
          </v:line>
        </w:pict>
      </w:r>
      <w:r>
        <w:rPr>
          <w:sz w:val="12"/>
        </w:rPr>
        <w:t>Styrelsen for Dataforsyning og Effektivisering og Energistyrelsen</w:t>
      </w:r>
    </w:p>
    <w:p>
      <w:pPr>
        <w:pStyle w:val="BodyText"/>
        <w:spacing w:before="11"/>
        <w:rPr>
          <w:sz w:val="5"/>
        </w:rPr>
      </w:pPr>
      <w:r>
        <w:rPr/>
        <w:br w:type="column"/>
      </w:r>
      <w:r>
        <w:rPr>
          <w:sz w:val="5"/>
        </w:rPr>
      </w:r>
    </w:p>
    <w:p>
      <w:pPr>
        <w:tabs>
          <w:tab w:pos="2871" w:val="left" w:leader="none"/>
        </w:tabs>
        <w:spacing w:line="20" w:lineRule="exact"/>
        <w:ind w:left="405" w:right="0" w:firstLine="0"/>
        <w:rPr>
          <w:sz w:val="2"/>
        </w:rPr>
      </w:pP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2876" w:val="left" w:leader="none"/>
        </w:tabs>
        <w:spacing w:before="0"/>
        <w:ind w:left="410" w:right="0" w:firstLine="0"/>
        <w:jc w:val="left"/>
        <w:rPr>
          <w:sz w:val="12"/>
        </w:rPr>
      </w:pP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620" w:bottom="960" w:left="980" w:right="100"/>
          <w:cols w:num="2" w:equalWidth="0">
            <w:col w:w="4653" w:space="40"/>
            <w:col w:w="6137"/>
          </w:cols>
        </w:sectPr>
      </w:pPr>
    </w:p>
    <w:p>
      <w:pPr>
        <w:pStyle w:val="BodyText"/>
        <w:rPr>
          <w:sz w:val="20"/>
        </w:rPr>
      </w:pPr>
      <w:r>
        <w:rPr/>
        <w:pict>
          <v:group style="position:absolute;margin-left:32.599998pt;margin-top:-.222301pt;width:514.85pt;height:841.1pt;mso-position-horizontal-relative:page;mso-position-vertical-relative:page;z-index:-176080" coordorigin="652,-4" coordsize="10297,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652;top:6483;width:10297;height:3802" type="#_x0000_t75" stroked="false">
              <v:imagedata r:id="rId53" o:title=""/>
            </v:shape>
            <w10:wrap type="none"/>
          </v:group>
        </w:pict>
      </w:r>
    </w:p>
    <w:p>
      <w:pPr>
        <w:pStyle w:val="BodyText"/>
        <w:rPr>
          <w:sz w:val="20"/>
        </w:rPr>
      </w:pPr>
    </w:p>
    <w:p>
      <w:pPr>
        <w:pStyle w:val="BodyText"/>
        <w:spacing w:before="6"/>
        <w:rPr>
          <w:sz w:val="21"/>
        </w:rPr>
      </w:pPr>
    </w:p>
    <w:p>
      <w:pPr>
        <w:pStyle w:val="Heading1"/>
        <w:numPr>
          <w:ilvl w:val="0"/>
          <w:numId w:val="24"/>
        </w:numPr>
        <w:tabs>
          <w:tab w:pos="2649" w:val="left" w:leader="none"/>
          <w:tab w:pos="2650" w:val="left" w:leader="none"/>
        </w:tabs>
        <w:spacing w:line="240" w:lineRule="auto" w:before="101" w:after="0"/>
        <w:ind w:left="2649" w:right="0" w:hanging="427"/>
        <w:jc w:val="left"/>
      </w:pPr>
      <w:bookmarkStart w:name="_bookmark93" w:id="94"/>
      <w:bookmarkEnd w:id="94"/>
      <w:r>
        <w:rPr/>
        <w:t>Pro</w:t>
      </w:r>
      <w:r>
        <w:rPr/>
        <w:t>of of concept for indendørs</w:t>
      </w:r>
      <w:r>
        <w:rPr>
          <w:spacing w:val="-8"/>
        </w:rPr>
        <w:t> </w:t>
      </w:r>
      <w:r>
        <w:rPr/>
        <w:t>geografi</w:t>
      </w:r>
    </w:p>
    <w:p>
      <w:pPr>
        <w:pStyle w:val="BodyText"/>
        <w:spacing w:line="278" w:lineRule="auto" w:before="37"/>
        <w:ind w:left="2649" w:right="1105"/>
      </w:pPr>
      <w:r>
        <w:rPr/>
        <w:t>I dette kapitel valideres konceptet for indendørs geografi ved at sammenstille og validere de forskellige dele for, hvordan et koncept for energi-relevante data i bygninger kan sammenstilles med en indendørs steddatabase. Teknisk beskrives infrastrukturen for en steddatabase ved at analysere de forskellige dele, som er nødvendige for en samlet infrastruktur, herunder vises et mockup eksempel på hvordan data kan tages i anvendelse. Konceptet kvalificeres desuden af relevante aktører, og der gives en perspektivering for mulighederne for anvendelse af RDF</w:t>
      </w:r>
      <w:r>
        <w:rPr>
          <w:position w:val="6"/>
          <w:sz w:val="11"/>
        </w:rPr>
        <w:t>24</w:t>
      </w:r>
      <w:r>
        <w:rPr>
          <w:sz w:val="11"/>
        </w:rPr>
        <w:t> </w:t>
      </w:r>
      <w:r>
        <w:rPr/>
        <w:t>teknologi til en steddatabase.</w:t>
      </w:r>
    </w:p>
    <w:p>
      <w:pPr>
        <w:pStyle w:val="BodyText"/>
        <w:spacing w:before="11"/>
        <w:rPr>
          <w:sz w:val="20"/>
        </w:rPr>
      </w:pPr>
    </w:p>
    <w:p>
      <w:pPr>
        <w:pStyle w:val="Heading2"/>
        <w:tabs>
          <w:tab w:pos="2649" w:val="left" w:leader="none"/>
        </w:tabs>
        <w:spacing w:line="264" w:lineRule="auto"/>
        <w:ind w:right="1120" w:hanging="656"/>
      </w:pPr>
      <w:r>
        <w:rPr/>
        <w:t>7.1</w:t>
        <w:tab/>
      </w:r>
      <w:bookmarkStart w:name="_bookmark94" w:id="95"/>
      <w:bookmarkEnd w:id="95"/>
      <w:r>
        <w:rPr/>
        <w:t>T</w:t>
      </w:r>
      <w:r>
        <w:rPr/>
        <w:t>eknisk konceptuel model for infrastrukturen for in- dendørs</w:t>
      </w:r>
      <w:r>
        <w:rPr>
          <w:spacing w:val="-2"/>
        </w:rPr>
        <w:t> </w:t>
      </w:r>
      <w:r>
        <w:rPr/>
        <w:t>geografi</w:t>
      </w:r>
    </w:p>
    <w:p>
      <w:pPr>
        <w:pStyle w:val="BodyText"/>
        <w:spacing w:line="278" w:lineRule="auto" w:before="8"/>
        <w:ind w:left="2649" w:right="1193"/>
      </w:pPr>
      <w:r>
        <w:rPr/>
        <w:t>Forslaget til det samlede tekniske koncept for hvordan man kan opbygge infra- strukturen for en steddatabase, angives og beskrives herunder. For overskue- lighedens skyld er konceptet opdelt i fire lag: Input, transformation, infrastruktur og anvendelse og visning som (se </w:t>
      </w:r>
      <w:hyperlink w:history="true" w:anchor="_bookmark95">
        <w:r>
          <w:rPr/>
          <w:t>Figur 7.1</w:t>
        </w:r>
      </w:hyperlink>
      <w:r>
        <w:rPr/>
        <w:t>). Konceptet testes i dette projekt på energi-relevante data, men kan også anvendes inden for andre fagområder.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5"/>
        <w:ind w:left="2652" w:right="1044" w:firstLine="0"/>
        <w:jc w:val="center"/>
        <w:rPr>
          <w:i/>
          <w:sz w:val="14"/>
        </w:rPr>
      </w:pPr>
      <w:bookmarkStart w:name="_bookmark95" w:id="96"/>
      <w:bookmarkEnd w:id="96"/>
      <w:r>
        <w:rPr/>
      </w:r>
      <w:r>
        <w:rPr>
          <w:i/>
          <w:sz w:val="14"/>
        </w:rPr>
        <w:t>Figur 7.1: Teknisk konceptuel model for udviklingen af en steddatabase</w:t>
      </w:r>
    </w:p>
    <w:p>
      <w:pPr>
        <w:pStyle w:val="BodyText"/>
        <w:rPr>
          <w:i/>
          <w:sz w:val="16"/>
        </w:rPr>
      </w:pPr>
    </w:p>
    <w:p>
      <w:pPr>
        <w:pStyle w:val="Heading3"/>
        <w:numPr>
          <w:ilvl w:val="2"/>
          <w:numId w:val="28"/>
        </w:numPr>
        <w:tabs>
          <w:tab w:pos="2649" w:val="left" w:leader="none"/>
          <w:tab w:pos="2650" w:val="left" w:leader="none"/>
        </w:tabs>
        <w:spacing w:line="240" w:lineRule="auto" w:before="103" w:after="0"/>
        <w:ind w:left="2649" w:right="0" w:hanging="799"/>
        <w:jc w:val="left"/>
      </w:pPr>
      <w:bookmarkStart w:name="_bookmark96" w:id="97"/>
      <w:bookmarkEnd w:id="97"/>
      <w:r>
        <w:rPr/>
        <w:t>In</w:t>
      </w:r>
      <w:r>
        <w:rPr/>
        <w:t>put</w:t>
      </w:r>
    </w:p>
    <w:p>
      <w:pPr>
        <w:pStyle w:val="BodyText"/>
        <w:spacing w:line="278" w:lineRule="auto" w:before="34"/>
        <w:ind w:left="2649" w:right="1068"/>
      </w:pPr>
      <w:r>
        <w:rPr/>
        <w:t>Inputlaget er grundlag for konceptet, hvor der befinder sig en mængde inputdata som i udgangspunktet vil være meget forskelligartede og af meget forskellig kvali- tet.</w:t>
      </w:r>
    </w:p>
    <w:p>
      <w:pPr>
        <w:pStyle w:val="BodyText"/>
        <w:spacing w:before="5"/>
        <w:rPr>
          <w:sz w:val="21"/>
        </w:rPr>
      </w:pPr>
    </w:p>
    <w:p>
      <w:pPr>
        <w:pStyle w:val="BodyText"/>
        <w:spacing w:line="278" w:lineRule="auto"/>
        <w:ind w:left="2649" w:right="1067"/>
      </w:pPr>
      <w:r>
        <w:rPr/>
        <w:t>Energi-relevante data samt andre datatyper, som kunne være relevante i sam- menhæng med en steddatabase, vil komme som inputdata i ukendt format, mængde og type. Det er vigtigt at data har en rumlig reference (forudsættes her), dvs. tilknytning til zoner, rum eller punkter (f.eks. sensorer).</w:t>
      </w:r>
    </w:p>
    <w:p>
      <w:pPr>
        <w:pStyle w:val="BodyText"/>
        <w:spacing w:before="8"/>
        <w:rPr>
          <w:sz w:val="21"/>
        </w:rPr>
      </w:pPr>
    </w:p>
    <w:p>
      <w:pPr>
        <w:pStyle w:val="BodyText"/>
        <w:spacing w:line="278" w:lineRule="auto"/>
        <w:ind w:left="2649" w:right="1045"/>
      </w:pPr>
      <w:r>
        <w:rPr/>
        <w:t>BIM-data danner det geografiske og rumlige grundlag for, hvad vi kan tilknytte om et rum, og derfor indeholder dette også den geografiske reference og skal i en vis</w:t>
      </w: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4496;mso-wrap-distance-left:0;mso-wrap-distance-right:0" from="181.490005pt,19.357481pt" to="325.510005pt,19.357481pt" stroked="true" strokeweight=".47998pt" strokecolor="#000000">
            <v:stroke dashstyle="solid"/>
            <w10:wrap type="topAndBottom"/>
          </v:line>
        </w:pict>
      </w:r>
    </w:p>
    <w:p>
      <w:pPr>
        <w:pStyle w:val="BodyText"/>
        <w:spacing w:before="4"/>
      </w:pPr>
    </w:p>
    <w:p>
      <w:pPr>
        <w:spacing w:before="101"/>
        <w:ind w:left="2649" w:right="1038" w:firstLine="0"/>
        <w:jc w:val="left"/>
        <w:rPr>
          <w:sz w:val="15"/>
        </w:rPr>
      </w:pPr>
      <w:r>
        <w:rPr>
          <w:position w:val="5"/>
          <w:sz w:val="10"/>
        </w:rPr>
        <w:t>24 </w:t>
      </w:r>
      <w:r>
        <w:rPr>
          <w:sz w:val="15"/>
        </w:rPr>
        <w:t>Resource Description Framework: Teknologien forklares i kapitel </w:t>
      </w:r>
      <w:hyperlink w:history="true" w:anchor="_bookmark108">
        <w:r>
          <w:rPr>
            <w:sz w:val="15"/>
          </w:rPr>
          <w:t>7.4</w:t>
        </w:r>
      </w:hyperlink>
      <w:r>
        <w:rPr>
          <w:sz w:val="15"/>
        </w:rPr>
        <w:t>: </w:t>
      </w:r>
      <w:hyperlink w:history="true" w:anchor="_bookmark108">
        <w:r>
          <w:rPr>
            <w:sz w:val="15"/>
          </w:rPr>
          <w:t>Teknologiske per-</w:t>
        </w:r>
      </w:hyperlink>
      <w:r>
        <w:rPr>
          <w:sz w:val="15"/>
        </w:rPr>
        <w:t> </w:t>
      </w:r>
      <w:hyperlink w:history="true" w:anchor="_bookmark108">
        <w:r>
          <w:rPr>
            <w:sz w:val="15"/>
          </w:rPr>
          <w:t>spektiver for en indendørs steddatabase med RDF teknologi</w:t>
        </w:r>
      </w:hyperlink>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96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43"/>
        <w:jc w:val="both"/>
      </w:pPr>
      <w:r>
        <w:rPr/>
        <w:t>grad være globalt koordinatsat. BIM-data kommer i mange afskygninger og kvali- teter, men for overskueligheden skyld kan man arbejde med modenhedsniveauer af BIM-data for at kunne kvalificere deres anvendelighed.</w:t>
      </w:r>
    </w:p>
    <w:p>
      <w:pPr>
        <w:pStyle w:val="BodyText"/>
        <w:spacing w:before="8"/>
        <w:rPr>
          <w:sz w:val="21"/>
        </w:rPr>
      </w:pPr>
    </w:p>
    <w:p>
      <w:pPr>
        <w:pStyle w:val="Heading3"/>
        <w:numPr>
          <w:ilvl w:val="2"/>
          <w:numId w:val="28"/>
        </w:numPr>
        <w:tabs>
          <w:tab w:pos="2649" w:val="left" w:leader="none"/>
          <w:tab w:pos="2650" w:val="left" w:leader="none"/>
        </w:tabs>
        <w:spacing w:line="240" w:lineRule="auto" w:before="0" w:after="0"/>
        <w:ind w:left="2649" w:right="0" w:hanging="799"/>
        <w:jc w:val="left"/>
      </w:pPr>
      <w:bookmarkStart w:name="_bookmark97" w:id="98"/>
      <w:bookmarkEnd w:id="98"/>
      <w:r>
        <w:rPr/>
        <w:t>T</w:t>
      </w:r>
      <w:r>
        <w:rPr/>
        <w:t>ransformation</w:t>
      </w:r>
    </w:p>
    <w:p>
      <w:pPr>
        <w:pStyle w:val="BodyText"/>
        <w:spacing w:line="278" w:lineRule="auto" w:before="35"/>
        <w:ind w:left="2649" w:right="1390"/>
      </w:pPr>
      <w:r>
        <w:rPr/>
        <w:t>Transformationslaget specificerer de inputdata, som skal indgå i sammenhæng med steddatabasen.</w:t>
      </w:r>
    </w:p>
    <w:p>
      <w:pPr>
        <w:pStyle w:val="BodyText"/>
        <w:spacing w:before="4"/>
        <w:rPr>
          <w:sz w:val="21"/>
        </w:rPr>
      </w:pPr>
    </w:p>
    <w:p>
      <w:pPr>
        <w:pStyle w:val="BodyText"/>
        <w:spacing w:line="278" w:lineRule="auto"/>
        <w:ind w:left="2649" w:right="1050"/>
      </w:pPr>
      <w:r>
        <w:rPr/>
        <w:t>Energi-relevante data samt andre datatyper, som kunne være relevante i sam- menhæng med en steddatabase skal specificeres og kravstilles, primært med fo- kus på at indplacere datas egenskaber i en fælles datamodel som understøtter en steddatabase. I kapitel </w:t>
      </w:r>
      <w:hyperlink w:history="true" w:anchor="_bookmark38">
        <w:r>
          <w:rPr/>
          <w:t>3 </w:t>
        </w:r>
      </w:hyperlink>
      <w:r>
        <w:rPr/>
        <w:t>”</w:t>
      </w:r>
      <w:hyperlink w:history="true" w:anchor="_bookmark38">
        <w:r>
          <w:rPr/>
          <w:t>Data til brug for energieffektivisering</w:t>
        </w:r>
      </w:hyperlink>
      <w:r>
        <w:rPr/>
        <w:t>” redegøres for, hvordan man kan specificere energi-relevante data i forbindelse med en steddata- base, hvor mange af pointerne vedrørende specificering og stedfæstelse af data vil være relevante for andre fagområder. Fysisk ville tranformationen skulle ske ved hjælp af en parser og samles i en ”energidata-løsning” eller stilles til rådighed som et database-view til at indgå i andre applikationer.</w:t>
      </w:r>
    </w:p>
    <w:p>
      <w:pPr>
        <w:pStyle w:val="BodyText"/>
        <w:spacing w:before="10"/>
        <w:rPr>
          <w:sz w:val="21"/>
        </w:rPr>
      </w:pPr>
    </w:p>
    <w:p>
      <w:pPr>
        <w:pStyle w:val="BodyText"/>
        <w:spacing w:line="278" w:lineRule="auto"/>
        <w:ind w:left="2649" w:right="1110"/>
      </w:pPr>
      <w:r>
        <w:rPr/>
        <w:t>BIM-data skal specificeres og kravstilles ved hjælp af en IDM, som beskrevet i ka- pitel </w:t>
      </w:r>
      <w:hyperlink w:history="true" w:anchor="_bookmark31">
        <w:r>
          <w:rPr/>
          <w:t>”2.4</w:t>
        </w:r>
      </w:hyperlink>
      <w:r>
        <w:rPr/>
        <w:t>: </w:t>
      </w:r>
      <w:hyperlink w:history="true" w:anchor="_bookmark31">
        <w:r>
          <w:rPr/>
          <w:t>Udveksling af BIM-data</w:t>
        </w:r>
      </w:hyperlink>
      <w:r>
        <w:rPr/>
        <w:t>”. Data udveksles ved at konvertere det til IFC og transformationen vil formentlig foregå som en parser.</w:t>
      </w:r>
    </w:p>
    <w:p>
      <w:pPr>
        <w:pStyle w:val="BodyText"/>
        <w:spacing w:before="8"/>
        <w:rPr>
          <w:sz w:val="21"/>
        </w:rPr>
      </w:pPr>
    </w:p>
    <w:p>
      <w:pPr>
        <w:pStyle w:val="Heading3"/>
        <w:numPr>
          <w:ilvl w:val="2"/>
          <w:numId w:val="28"/>
        </w:numPr>
        <w:tabs>
          <w:tab w:pos="2649" w:val="left" w:leader="none"/>
          <w:tab w:pos="2650" w:val="left" w:leader="none"/>
        </w:tabs>
        <w:spacing w:line="240" w:lineRule="auto" w:before="1" w:after="0"/>
        <w:ind w:left="2649" w:right="0" w:hanging="799"/>
        <w:jc w:val="left"/>
      </w:pPr>
      <w:bookmarkStart w:name="_bookmark98" w:id="99"/>
      <w:bookmarkEnd w:id="99"/>
      <w:r>
        <w:rPr/>
        <w:t>Inf</w:t>
      </w:r>
      <w:r>
        <w:rPr/>
        <w:t>rastruktur</w:t>
      </w:r>
    </w:p>
    <w:p>
      <w:pPr>
        <w:pStyle w:val="BodyText"/>
        <w:spacing w:line="278" w:lineRule="auto" w:before="34"/>
        <w:ind w:left="2649" w:right="1069"/>
      </w:pPr>
      <w:r>
        <w:rPr/>
        <w:t>Infrastrukturlaget er en skitsering af to scenarier bygget op om henholdsvis en mere klassisk database tilgang med BIMserver teknologien, mens RDF teknologien repræsenterer en mere moderne tilgang til håndtering af en steddatabase.</w:t>
      </w:r>
    </w:p>
    <w:p>
      <w:pPr>
        <w:pStyle w:val="BodyText"/>
        <w:spacing w:before="5"/>
        <w:rPr>
          <w:sz w:val="21"/>
        </w:rPr>
      </w:pPr>
    </w:p>
    <w:p>
      <w:pPr>
        <w:pStyle w:val="BodyText"/>
        <w:spacing w:line="278" w:lineRule="auto"/>
        <w:ind w:left="2649" w:right="1102"/>
      </w:pPr>
      <w:r>
        <w:rPr/>
        <w:drawing>
          <wp:anchor distT="0" distB="0" distL="0" distR="0" allowOverlap="1" layoutInCell="1" locked="0" behindDoc="1" simplePos="0" relativeHeight="268259519">
            <wp:simplePos x="0" y="0"/>
            <wp:positionH relativeFrom="page">
              <wp:posOffset>5616575</wp:posOffset>
            </wp:positionH>
            <wp:positionV relativeFrom="paragraph">
              <wp:posOffset>1500576</wp:posOffset>
            </wp:positionV>
            <wp:extent cx="958215" cy="1038732"/>
            <wp:effectExtent l="0" t="0" r="0" b="0"/>
            <wp:wrapNone/>
            <wp:docPr id="45" name="image42.png" descr=""/>
            <wp:cNvGraphicFramePr>
              <a:graphicFrameLocks noChangeAspect="1"/>
            </wp:cNvGraphicFramePr>
            <a:graphic>
              <a:graphicData uri="http://schemas.openxmlformats.org/drawingml/2006/picture">
                <pic:pic>
                  <pic:nvPicPr>
                    <pic:cNvPr id="46" name="image42.png"/>
                    <pic:cNvPicPr/>
                  </pic:nvPicPr>
                  <pic:blipFill>
                    <a:blip r:embed="rId54" cstate="print"/>
                    <a:stretch>
                      <a:fillRect/>
                    </a:stretch>
                  </pic:blipFill>
                  <pic:spPr>
                    <a:xfrm>
                      <a:off x="0" y="0"/>
                      <a:ext cx="958215" cy="1038732"/>
                    </a:xfrm>
                    <a:prstGeom prst="rect">
                      <a:avLst/>
                    </a:prstGeom>
                  </pic:spPr>
                </pic:pic>
              </a:graphicData>
            </a:graphic>
          </wp:anchor>
        </w:drawing>
      </w:r>
      <w:r>
        <w:rPr/>
        <w:t>BIMserver (</w:t>
      </w:r>
      <w:hyperlink w:history="true" w:anchor="_bookmark99">
        <w:r>
          <w:rPr/>
          <w:t>Figur 7.2</w:t>
        </w:r>
      </w:hyperlink>
      <w:r>
        <w:rPr/>
        <w:t>) er en specifik relationel database som kan opbevare, analy- sere og sammenstille BIM-data. Databasens grænseflader er designet til IFC data. Databasen er bygget på åbne standarder. Vha. BIMserver er det mulig at samle bygningsrelaterede data og bruge en modelbaseret arkitektur tilgang (frem for en filbaseret). Den største fordel ved BIM-server er dets evne til at forespørge, kom- binere og filtrere BIM-modeller samt dets stærke muligheder for at etablere inter- faces til en bred pallette af formater – herunder GIS. Ift. infrastrukturen kan BIM- server forestilles anvendt til etablering af globale nøgler for rum. De nationalt ind- samlede bygningsdata kan samles på BIMserver og hvor en national steddatabase vil være et database-view heraf.</w:t>
      </w:r>
    </w:p>
    <w:p>
      <w:pPr>
        <w:pStyle w:val="BodyText"/>
        <w:rPr>
          <w:sz w:val="20"/>
        </w:rPr>
      </w:pPr>
    </w:p>
    <w:p>
      <w:pPr>
        <w:pStyle w:val="BodyText"/>
        <w:spacing w:before="11"/>
        <w:rPr>
          <w:sz w:val="18"/>
        </w:rPr>
      </w:pPr>
      <w:r>
        <w:rPr/>
        <w:drawing>
          <wp:anchor distT="0" distB="0" distL="0" distR="0" allowOverlap="1" layoutInCell="1" locked="0" behindDoc="0" simplePos="0" relativeHeight="236">
            <wp:simplePos x="0" y="0"/>
            <wp:positionH relativeFrom="page">
              <wp:posOffset>3170427</wp:posOffset>
            </wp:positionH>
            <wp:positionV relativeFrom="paragraph">
              <wp:posOffset>170723</wp:posOffset>
            </wp:positionV>
            <wp:extent cx="2015975" cy="703040"/>
            <wp:effectExtent l="0" t="0" r="0" b="0"/>
            <wp:wrapTopAndBottom/>
            <wp:docPr id="47" name="image43.png" descr=""/>
            <wp:cNvGraphicFramePr>
              <a:graphicFrameLocks noChangeAspect="1"/>
            </wp:cNvGraphicFramePr>
            <a:graphic>
              <a:graphicData uri="http://schemas.openxmlformats.org/drawingml/2006/picture">
                <pic:pic>
                  <pic:nvPicPr>
                    <pic:cNvPr id="48" name="image43.png"/>
                    <pic:cNvPicPr/>
                  </pic:nvPicPr>
                  <pic:blipFill>
                    <a:blip r:embed="rId55" cstate="print"/>
                    <a:stretch>
                      <a:fillRect/>
                    </a:stretch>
                  </pic:blipFill>
                  <pic:spPr>
                    <a:xfrm>
                      <a:off x="0" y="0"/>
                      <a:ext cx="2015975" cy="703040"/>
                    </a:xfrm>
                    <a:prstGeom prst="rect">
                      <a:avLst/>
                    </a:prstGeom>
                  </pic:spPr>
                </pic:pic>
              </a:graphicData>
            </a:graphic>
          </wp:anchor>
        </w:drawing>
      </w:r>
    </w:p>
    <w:p>
      <w:pPr>
        <w:pStyle w:val="BodyText"/>
        <w:spacing w:before="1"/>
        <w:rPr>
          <w:sz w:val="19"/>
        </w:rPr>
      </w:pPr>
    </w:p>
    <w:p>
      <w:pPr>
        <w:spacing w:before="0"/>
        <w:ind w:left="4046" w:right="0" w:firstLine="0"/>
        <w:jc w:val="left"/>
        <w:rPr>
          <w:i/>
          <w:sz w:val="14"/>
        </w:rPr>
      </w:pPr>
      <w:bookmarkStart w:name="_bookmark99" w:id="100"/>
      <w:bookmarkEnd w:id="100"/>
      <w:r>
        <w:rPr/>
      </w:r>
      <w:r>
        <w:rPr>
          <w:i/>
          <w:sz w:val="14"/>
        </w:rPr>
        <w:t>Figur 7.2: Logo for henholdsvis BIMserver og RDF under W3C</w:t>
      </w:r>
    </w:p>
    <w:p>
      <w:pPr>
        <w:pStyle w:val="BodyText"/>
        <w:spacing w:before="3"/>
        <w:rPr>
          <w:i/>
          <w:sz w:val="19"/>
        </w:rPr>
      </w:pPr>
    </w:p>
    <w:p>
      <w:pPr>
        <w:pStyle w:val="BodyText"/>
        <w:spacing w:line="278" w:lineRule="auto"/>
        <w:ind w:left="2649" w:right="1079"/>
      </w:pPr>
      <w:r>
        <w:rPr/>
        <w:t>Det andet scenarie til at håndtere steddatabasen findes i RDF teknologien (</w:t>
      </w:r>
      <w:hyperlink w:history="true" w:anchor="_bookmark99">
        <w:r>
          <w:rPr/>
          <w:t>Figur</w:t>
        </w:r>
      </w:hyperlink>
      <w:r>
        <w:rPr/>
        <w:t> </w:t>
      </w:r>
      <w:hyperlink w:history="true" w:anchor="_bookmark99">
        <w:r>
          <w:rPr/>
          <w:t>7.2</w:t>
        </w:r>
      </w:hyperlink>
      <w:r>
        <w:rPr/>
        <w:t>), som er en teknologi der understøtter at data ikke flyttes fysisk frem og til- bage, men linkes til hinanden. RDF er altså funderet på tanken om at skabe relati- oner i udtryk som subjekt-prædikat-typen (i RDF-terminologi kaldes dette en "tri- pel"). RDF's styrke er simple datamodeller og mulighed for at modellere abstrakte begreber med standardiserede ontologier samt tilknyttet geometri. RDF er en af grundstenene i det semantiske web, hvor brugere kan lagre, udveksle og anvende</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81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64"/>
        <w:jc w:val="both"/>
      </w:pPr>
      <w:r>
        <w:rPr/>
        <w:t>enorme datamængder med stor effektivitet og præcision. I kapitel </w:t>
      </w:r>
      <w:hyperlink w:history="true" w:anchor="_bookmark108">
        <w:r>
          <w:rPr/>
          <w:t>”7.4 </w:t>
        </w:r>
      </w:hyperlink>
      <w:hyperlink w:history="true" w:anchor="_bookmark108">
        <w:r>
          <w:rPr/>
          <w:t>Teknologi-</w:t>
        </w:r>
      </w:hyperlink>
      <w:r>
        <w:rPr/>
        <w:t> </w:t>
      </w:r>
      <w:hyperlink w:history="true" w:anchor="_bookmark108">
        <w:r>
          <w:rPr/>
          <w:t>ske perspektiver for en indendørs steddatabase med RDF teknologi</w:t>
        </w:r>
      </w:hyperlink>
      <w:r>
        <w:rPr/>
        <w:t>” beskrives mu- lighederne med RDF nærmere.</w:t>
      </w:r>
    </w:p>
    <w:p>
      <w:pPr>
        <w:pStyle w:val="BodyText"/>
        <w:spacing w:before="8"/>
        <w:rPr>
          <w:sz w:val="21"/>
        </w:rPr>
      </w:pPr>
    </w:p>
    <w:p>
      <w:pPr>
        <w:pStyle w:val="Heading3"/>
        <w:numPr>
          <w:ilvl w:val="2"/>
          <w:numId w:val="28"/>
        </w:numPr>
        <w:tabs>
          <w:tab w:pos="2649" w:val="left" w:leader="none"/>
          <w:tab w:pos="2650" w:val="left" w:leader="none"/>
        </w:tabs>
        <w:spacing w:line="240" w:lineRule="auto" w:before="0" w:after="0"/>
        <w:ind w:left="2649" w:right="0" w:hanging="799"/>
        <w:jc w:val="left"/>
      </w:pPr>
      <w:bookmarkStart w:name="_bookmark100" w:id="101"/>
      <w:bookmarkEnd w:id="101"/>
      <w:r>
        <w:rPr/>
        <w:t>A</w:t>
      </w:r>
      <w:r>
        <w:rPr/>
        <w:t>nvendelse og</w:t>
      </w:r>
      <w:r>
        <w:rPr>
          <w:spacing w:val="-3"/>
        </w:rPr>
        <w:t> </w:t>
      </w:r>
      <w:r>
        <w:rPr/>
        <w:t>visning</w:t>
      </w:r>
    </w:p>
    <w:p>
      <w:pPr>
        <w:pStyle w:val="BodyText"/>
        <w:spacing w:line="278" w:lineRule="auto" w:before="35"/>
        <w:ind w:left="2649" w:right="1105"/>
      </w:pPr>
      <w:r>
        <w:rPr/>
        <w:t>Med en opbygget infrastruktur for en indendørs steddatabase, er det muligt at stille data til rådighed til visning, analyse eller alle andre tænkelige anvendelser. Dette illustreres i Kapitlet herunder ”</w:t>
      </w:r>
      <w:hyperlink w:history="true" w:anchor="_bookmark101">
        <w:r>
          <w:rPr/>
          <w:t>7.2 </w:t>
        </w:r>
      </w:hyperlink>
      <w:hyperlink w:history="true" w:anchor="_bookmark101">
        <w:r>
          <w:rPr/>
          <w:t>Mockup: Visualisering af energi-relevante</w:t>
        </w:r>
      </w:hyperlink>
      <w:r>
        <w:rPr/>
        <w:t> </w:t>
      </w:r>
      <w:hyperlink w:history="true" w:anchor="_bookmark101">
        <w:r>
          <w:rPr/>
          <w:t>data på rumniveau</w:t>
        </w:r>
      </w:hyperlink>
      <w:r>
        <w:rPr/>
        <w:t>”, hvor der vises eksempler på mockup’s med energi-relevante data, som bruges til at skabe overblik over varmeforbruget i rum i en bygning.</w:t>
      </w:r>
    </w:p>
    <w:p>
      <w:pPr>
        <w:pStyle w:val="BodyText"/>
        <w:spacing w:before="9"/>
        <w:rPr>
          <w:sz w:val="20"/>
        </w:rPr>
      </w:pPr>
    </w:p>
    <w:p>
      <w:pPr>
        <w:pStyle w:val="Heading2"/>
        <w:numPr>
          <w:ilvl w:val="1"/>
          <w:numId w:val="29"/>
        </w:numPr>
        <w:tabs>
          <w:tab w:pos="2649" w:val="left" w:leader="none"/>
          <w:tab w:pos="2650" w:val="left" w:leader="none"/>
        </w:tabs>
        <w:spacing w:line="264" w:lineRule="auto" w:before="0" w:after="0"/>
        <w:ind w:left="2649" w:right="1449" w:hanging="655"/>
        <w:jc w:val="left"/>
      </w:pPr>
      <w:bookmarkStart w:name="_bookmark101" w:id="102"/>
      <w:bookmarkEnd w:id="102"/>
      <w:r>
        <w:rPr/>
        <w:t>M</w:t>
      </w:r>
      <w:r>
        <w:rPr/>
        <w:t>ockup: Visualisering af energi-relevante data på rumniveau</w:t>
      </w:r>
    </w:p>
    <w:p>
      <w:pPr>
        <w:pStyle w:val="BodyText"/>
        <w:spacing w:line="278" w:lineRule="auto" w:before="8"/>
        <w:ind w:left="2649" w:right="1032"/>
      </w:pPr>
      <w:r>
        <w:rPr/>
        <w:t>Hvis data om rum kombineres med energi-relevante data, er der uanede anven- delsesmuligheder ift. at skabe overblik over de enkelte rums energiforbrug i en bygning. Det vigtigste i forhold til visualisering af data er datagrundlaget, hvor de relevante analysedata skal være tilknyttet rum. I eksemplerne herunder, er der for hvert rum tilknyttet en egenskab om, hvilken sensor, som tilhører rummet. Dette illustrerer en idealsituation, hvor rum og energidata har en naturlig tilknytning.</w:t>
      </w:r>
    </w:p>
    <w:p>
      <w:pPr>
        <w:pStyle w:val="BodyText"/>
        <w:spacing w:line="278" w:lineRule="auto" w:before="2"/>
        <w:ind w:left="2649" w:right="1049"/>
      </w:pPr>
      <w:r>
        <w:rPr/>
        <w:t>Derfor kan vises data for de maksimale temperaturer fra rum på 4. sal i Navitas bygningeni Aarhus på figurerne. Eksemplerne er simple visninger, men underbyg- ger blot, at datagrundlaget skal være på plads, og herefter kan data anvendes i de ønskede scenarier.</w:t>
      </w:r>
    </w:p>
    <w:p>
      <w:pPr>
        <w:pStyle w:val="BodyText"/>
        <w:spacing w:before="5"/>
        <w:rPr>
          <w:sz w:val="21"/>
        </w:rPr>
      </w:pPr>
    </w:p>
    <w:p>
      <w:pPr>
        <w:pStyle w:val="BodyText"/>
        <w:spacing w:line="278" w:lineRule="auto"/>
        <w:ind w:left="2649" w:right="1056"/>
      </w:pPr>
      <w:hyperlink w:history="true" w:anchor="_bookmark102">
        <w:r>
          <w:rPr/>
          <w:t>Figur 7.3</w:t>
        </w:r>
      </w:hyperlink>
      <w:r>
        <w:rPr/>
        <w:t>, </w:t>
      </w:r>
      <w:hyperlink w:history="true" w:anchor="_bookmark103">
        <w:r>
          <w:rPr/>
          <w:t>Figur 7.4 </w:t>
        </w:r>
      </w:hyperlink>
      <w:r>
        <w:rPr/>
        <w:t>og </w:t>
      </w:r>
      <w:hyperlink w:history="true" w:anchor="_bookmark104">
        <w:r>
          <w:rPr/>
          <w:t>Figur 7.5 </w:t>
        </w:r>
      </w:hyperlink>
      <w:r>
        <w:rPr/>
        <w:t>viser BIM-data i en simpel webviewer bygget med komponenterne ”Angular version 6” og ”three.js”, hvor der kommunikeres direkte med en standard triplestore som sender queries til dennes SPARQL endpoint. Ek- semplet er således bygget ved hjælp af RDF teknologien, som giver mulighed for selv at tage stilling til, om data skal vises i 2D, 3D eller som grafer. Dette beskri- ves nærmere i Kapitel </w:t>
      </w:r>
      <w:hyperlink w:history="true" w:anchor="_bookmark108">
        <w:r>
          <w:rPr/>
          <w:t>7.4</w:t>
        </w:r>
      </w:hyperlink>
      <w:r>
        <w:rPr/>
        <w:t>: </w:t>
      </w:r>
      <w:hyperlink w:history="true" w:anchor="_bookmark108">
        <w:r>
          <w:rPr/>
          <w:t>Teknologiske perspektiver for en indendørs steddata-</w:t>
        </w:r>
      </w:hyperlink>
      <w:r>
        <w:rPr/>
        <w:t> </w:t>
      </w:r>
      <w:hyperlink w:history="true" w:anchor="_bookmark108">
        <w:r>
          <w:rPr/>
          <w:t>base</w:t>
        </w:r>
      </w:hyperlink>
      <w:r>
        <w:rPr/>
        <w:t>.</w:t>
      </w:r>
    </w:p>
    <w:p>
      <w:pPr>
        <w:pStyle w:val="BodyText"/>
        <w:spacing w:before="9"/>
        <w:rPr>
          <w:sz w:val="21"/>
        </w:rPr>
      </w:pPr>
    </w:p>
    <w:p>
      <w:pPr>
        <w:pStyle w:val="BodyText"/>
        <w:spacing w:line="278" w:lineRule="auto" w:before="1"/>
        <w:ind w:left="2649" w:right="1065"/>
      </w:pPr>
      <w:r>
        <w:rPr/>
        <w:t>I </w:t>
      </w:r>
      <w:hyperlink w:history="true" w:anchor="_bookmark105">
        <w:r>
          <w:rPr/>
          <w:t>Figur 7.6 </w:t>
        </w:r>
      </w:hyperlink>
      <w:r>
        <w:rPr/>
        <w:t>og </w:t>
      </w:r>
      <w:hyperlink w:history="true" w:anchor="_bookmark106">
        <w:r>
          <w:rPr/>
          <w:t>Figur 7.7 </w:t>
        </w:r>
      </w:hyperlink>
      <w:r>
        <w:rPr/>
        <w:t>vises eksempler, hvor stedbestemte rumdata er illustreret ved hjælp af det gængse desktop GIS program QGIS med Time Manager plugin’et. Data vises her som en lille tidsserie og i 2D. Endelig vises, hvordan data anvendt til denne illustration tager sig ud på tabelform (uden WKT</w:t>
      </w:r>
      <w:r>
        <w:rPr>
          <w:position w:val="6"/>
          <w:sz w:val="11"/>
        </w:rPr>
        <w:t>25 </w:t>
      </w:r>
      <w:r>
        <w:rPr/>
        <w:t>geometri beskrivel- sen).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4784;mso-wrap-distance-left:0;mso-wrap-distance-right:0" from="181.490005pt,17.533562pt" to="325.510005pt,17.533562pt" stroked="true" strokeweight=".47998pt" strokecolor="#000000">
            <v:stroke dashstyle="solid"/>
            <w10:wrap type="topAndBottom"/>
          </v:line>
        </w:pict>
      </w:r>
    </w:p>
    <w:p>
      <w:pPr>
        <w:pStyle w:val="BodyText"/>
        <w:spacing w:before="4"/>
      </w:pPr>
    </w:p>
    <w:p>
      <w:pPr>
        <w:spacing w:before="101"/>
        <w:ind w:left="2649" w:right="0" w:firstLine="0"/>
        <w:jc w:val="left"/>
        <w:rPr>
          <w:sz w:val="15"/>
        </w:rPr>
      </w:pPr>
      <w:r>
        <w:rPr>
          <w:position w:val="5"/>
          <w:sz w:val="10"/>
        </w:rPr>
        <w:t>25 </w:t>
      </w:r>
      <w:r>
        <w:rPr>
          <w:sz w:val="15"/>
        </w:rPr>
        <w:t>WKT= Well Known Text</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69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8"/>
        </w:rPr>
      </w:pPr>
    </w:p>
    <w:p>
      <w:pPr>
        <w:pStyle w:val="BodyText"/>
        <w:ind w:left="2649"/>
        <w:rPr>
          <w:sz w:val="20"/>
        </w:rPr>
      </w:pPr>
      <w:r>
        <w:rPr>
          <w:sz w:val="20"/>
        </w:rPr>
        <w:drawing>
          <wp:inline distT="0" distB="0" distL="0" distR="0">
            <wp:extent cx="4444693" cy="2011679"/>
            <wp:effectExtent l="0" t="0" r="0" b="0"/>
            <wp:docPr id="49" name="image44.jpeg" descr=""/>
            <wp:cNvGraphicFramePr>
              <a:graphicFrameLocks noChangeAspect="1"/>
            </wp:cNvGraphicFramePr>
            <a:graphic>
              <a:graphicData uri="http://schemas.openxmlformats.org/drawingml/2006/picture">
                <pic:pic>
                  <pic:nvPicPr>
                    <pic:cNvPr id="50" name="image44.jpeg"/>
                    <pic:cNvPicPr/>
                  </pic:nvPicPr>
                  <pic:blipFill>
                    <a:blip r:embed="rId56" cstate="print"/>
                    <a:stretch>
                      <a:fillRect/>
                    </a:stretch>
                  </pic:blipFill>
                  <pic:spPr>
                    <a:xfrm>
                      <a:off x="0" y="0"/>
                      <a:ext cx="4444693" cy="2011679"/>
                    </a:xfrm>
                    <a:prstGeom prst="rect">
                      <a:avLst/>
                    </a:prstGeom>
                  </pic:spPr>
                </pic:pic>
              </a:graphicData>
            </a:graphic>
          </wp:inline>
        </w:drawing>
      </w:r>
      <w:r>
        <w:rPr>
          <w:sz w:val="20"/>
        </w:rPr>
      </w:r>
    </w:p>
    <w:p>
      <w:pPr>
        <w:pStyle w:val="BodyText"/>
        <w:rPr>
          <w:sz w:val="22"/>
        </w:rPr>
      </w:pPr>
    </w:p>
    <w:p>
      <w:pPr>
        <w:spacing w:before="99"/>
        <w:ind w:left="3765" w:right="0" w:firstLine="0"/>
        <w:jc w:val="left"/>
        <w:rPr>
          <w:i/>
          <w:sz w:val="14"/>
        </w:rPr>
      </w:pPr>
      <w:bookmarkStart w:name="_bookmark102" w:id="103"/>
      <w:bookmarkEnd w:id="103"/>
      <w:r>
        <w:rPr/>
      </w:r>
      <w:r>
        <w:rPr>
          <w:i/>
          <w:sz w:val="14"/>
        </w:rPr>
        <w:t>Figur 7.3: 3D model af maxtemperaturer for rum i Navitas</w:t>
      </w:r>
      <w:r>
        <w:rPr>
          <w:i/>
          <w:spacing w:val="-24"/>
          <w:sz w:val="14"/>
        </w:rPr>
        <w:t> </w:t>
      </w:r>
      <w:r>
        <w:rPr>
          <w:i/>
          <w:sz w:val="14"/>
        </w:rPr>
        <w:t>bygningen</w:t>
      </w:r>
    </w:p>
    <w:p>
      <w:pPr>
        <w:pStyle w:val="BodyText"/>
        <w:spacing w:before="11"/>
        <w:rPr>
          <w:i/>
          <w:sz w:val="16"/>
        </w:rPr>
      </w:pPr>
      <w:r>
        <w:rPr/>
        <w:drawing>
          <wp:anchor distT="0" distB="0" distL="0" distR="0" allowOverlap="1" layoutInCell="1" locked="0" behindDoc="0" simplePos="0" relativeHeight="247">
            <wp:simplePos x="0" y="0"/>
            <wp:positionH relativeFrom="page">
              <wp:posOffset>2713757</wp:posOffset>
            </wp:positionH>
            <wp:positionV relativeFrom="paragraph">
              <wp:posOffset>155679</wp:posOffset>
            </wp:positionV>
            <wp:extent cx="3672858" cy="3573589"/>
            <wp:effectExtent l="0" t="0" r="0" b="0"/>
            <wp:wrapTopAndBottom/>
            <wp:docPr id="51" name="image45.jpeg" descr=""/>
            <wp:cNvGraphicFramePr>
              <a:graphicFrameLocks noChangeAspect="1"/>
            </wp:cNvGraphicFramePr>
            <a:graphic>
              <a:graphicData uri="http://schemas.openxmlformats.org/drawingml/2006/picture">
                <pic:pic>
                  <pic:nvPicPr>
                    <pic:cNvPr id="52" name="image45.jpeg"/>
                    <pic:cNvPicPr/>
                  </pic:nvPicPr>
                  <pic:blipFill>
                    <a:blip r:embed="rId57" cstate="print"/>
                    <a:stretch>
                      <a:fillRect/>
                    </a:stretch>
                  </pic:blipFill>
                  <pic:spPr>
                    <a:xfrm>
                      <a:off x="0" y="0"/>
                      <a:ext cx="3672858" cy="3573589"/>
                    </a:xfrm>
                    <a:prstGeom prst="rect">
                      <a:avLst/>
                    </a:prstGeom>
                  </pic:spPr>
                </pic:pic>
              </a:graphicData>
            </a:graphic>
          </wp:anchor>
        </w:drawing>
      </w:r>
    </w:p>
    <w:p>
      <w:pPr>
        <w:pStyle w:val="BodyText"/>
        <w:spacing w:before="12"/>
        <w:rPr>
          <w:i/>
          <w:sz w:val="23"/>
        </w:rPr>
      </w:pPr>
    </w:p>
    <w:p>
      <w:pPr>
        <w:spacing w:before="0"/>
        <w:ind w:left="3765" w:right="0" w:firstLine="0"/>
        <w:jc w:val="left"/>
        <w:rPr>
          <w:i/>
          <w:sz w:val="14"/>
        </w:rPr>
      </w:pPr>
      <w:bookmarkStart w:name="_bookmark103" w:id="104"/>
      <w:bookmarkEnd w:id="104"/>
      <w:r>
        <w:rPr/>
      </w:r>
      <w:r>
        <w:rPr>
          <w:i/>
          <w:sz w:val="14"/>
        </w:rPr>
        <w:t>Figur 7.4: 2D model af maxtemperaturer for rum i Navitas</w:t>
      </w:r>
      <w:r>
        <w:rPr>
          <w:i/>
          <w:spacing w:val="-24"/>
          <w:sz w:val="14"/>
        </w:rPr>
        <w:t> </w:t>
      </w:r>
      <w:r>
        <w:rPr>
          <w:i/>
          <w:sz w:val="14"/>
        </w:rPr>
        <w:t>bygningen</w:t>
      </w:r>
    </w:p>
    <w:p>
      <w:pPr>
        <w:spacing w:after="0"/>
        <w:jc w:val="left"/>
        <w:rPr>
          <w:sz w:val="14"/>
        </w:rPr>
        <w:sectPr>
          <w:type w:val="continuous"/>
          <w:pgSz w:w="11910" w:h="16840"/>
          <w:pgMar w:top="1580" w:bottom="280" w:left="980" w:right="100"/>
        </w:sectPr>
      </w:pPr>
    </w:p>
    <w:p>
      <w:pPr>
        <w:spacing w:before="83"/>
        <w:ind w:left="2635" w:right="-19" w:firstLine="0"/>
        <w:jc w:val="left"/>
        <w:rPr>
          <w:sz w:val="12"/>
        </w:rPr>
      </w:pPr>
      <w:r>
        <w:rPr/>
        <w:pict>
          <v:line style="position:absolute;mso-position-horizontal-relative:page;mso-position-vertical-relative:paragraph;z-index:-175624" from="180.770004pt,3.822214pt" to="291.410004pt,3.822214pt" stroked="true" strokeweight=".48pt" strokecolor="#000000">
            <v:stroke dashstyle="solid"/>
            <w10:wrap type="none"/>
          </v:line>
        </w:pict>
      </w:r>
      <w:r>
        <w:rPr>
          <w:sz w:val="12"/>
        </w:rPr>
        <w:t>Styrelsen for Dataforsyning og Effektivisering og Energistyrelsen</w:t>
      </w:r>
    </w:p>
    <w:p>
      <w:pPr>
        <w:pStyle w:val="BodyText"/>
        <w:spacing w:before="11"/>
        <w:rPr>
          <w:sz w:val="5"/>
        </w:rPr>
      </w:pPr>
      <w:r>
        <w:rPr/>
        <w:br w:type="column"/>
      </w:r>
      <w:r>
        <w:rPr>
          <w:sz w:val="5"/>
        </w:rPr>
      </w:r>
    </w:p>
    <w:p>
      <w:pPr>
        <w:tabs>
          <w:tab w:pos="2871" w:val="left" w:leader="none"/>
        </w:tabs>
        <w:spacing w:line="20" w:lineRule="exact"/>
        <w:ind w:left="405" w:right="0" w:firstLine="0"/>
        <w:rPr>
          <w:sz w:val="2"/>
        </w:rPr>
      </w:pP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2876" w:val="left" w:leader="none"/>
        </w:tabs>
        <w:spacing w:before="0"/>
        <w:ind w:left="410" w:right="0" w:firstLine="0"/>
        <w:jc w:val="left"/>
        <w:rPr>
          <w:sz w:val="12"/>
        </w:rPr>
      </w:pP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620" w:bottom="960" w:left="980" w:right="100"/>
          <w:cols w:num="2" w:equalWidth="0">
            <w:col w:w="4653" w:space="40"/>
            <w:col w:w="6137"/>
          </w:cols>
        </w:sectPr>
      </w:pPr>
    </w:p>
    <w:p>
      <w:pPr>
        <w:pStyle w:val="BodyText"/>
        <w:rPr>
          <w:sz w:val="20"/>
        </w:rPr>
      </w:pPr>
      <w:r>
        <w:rPr/>
        <w:pict>
          <v:group style="position:absolute;margin-left:53.849998pt;margin-top:-.222301pt;width:506.8pt;height:841.1pt;mso-position-horizontal-relative:page;mso-position-vertical-relative:page;z-index:-175600" coordorigin="1077,-4" coordsize="10136,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077;top:7481;width:10082;height:2341" type="#_x0000_t75" stroked="false">
              <v:imagedata r:id="rId58" o:title=""/>
            </v:shape>
            <v:shape style="position:absolute;left:2920;top:10452;width:8293;height:2655" type="#_x0000_t75" stroked="false">
              <v:imagedata r:id="rId59" o:title=""/>
            </v:shape>
            <w10:wrap type="none"/>
          </v:group>
        </w:pict>
      </w:r>
    </w:p>
    <w:p>
      <w:pPr>
        <w:pStyle w:val="BodyText"/>
        <w:rPr>
          <w:sz w:val="20"/>
        </w:rPr>
      </w:pPr>
    </w:p>
    <w:p>
      <w:pPr>
        <w:pStyle w:val="BodyText"/>
        <w:rPr>
          <w:sz w:val="20"/>
        </w:rPr>
      </w:pPr>
    </w:p>
    <w:p>
      <w:pPr>
        <w:pStyle w:val="BodyText"/>
        <w:spacing w:before="5"/>
        <w:rPr>
          <w:sz w:val="13"/>
        </w:rPr>
      </w:pPr>
    </w:p>
    <w:p>
      <w:pPr>
        <w:pStyle w:val="BodyText"/>
        <w:ind w:left="2590"/>
        <w:rPr>
          <w:sz w:val="20"/>
        </w:rPr>
      </w:pPr>
      <w:r>
        <w:rPr>
          <w:sz w:val="20"/>
        </w:rPr>
        <w:drawing>
          <wp:inline distT="0" distB="0" distL="0" distR="0">
            <wp:extent cx="4730631" cy="3049524"/>
            <wp:effectExtent l="0" t="0" r="0" b="0"/>
            <wp:docPr id="53" name="image48.jpeg" descr=""/>
            <wp:cNvGraphicFramePr>
              <a:graphicFrameLocks noChangeAspect="1"/>
            </wp:cNvGraphicFramePr>
            <a:graphic>
              <a:graphicData uri="http://schemas.openxmlformats.org/drawingml/2006/picture">
                <pic:pic>
                  <pic:nvPicPr>
                    <pic:cNvPr id="54" name="image48.jpeg"/>
                    <pic:cNvPicPr/>
                  </pic:nvPicPr>
                  <pic:blipFill>
                    <a:blip r:embed="rId60" cstate="print"/>
                    <a:stretch>
                      <a:fillRect/>
                    </a:stretch>
                  </pic:blipFill>
                  <pic:spPr>
                    <a:xfrm>
                      <a:off x="0" y="0"/>
                      <a:ext cx="4730631" cy="3049524"/>
                    </a:xfrm>
                    <a:prstGeom prst="rect">
                      <a:avLst/>
                    </a:prstGeom>
                  </pic:spPr>
                </pic:pic>
              </a:graphicData>
            </a:graphic>
          </wp:inline>
        </w:drawing>
      </w:r>
      <w:r>
        <w:rPr>
          <w:sz w:val="20"/>
        </w:rPr>
      </w:r>
    </w:p>
    <w:p>
      <w:pPr>
        <w:pStyle w:val="BodyText"/>
        <w:spacing w:before="1"/>
        <w:rPr>
          <w:sz w:val="25"/>
        </w:rPr>
      </w:pPr>
    </w:p>
    <w:p>
      <w:pPr>
        <w:spacing w:before="99"/>
        <w:ind w:left="2653" w:right="1044" w:firstLine="0"/>
        <w:jc w:val="center"/>
        <w:rPr>
          <w:i/>
          <w:sz w:val="14"/>
        </w:rPr>
      </w:pPr>
      <w:bookmarkStart w:name="_bookmark104" w:id="105"/>
      <w:bookmarkEnd w:id="105"/>
      <w:r>
        <w:rPr/>
      </w:r>
      <w:r>
        <w:rPr>
          <w:i/>
          <w:sz w:val="14"/>
        </w:rPr>
        <w:t>Figur 7.5: Grafer over maxtemperatur i et rum</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before="1"/>
        <w:ind w:left="2649" w:right="0" w:firstLine="0"/>
        <w:jc w:val="both"/>
        <w:rPr>
          <w:i/>
          <w:sz w:val="14"/>
        </w:rPr>
      </w:pPr>
      <w:bookmarkStart w:name="_bookmark105" w:id="106"/>
      <w:bookmarkEnd w:id="106"/>
      <w:r>
        <w:rPr/>
      </w:r>
      <w:r>
        <w:rPr>
          <w:i/>
          <w:sz w:val="14"/>
        </w:rPr>
        <w:t>Figur 7.6: 2D illustration over maxtemperaturer over en enkelt dag på samme etage.</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4"/>
        <w:rPr>
          <w:i/>
          <w:sz w:val="16"/>
        </w:rPr>
      </w:pPr>
    </w:p>
    <w:p>
      <w:pPr>
        <w:spacing w:before="0"/>
        <w:ind w:left="2650" w:right="1044" w:firstLine="0"/>
        <w:jc w:val="center"/>
        <w:rPr>
          <w:i/>
          <w:sz w:val="14"/>
        </w:rPr>
      </w:pPr>
      <w:bookmarkStart w:name="_bookmark106" w:id="107"/>
      <w:bookmarkEnd w:id="107"/>
      <w:r>
        <w:rPr/>
      </w:r>
      <w:r>
        <w:rPr>
          <w:i/>
          <w:sz w:val="14"/>
        </w:rPr>
        <w:t>Figur 7.7: Eksempel på tabeldata anvendt til visning af rumdata og temperaturer i QGIS</w:t>
      </w:r>
    </w:p>
    <w:p>
      <w:pPr>
        <w:pStyle w:val="BodyText"/>
        <w:spacing w:before="7"/>
        <w:rPr>
          <w:i/>
          <w:sz w:val="23"/>
        </w:rPr>
      </w:pPr>
    </w:p>
    <w:p>
      <w:pPr>
        <w:pStyle w:val="Heading2"/>
        <w:numPr>
          <w:ilvl w:val="1"/>
          <w:numId w:val="29"/>
        </w:numPr>
        <w:tabs>
          <w:tab w:pos="2649" w:val="left" w:leader="none"/>
          <w:tab w:pos="2650" w:val="left" w:leader="none"/>
        </w:tabs>
        <w:spacing w:line="240" w:lineRule="auto" w:before="0" w:after="0"/>
        <w:ind w:left="2649" w:right="0" w:hanging="655"/>
        <w:jc w:val="left"/>
      </w:pPr>
      <w:bookmarkStart w:name="_bookmark107" w:id="108"/>
      <w:bookmarkEnd w:id="108"/>
      <w:r>
        <w:rPr/>
        <w:t>Kval</w:t>
      </w:r>
      <w:r>
        <w:rPr/>
        <w:t>ificering af koncept med</w:t>
      </w:r>
      <w:r>
        <w:rPr>
          <w:spacing w:val="-3"/>
        </w:rPr>
        <w:t> </w:t>
      </w:r>
      <w:r>
        <w:rPr/>
        <w:t>tredjepartsaktører</w:t>
      </w:r>
    </w:p>
    <w:p>
      <w:pPr>
        <w:pStyle w:val="BodyText"/>
        <w:spacing w:line="278" w:lineRule="auto" w:before="36"/>
        <w:ind w:left="2649" w:right="1127"/>
        <w:jc w:val="both"/>
      </w:pPr>
      <w:r>
        <w:rPr/>
        <w:t>Den ovenfor beskrevne konceptuelle model for infrastrukturen for indendørs geo- grafi er blevet vurderet og kvalificeret af to af de førende udviklere og leverandø- rer af systemer og datamodeller indenfor facility management og energistyring på det danske marked.</w:t>
      </w:r>
    </w:p>
    <w:p>
      <w:pPr>
        <w:spacing w:after="0" w:line="278" w:lineRule="auto"/>
        <w:jc w:val="both"/>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pStyle w:val="ListParagraph"/>
        <w:numPr>
          <w:ilvl w:val="0"/>
          <w:numId w:val="30"/>
        </w:numPr>
        <w:tabs>
          <w:tab w:pos="651" w:val="left" w:leader="none"/>
          <w:tab w:pos="2876" w:val="left" w:leader="none"/>
        </w:tabs>
        <w:spacing w:line="137" w:lineRule="exact" w:before="0" w:after="0"/>
        <w:ind w:left="650" w:right="0" w:hanging="240"/>
        <w:jc w:val="left"/>
        <w:rPr>
          <w:sz w:val="12"/>
        </w:rPr>
      </w:pPr>
      <w:r>
        <w:rPr>
          <w:sz w:val="12"/>
        </w:rPr>
        <w:br w:type="column"/>
        <w:t>februar</w:t>
      </w:r>
      <w:r>
        <w:rPr>
          <w:spacing w:val="-3"/>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50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52"/>
      </w:pPr>
      <w:r>
        <w:rPr/>
        <w:t>Interviewet med tredjepartsaktører om anvendelsespotentialet for en steddata- base (se afsnit </w:t>
      </w:r>
      <w:hyperlink w:history="true" w:anchor="_bookmark88">
        <w:r>
          <w:rPr/>
          <w:t>6.2</w:t>
        </w:r>
      </w:hyperlink>
      <w:r>
        <w:rPr/>
        <w:t>: </w:t>
      </w:r>
      <w:hyperlink w:history="true" w:anchor="_bookmark88">
        <w:r>
          <w:rPr/>
          <w:t>Interview med tredjepartsaktører</w:t>
        </w:r>
      </w:hyperlink>
      <w:r>
        <w:rPr/>
        <w:t>) indikerede, at to af aktø- rerne ville kunne give særligt relevante input til det tekniske koncept, og der er derfor afholdt opfølgende møder, med de to leverandører. Møderne bestod af en uddybende dialog om den konceptuelle model for infrastrukturen (</w:t>
      </w:r>
      <w:hyperlink w:history="true" w:anchor="_bookmark95">
        <w:r>
          <w:rPr/>
          <w:t>Figur 7.1: Tek-</w:t>
        </w:r>
      </w:hyperlink>
      <w:r>
        <w:rPr/>
        <w:t> </w:t>
      </w:r>
      <w:hyperlink w:history="true" w:anchor="_bookmark95">
        <w:r>
          <w:rPr/>
          <w:t>nisk konceptuel model for udviklingen af en steddatabase</w:t>
        </w:r>
      </w:hyperlink>
      <w:r>
        <w:rPr/>
        <w:t>) med fokus på at kvalifi- cering og perspektivering af konceptet. Den ene leverandør havde særlige forud- sætninger for at kvalificere de geografiske aspekter af konceptet (IFC) og sam- menhængen med FM og porteføljestyring, mens den anden aktør havde særlige forudsætninger for at kvalificere modelleringen og aggregeringen af input-data på energiområdet og sammenhængen med dataproduktion på tværs af anvendelser. Tilsammen har de derfor kunne give en bredt dækkende kvalificering af konceptet.</w:t>
      </w:r>
    </w:p>
    <w:p>
      <w:pPr>
        <w:pStyle w:val="BodyText"/>
        <w:spacing w:before="8"/>
        <w:rPr>
          <w:sz w:val="21"/>
        </w:rPr>
      </w:pPr>
    </w:p>
    <w:p>
      <w:pPr>
        <w:pStyle w:val="BodyText"/>
        <w:spacing w:line="278" w:lineRule="auto"/>
        <w:ind w:left="2649" w:right="1063"/>
      </w:pPr>
      <w:r>
        <w:rPr/>
        <w:t>De to leverandører vurderer, at konceptet er meningsfuldt opbygget. De udviser begge stor interesse for en national steddatabase og ser en række anvendelsespo- tentialer for deres kunder, andre bygningsejere og dem selv. Hvis projektet reali- seres på den rette måde, vil der potentielt være en stærk synergi mellem infra- strukturen for indendørs geografi og de systemer og dataydelser, de tilbyder. Her- udover gentog de fra sidste interviewrunde at værdien af en steddatabase ligger på tværs af forskellige anvendelsesdomæner som samlet set kan give stor værdi.</w:t>
      </w:r>
    </w:p>
    <w:p>
      <w:pPr>
        <w:pStyle w:val="BodyText"/>
        <w:spacing w:before="9"/>
        <w:rPr>
          <w:sz w:val="21"/>
        </w:rPr>
      </w:pPr>
    </w:p>
    <w:p>
      <w:pPr>
        <w:pStyle w:val="BodyText"/>
        <w:spacing w:line="278" w:lineRule="auto"/>
        <w:ind w:left="2649" w:right="1320"/>
      </w:pPr>
      <w:r>
        <w:rPr/>
        <w:t>Leverandørerne pointerede følgende opmærksomhedspunkter, som de vurderer har relevans for den videre konkretisering af konceptet og realiseringen af en funktionel, værdiskabende national steddatabase:</w:t>
      </w:r>
    </w:p>
    <w:p>
      <w:pPr>
        <w:pStyle w:val="BodyText"/>
        <w:spacing w:before="5"/>
        <w:rPr>
          <w:sz w:val="21"/>
        </w:rPr>
      </w:pPr>
    </w:p>
    <w:p>
      <w:pPr>
        <w:pStyle w:val="ListParagraph"/>
        <w:numPr>
          <w:ilvl w:val="1"/>
          <w:numId w:val="30"/>
        </w:numPr>
        <w:tabs>
          <w:tab w:pos="2932" w:val="left" w:leader="none"/>
          <w:tab w:pos="2933" w:val="left" w:leader="none"/>
        </w:tabs>
        <w:spacing w:line="278" w:lineRule="auto" w:before="0" w:after="0"/>
        <w:ind w:left="2933" w:right="1088" w:hanging="284"/>
        <w:jc w:val="left"/>
        <w:rPr>
          <w:sz w:val="17"/>
        </w:rPr>
      </w:pPr>
      <w:r>
        <w:rPr>
          <w:b/>
          <w:sz w:val="17"/>
        </w:rPr>
        <w:t>Generisk transformation af anvendelsesdomænernes input-data</w:t>
      </w:r>
      <w:r>
        <w:rPr>
          <w:sz w:val="17"/>
        </w:rPr>
        <w:t>. Trans- formationen og specificering af input-data vedrørende de enkelte anvendelses- domæner (energi, drift, FM, mv.) bør i videst muligt omfang følge de samme, enkle principper – fx en hierarkisk modellering med angivelse af sted, tid, må- ling, ID og evt. tilstand. Dvs. at transformationen ikke bør være låst fast i fag- specifikke</w:t>
      </w:r>
      <w:r>
        <w:rPr>
          <w:spacing w:val="-2"/>
          <w:sz w:val="17"/>
        </w:rPr>
        <w:t> </w:t>
      </w:r>
      <w:r>
        <w:rPr>
          <w:sz w:val="17"/>
        </w:rPr>
        <w:t>domæner.</w:t>
      </w:r>
    </w:p>
    <w:p>
      <w:pPr>
        <w:pStyle w:val="ListParagraph"/>
        <w:numPr>
          <w:ilvl w:val="1"/>
          <w:numId w:val="30"/>
        </w:numPr>
        <w:tabs>
          <w:tab w:pos="2932" w:val="left" w:leader="none"/>
          <w:tab w:pos="2933" w:val="left" w:leader="none"/>
        </w:tabs>
        <w:spacing w:line="278" w:lineRule="auto" w:before="1" w:after="0"/>
        <w:ind w:left="2933" w:right="1197" w:hanging="284"/>
        <w:jc w:val="left"/>
        <w:rPr>
          <w:sz w:val="17"/>
        </w:rPr>
      </w:pPr>
      <w:r>
        <w:rPr>
          <w:b/>
          <w:sz w:val="17"/>
        </w:rPr>
        <w:t>Energidata er gode eksempeldata. </w:t>
      </w:r>
      <w:r>
        <w:rPr>
          <w:sz w:val="17"/>
        </w:rPr>
        <w:t>Erfaringen viser, at hvis modelleringen er energidata er på plads, kan den let overføres til andre domænespecifikke datasæt. Energidata giver m.a.o. gode forudsætninger for at arbejde med an- dre typer af</w:t>
      </w:r>
      <w:r>
        <w:rPr>
          <w:spacing w:val="-3"/>
          <w:sz w:val="17"/>
        </w:rPr>
        <w:t> </w:t>
      </w:r>
      <w:r>
        <w:rPr>
          <w:sz w:val="17"/>
        </w:rPr>
        <w:t>datasæt.</w:t>
      </w:r>
    </w:p>
    <w:p>
      <w:pPr>
        <w:pStyle w:val="ListParagraph"/>
        <w:numPr>
          <w:ilvl w:val="1"/>
          <w:numId w:val="30"/>
        </w:numPr>
        <w:tabs>
          <w:tab w:pos="2932" w:val="left" w:leader="none"/>
          <w:tab w:pos="2933" w:val="left" w:leader="none"/>
        </w:tabs>
        <w:spacing w:line="278" w:lineRule="auto" w:before="0" w:after="0"/>
        <w:ind w:left="2933" w:right="1051" w:hanging="284"/>
        <w:jc w:val="left"/>
        <w:rPr>
          <w:sz w:val="17"/>
        </w:rPr>
      </w:pPr>
      <w:r>
        <w:rPr>
          <w:b/>
          <w:sz w:val="17"/>
        </w:rPr>
        <w:t>Zoner som egenskab fremfor geometri. </w:t>
      </w:r>
      <w:r>
        <w:rPr>
          <w:sz w:val="17"/>
        </w:rPr>
        <w:t>Det kan være en nødvendighed at arbejde med zoneringer som egenskaber, i stedet for som geometri (ofte tilfæl- det i BIM), da det giver øget fleksibilitet for de enkelte elementer og</w:t>
      </w:r>
      <w:r>
        <w:rPr>
          <w:spacing w:val="-19"/>
          <w:sz w:val="17"/>
        </w:rPr>
        <w:t> </w:t>
      </w:r>
      <w:r>
        <w:rPr>
          <w:sz w:val="17"/>
        </w:rPr>
        <w:t>enheder.</w:t>
      </w:r>
    </w:p>
    <w:p>
      <w:pPr>
        <w:pStyle w:val="ListParagraph"/>
        <w:numPr>
          <w:ilvl w:val="1"/>
          <w:numId w:val="30"/>
        </w:numPr>
        <w:tabs>
          <w:tab w:pos="2932" w:val="left" w:leader="none"/>
          <w:tab w:pos="2933" w:val="left" w:leader="none"/>
        </w:tabs>
        <w:spacing w:line="278" w:lineRule="auto" w:before="0" w:after="0"/>
        <w:ind w:left="2933" w:right="1049" w:hanging="284"/>
        <w:jc w:val="left"/>
        <w:rPr>
          <w:sz w:val="17"/>
        </w:rPr>
      </w:pPr>
      <w:r>
        <w:rPr>
          <w:b/>
          <w:sz w:val="17"/>
        </w:rPr>
        <w:t>Forenklet tranformation af IFC. </w:t>
      </w:r>
      <w:r>
        <w:rPr>
          <w:sz w:val="17"/>
        </w:rPr>
        <w:t>IFC er et komplekst format i kraft af dets mange egenskabsdata og generelt meget brede formål. Det vil være tungt at trække specifikke data løbende fra enkelte modeller. Det kan derfor have værdi at definere et mellem-format som definerer transformationen af data , og kun indeholder de essentielle informationer, som geometri, zone og</w:t>
      </w:r>
      <w:r>
        <w:rPr>
          <w:spacing w:val="-17"/>
          <w:sz w:val="17"/>
        </w:rPr>
        <w:t> </w:t>
      </w:r>
      <w:r>
        <w:rPr>
          <w:sz w:val="17"/>
        </w:rPr>
        <w:t>identifikation.</w:t>
      </w:r>
    </w:p>
    <w:p>
      <w:pPr>
        <w:pStyle w:val="ListParagraph"/>
        <w:numPr>
          <w:ilvl w:val="1"/>
          <w:numId w:val="30"/>
        </w:numPr>
        <w:tabs>
          <w:tab w:pos="2932" w:val="left" w:leader="none"/>
          <w:tab w:pos="2933" w:val="left" w:leader="none"/>
        </w:tabs>
        <w:spacing w:line="278" w:lineRule="auto" w:before="0" w:after="0"/>
        <w:ind w:left="2933" w:right="1033" w:hanging="284"/>
        <w:jc w:val="left"/>
        <w:rPr>
          <w:sz w:val="17"/>
        </w:rPr>
      </w:pPr>
      <w:r>
        <w:rPr>
          <w:b/>
          <w:sz w:val="17"/>
        </w:rPr>
        <w:t>Åbne formater. </w:t>
      </w:r>
      <w:r>
        <w:rPr>
          <w:sz w:val="17"/>
        </w:rPr>
        <w:t>Det anbefales at konceptet ikke bindes til specifikke visnings- og output-formater. Udviklingen går stærkt og mange brugere ønsker data vist i deres egne systemer, derfor vil dataservices og mange forskellige typer af for- mater være</w:t>
      </w:r>
      <w:r>
        <w:rPr>
          <w:spacing w:val="-3"/>
          <w:sz w:val="17"/>
        </w:rPr>
        <w:t> </w:t>
      </w:r>
      <w:r>
        <w:rPr>
          <w:sz w:val="17"/>
        </w:rPr>
        <w:t>optimale.</w:t>
      </w:r>
    </w:p>
    <w:p>
      <w:pPr>
        <w:pStyle w:val="ListParagraph"/>
        <w:numPr>
          <w:ilvl w:val="1"/>
          <w:numId w:val="30"/>
        </w:numPr>
        <w:tabs>
          <w:tab w:pos="2932" w:val="left" w:leader="none"/>
          <w:tab w:pos="2933" w:val="left" w:leader="none"/>
        </w:tabs>
        <w:spacing w:line="278" w:lineRule="auto" w:before="0" w:after="0"/>
        <w:ind w:left="2933" w:right="1175" w:hanging="284"/>
        <w:jc w:val="left"/>
        <w:rPr>
          <w:sz w:val="17"/>
        </w:rPr>
      </w:pPr>
      <w:r>
        <w:rPr>
          <w:b/>
          <w:sz w:val="17"/>
        </w:rPr>
        <w:t>Ønske om standarder</w:t>
      </w:r>
      <w:r>
        <w:rPr>
          <w:sz w:val="17"/>
        </w:rPr>
        <w:t>. Leverandører vil gerne kunne tilpasse deres ydelser i henhold til nationale eller internationale standarder. En steddatabase er også interessent for dem i den</w:t>
      </w:r>
      <w:r>
        <w:rPr>
          <w:spacing w:val="-4"/>
          <w:sz w:val="17"/>
        </w:rPr>
        <w:t> </w:t>
      </w:r>
      <w:r>
        <w:rPr>
          <w:sz w:val="17"/>
        </w:rPr>
        <w:t>henseende.</w:t>
      </w:r>
    </w:p>
    <w:p>
      <w:pPr>
        <w:pStyle w:val="ListParagraph"/>
        <w:numPr>
          <w:ilvl w:val="1"/>
          <w:numId w:val="30"/>
        </w:numPr>
        <w:tabs>
          <w:tab w:pos="2932" w:val="left" w:leader="none"/>
          <w:tab w:pos="2933" w:val="left" w:leader="none"/>
        </w:tabs>
        <w:spacing w:line="278" w:lineRule="auto" w:before="0" w:after="0"/>
        <w:ind w:left="2933" w:right="1133" w:hanging="284"/>
        <w:jc w:val="left"/>
        <w:rPr>
          <w:sz w:val="17"/>
        </w:rPr>
      </w:pPr>
      <w:r>
        <w:rPr>
          <w:b/>
          <w:sz w:val="17"/>
        </w:rPr>
        <w:t>Interesse for graph teknologi. </w:t>
      </w:r>
      <w:r>
        <w:rPr>
          <w:sz w:val="17"/>
        </w:rPr>
        <w:t>Særligt den ene leverandør udtrykte stor in- teresse for graph teknologien (herunder er RDF), og aktuelt er i gang med at undersøge hvorvidt, deres egne systemer og data-infrastrukturer kan anvende dette.</w:t>
      </w:r>
    </w:p>
    <w:p>
      <w:pPr>
        <w:spacing w:after="0" w:line="278" w:lineRule="auto"/>
        <w:jc w:val="left"/>
        <w:rPr>
          <w:sz w:val="17"/>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36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45"/>
      </w:pPr>
      <w:r>
        <w:rPr/>
        <w:t>Samlet set bekræftede dialogen med systemleverandørerne at det beskrevne kon- cept er solidt, og at der i den videre proces bør være fokus på at definere en stærk, men enkel struktur for transformation (modellering og aggregering) af så- vel de domænespecifikke input-data som de geografiske bygnings-grunddata. Der- udover er det afgørende at infrastrukturen kan levere data i et åbent format, der muliggør visning i mange forskellige</w:t>
      </w:r>
      <w:r>
        <w:rPr>
          <w:spacing w:val="-6"/>
        </w:rPr>
        <w:t> </w:t>
      </w:r>
      <w:r>
        <w:rPr/>
        <w:t>systemer.</w:t>
      </w:r>
    </w:p>
    <w:p>
      <w:pPr>
        <w:pStyle w:val="BodyText"/>
        <w:spacing w:before="10"/>
        <w:rPr>
          <w:sz w:val="20"/>
        </w:rPr>
      </w:pPr>
    </w:p>
    <w:p>
      <w:pPr>
        <w:pStyle w:val="Heading2"/>
        <w:numPr>
          <w:ilvl w:val="1"/>
          <w:numId w:val="29"/>
        </w:numPr>
        <w:tabs>
          <w:tab w:pos="2649" w:val="left" w:leader="none"/>
          <w:tab w:pos="2650" w:val="left" w:leader="none"/>
        </w:tabs>
        <w:spacing w:line="264" w:lineRule="auto" w:before="0" w:after="0"/>
        <w:ind w:left="2649" w:right="1197" w:hanging="655"/>
        <w:jc w:val="left"/>
      </w:pPr>
      <w:bookmarkStart w:name="_bookmark108" w:id="109"/>
      <w:bookmarkEnd w:id="109"/>
      <w:r>
        <w:rPr/>
        <w:t>T</w:t>
      </w:r>
      <w:r>
        <w:rPr/>
        <w:t>eknologiske perspektiver for en indendørs stedda- tabase med RDF</w:t>
      </w:r>
      <w:r>
        <w:rPr>
          <w:spacing w:val="-4"/>
        </w:rPr>
        <w:t> </w:t>
      </w:r>
      <w:r>
        <w:rPr/>
        <w:t>teknologi</w:t>
      </w:r>
    </w:p>
    <w:p>
      <w:pPr>
        <w:pStyle w:val="BodyText"/>
        <w:spacing w:line="278" w:lineRule="auto" w:before="7"/>
        <w:ind w:left="2649" w:right="1083"/>
      </w:pPr>
      <w:r>
        <w:rPr/>
        <w:t>Anvendelserne for den indendørs steddatabase ligger i et grænsefelt mellem stati- ske BIM- og GIS-data og dynamiske data i form af sensorobservationer og sy- stem-positioner. I forskningen er der i de seneste år blevet arbejdet med at fusio- nere disse forskellige datasæt ved brug af semantiske webteknologier, ofte refere- ret til som linked data eller web of data. De teknologiske visioner blev første gang præsenteret af Tim Berners-Lee et al, (2001)</w:t>
      </w:r>
      <w:r>
        <w:rPr>
          <w:position w:val="6"/>
          <w:sz w:val="11"/>
        </w:rPr>
        <w:t>26 </w:t>
      </w:r>
      <w:r>
        <w:rPr/>
        <w:t>som beskriver, at det semantiske web skal etableres ved at give adgang til strukturerede samlinger af informationer og infererings-regler, som de kan bruge til at udføre automatiseret logisk ræson- nering. Informationerne beskrives i et særligt framework til repræsentation af in- formationer i et netværk, kaldet Resource Description Framework (RDF).</w:t>
      </w:r>
    </w:p>
    <w:p>
      <w:pPr>
        <w:pStyle w:val="BodyText"/>
        <w:spacing w:before="8"/>
        <w:rPr>
          <w:sz w:val="21"/>
        </w:rPr>
      </w:pPr>
    </w:p>
    <w:p>
      <w:pPr>
        <w:pStyle w:val="BodyText"/>
        <w:spacing w:line="278" w:lineRule="auto"/>
        <w:ind w:left="2649" w:right="1024"/>
      </w:pPr>
      <w:r>
        <w:rPr/>
        <w:t>I RDF modelleres informationer i såkaldte triples, som består af et subjekt, et præ- dikat og et objekt. En triple er i sig selv en retningsorienteret ”graf” som består af to punkter (subjektet og objektet) forbundet af en linje/kant (prædikatet) som vist på </w:t>
      </w:r>
      <w:hyperlink w:history="true" w:anchor="_bookmark109">
        <w:r>
          <w:rPr/>
          <w:t>Figur 7.8</w:t>
        </w:r>
      </w:hyperlink>
      <w:r>
        <w:rPr/>
        <w:t>. Prædikater kan også forbinde et subjekt med en simpel egenskab, som en tekststreng eller et stykke data i XML-format, og dermed er det muligt at specificere datatypen. Flere triples danner tilsammen en større graf, som kan fore- spørges med sproget SPARQL.</w:t>
      </w:r>
    </w:p>
    <w:p>
      <w:pPr>
        <w:pStyle w:val="BodyText"/>
        <w:spacing w:before="6"/>
        <w:rPr>
          <w:sz w:val="15"/>
        </w:rPr>
      </w:pPr>
      <w:r>
        <w:rPr/>
        <w:drawing>
          <wp:anchor distT="0" distB="0" distL="0" distR="0" allowOverlap="1" layoutInCell="1" locked="0" behindDoc="0" simplePos="0" relativeHeight="260">
            <wp:simplePos x="0" y="0"/>
            <wp:positionH relativeFrom="page">
              <wp:posOffset>2304414</wp:posOffset>
            </wp:positionH>
            <wp:positionV relativeFrom="paragraph">
              <wp:posOffset>144664</wp:posOffset>
            </wp:positionV>
            <wp:extent cx="5066791" cy="1551622"/>
            <wp:effectExtent l="0" t="0" r="0" b="0"/>
            <wp:wrapTopAndBottom/>
            <wp:docPr id="55" name="image49.png" descr=""/>
            <wp:cNvGraphicFramePr>
              <a:graphicFrameLocks noChangeAspect="1"/>
            </wp:cNvGraphicFramePr>
            <a:graphic>
              <a:graphicData uri="http://schemas.openxmlformats.org/drawingml/2006/picture">
                <pic:pic>
                  <pic:nvPicPr>
                    <pic:cNvPr id="56" name="image49.png"/>
                    <pic:cNvPicPr/>
                  </pic:nvPicPr>
                  <pic:blipFill>
                    <a:blip r:embed="rId61" cstate="print"/>
                    <a:stretch>
                      <a:fillRect/>
                    </a:stretch>
                  </pic:blipFill>
                  <pic:spPr>
                    <a:xfrm>
                      <a:off x="0" y="0"/>
                      <a:ext cx="5066791" cy="1551622"/>
                    </a:xfrm>
                    <a:prstGeom prst="rect">
                      <a:avLst/>
                    </a:prstGeom>
                  </pic:spPr>
                </pic:pic>
              </a:graphicData>
            </a:graphic>
          </wp:anchor>
        </w:drawing>
      </w:r>
    </w:p>
    <w:p>
      <w:pPr>
        <w:spacing w:before="0"/>
        <w:ind w:left="3525" w:right="590" w:hanging="869"/>
        <w:jc w:val="left"/>
        <w:rPr>
          <w:i/>
          <w:sz w:val="14"/>
        </w:rPr>
      </w:pPr>
      <w:bookmarkStart w:name="_bookmark109" w:id="110"/>
      <w:bookmarkEnd w:id="110"/>
      <w:r>
        <w:rPr/>
      </w:r>
      <w:r>
        <w:rPr>
          <w:i/>
          <w:sz w:val="14"/>
        </w:rPr>
        <w:t>Figur 7.8: En enkelt triple som eksemplet til vesntre, skaber en relation imellem væg og vindue (i en </w:t>
      </w:r>
      <w:r>
        <w:rPr>
          <w:i/>
          <w:sz w:val="14"/>
        </w:rPr>
        <w:t>triple). Indsættes flere relationer dannes et netværk af relationer til en graf.</w:t>
      </w:r>
    </w:p>
    <w:p>
      <w:pPr>
        <w:pStyle w:val="BodyText"/>
        <w:spacing w:before="6"/>
        <w:rPr>
          <w:i/>
          <w:sz w:val="19"/>
        </w:rPr>
      </w:pPr>
    </w:p>
    <w:p>
      <w:pPr>
        <w:pStyle w:val="BodyText"/>
        <w:spacing w:line="278" w:lineRule="auto"/>
        <w:ind w:left="2649" w:right="1030"/>
      </w:pPr>
      <w:r>
        <w:rPr/>
        <w:t>I RDF identificeres alle datatyper med web-adresser (IRI’er). Ontologier specifice- rer terminologilaget, som et vokabular af klasser samt deres indbyrdes relationer. RDFS (RDF Skema) og OWL (Web Ontology Language) er to udbredte ontologier beskrevet i RDF, og med dem er det muligt at beskrive hierarkier af egenskaber, klasser og logik, som eksempelvis at RødeBiler er en underklasse af Biler, som er en underklasse af Køretøjer, der også har en anden underklasse Cykler. Det bety- der, at alle biler, der tilhører klassen RødeBiler, også tilhører klasserne Biler og Kø- retøjer, men ikke klassen Cykler. En egenskab kan også defineres som symmetrisk ([A]-kender-&gt;[B] medfører at [B]-kender-[A]) eller transitiv ([A]-indeholder-&gt;[B] og [B]-indeholder-&gt;[C] medfører at [A]-indeholder-[C]).</w:t>
      </w:r>
    </w:p>
    <w:p>
      <w:pPr>
        <w:pStyle w:val="BodyText"/>
        <w:rPr>
          <w:sz w:val="20"/>
        </w:rPr>
      </w:pPr>
    </w:p>
    <w:p>
      <w:pPr>
        <w:pStyle w:val="BodyText"/>
        <w:spacing w:before="8"/>
        <w:rPr>
          <w:sz w:val="10"/>
        </w:rPr>
      </w:pPr>
      <w:r>
        <w:rPr/>
        <w:pict>
          <v:line style="position:absolute;mso-position-horizontal-relative:page;mso-position-vertical-relative:paragraph;z-index:5240;mso-wrap-distance-left:0;mso-wrap-distance-right:0" from="181.490005pt,8.702243pt" to="325.510005pt,8.702243pt" stroked="true" strokeweight=".47998pt" strokecolor="#000000">
            <v:stroke dashstyle="solid"/>
            <w10:wrap type="topAndBottom"/>
          </v:line>
        </w:pict>
      </w:r>
    </w:p>
    <w:p>
      <w:pPr>
        <w:pStyle w:val="BodyText"/>
        <w:spacing w:before="4"/>
      </w:pPr>
    </w:p>
    <w:p>
      <w:pPr>
        <w:spacing w:before="101"/>
        <w:ind w:left="2649" w:right="1038" w:firstLine="0"/>
        <w:jc w:val="left"/>
        <w:rPr>
          <w:sz w:val="15"/>
        </w:rPr>
      </w:pPr>
      <w:r>
        <w:rPr>
          <w:position w:val="5"/>
          <w:sz w:val="10"/>
        </w:rPr>
        <w:t>26 </w:t>
      </w:r>
      <w:r>
        <w:rPr>
          <w:sz w:val="15"/>
        </w:rPr>
        <w:t>Berners-Lee, T., Hendler, J., &amp; Lassila, O. (2001). The semantic web. Scientific american, 284(5), 34-43.</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24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3"/>
        </w:rPr>
      </w:pPr>
    </w:p>
    <w:p>
      <w:pPr>
        <w:pStyle w:val="Heading3"/>
        <w:numPr>
          <w:ilvl w:val="2"/>
          <w:numId w:val="31"/>
        </w:numPr>
        <w:tabs>
          <w:tab w:pos="2649" w:val="left" w:leader="none"/>
          <w:tab w:pos="2650" w:val="left" w:leader="none"/>
        </w:tabs>
        <w:spacing w:line="240" w:lineRule="auto" w:before="99" w:after="0"/>
        <w:ind w:left="2649" w:right="0" w:hanging="799"/>
        <w:jc w:val="left"/>
      </w:pPr>
      <w:bookmarkStart w:name="_bookmark110" w:id="111"/>
      <w:bookmarkEnd w:id="111"/>
      <w:r>
        <w:rPr/>
        <w:t>Ek</w:t>
      </w:r>
      <w:r>
        <w:rPr/>
        <w:t>sisterende ontologier inden for BIM, GIS og</w:t>
      </w:r>
      <w:r>
        <w:rPr>
          <w:spacing w:val="1"/>
        </w:rPr>
        <w:t> </w:t>
      </w:r>
      <w:r>
        <w:rPr/>
        <w:t>energidata</w:t>
      </w:r>
    </w:p>
    <w:p>
      <w:pPr>
        <w:pStyle w:val="BodyText"/>
        <w:spacing w:line="278" w:lineRule="auto" w:before="34"/>
        <w:ind w:left="2649" w:right="1038"/>
      </w:pPr>
      <w:r>
        <w:rPr/>
        <w:t>Ifølge “Data on the web best practices, best practice 15: Reuse vocabularies, pre- ferably standardized ones”</w:t>
      </w:r>
      <w:r>
        <w:rPr>
          <w:position w:val="6"/>
          <w:sz w:val="11"/>
        </w:rPr>
        <w:t>27 </w:t>
      </w:r>
      <w:r>
        <w:rPr/>
        <w:t>(W3C-anbefaling fra 2017), bør det i videst mulig ud- strækning forsøges at genbruge vokabularer, der allerede eksisterer og det anbe- fales ligeledes at bruge ontologier udgivet af standardiseringsorganer som W3C</w:t>
      </w:r>
      <w:r>
        <w:rPr>
          <w:position w:val="6"/>
          <w:sz w:val="11"/>
        </w:rPr>
        <w:t>28 </w:t>
      </w:r>
      <w:r>
        <w:rPr/>
        <w:t>og OGC. Derfor anbefales det at genbruge terminologi fra nedenstående ontolo- gier, eventuelt med specifikke udvidelser, hvor det måtte være nødvendigt.</w:t>
      </w:r>
    </w:p>
    <w:p>
      <w:pPr>
        <w:pStyle w:val="BodyText"/>
        <w:spacing w:before="1"/>
        <w:rPr>
          <w:sz w:val="23"/>
        </w:rPr>
      </w:pPr>
    </w:p>
    <w:p>
      <w:pPr>
        <w:spacing w:before="0"/>
        <w:ind w:left="2649" w:right="0" w:firstLine="0"/>
        <w:jc w:val="left"/>
        <w:rPr>
          <w:i/>
          <w:sz w:val="17"/>
        </w:rPr>
      </w:pPr>
      <w:r>
        <w:rPr>
          <w:i/>
          <w:sz w:val="17"/>
        </w:rPr>
        <w:t>BIM</w:t>
      </w:r>
    </w:p>
    <w:p>
      <w:pPr>
        <w:pStyle w:val="BodyText"/>
        <w:spacing w:line="278" w:lineRule="auto" w:before="34"/>
        <w:ind w:left="2933" w:right="1019"/>
      </w:pPr>
      <w:r>
        <w:rPr/>
        <w:t>IFC udvekslingsformatet findes i en OWL-version kaldet ifcOWL. I forskningen kritiseres ifcOWL for at have et fór bredt fokus, indeholdende mere end 1300 klasser og 1500 egenskaber. Dette strider mod de førnævnte W3C best prac- tices idet for eksempel fysiske enheder beskrives som en del af skemaet, selvom andre mere udbredte ontologier</w:t>
      </w:r>
      <w:r>
        <w:rPr>
          <w:position w:val="6"/>
          <w:sz w:val="11"/>
        </w:rPr>
        <w:t>29 </w:t>
      </w:r>
      <w:r>
        <w:rPr/>
        <w:t>allerede beskriver dette område. Der- for arbejder W3C på at standardise langt simplere, modulbaserede ontologier til at beskrive topologien i en bygning. Blandt andet Bygningstopologiontologien (BOT), som også har været demonstreret i samspil med SSN/SOSA</w:t>
      </w:r>
      <w:r>
        <w:rPr>
          <w:position w:val="6"/>
          <w:sz w:val="11"/>
        </w:rPr>
        <w:t>30 </w:t>
      </w:r>
      <w:r>
        <w:rPr/>
        <w:t>der be- skriver sensorplaceringer i en bygning (M. H. Rasmussen et al., 2018)</w:t>
      </w:r>
      <w:r>
        <w:rPr>
          <w:position w:val="6"/>
          <w:sz w:val="11"/>
        </w:rPr>
        <w:t>31</w:t>
      </w:r>
      <w:r>
        <w:rPr/>
        <w:t>.</w:t>
      </w:r>
    </w:p>
    <w:p>
      <w:pPr>
        <w:pStyle w:val="BodyText"/>
        <w:spacing w:before="4"/>
        <w:rPr>
          <w:sz w:val="23"/>
        </w:rPr>
      </w:pPr>
    </w:p>
    <w:p>
      <w:pPr>
        <w:spacing w:before="1"/>
        <w:ind w:left="2649" w:right="0" w:firstLine="0"/>
        <w:jc w:val="left"/>
        <w:rPr>
          <w:i/>
          <w:sz w:val="17"/>
        </w:rPr>
      </w:pPr>
      <w:r>
        <w:rPr>
          <w:i/>
          <w:sz w:val="17"/>
        </w:rPr>
        <w:t>GIS</w:t>
      </w:r>
    </w:p>
    <w:p>
      <w:pPr>
        <w:pStyle w:val="BodyText"/>
        <w:spacing w:line="278" w:lineRule="auto" w:before="33"/>
        <w:ind w:left="2933" w:right="1074"/>
      </w:pPr>
      <w:r>
        <w:rPr/>
        <w:pict>
          <v:rect style="position:absolute;margin-left:402.429993pt;margin-top:83.415672pt;width:3.12pt;height:.84pt;mso-position-horizontal-relative:page;mso-position-vertical-relative:paragraph;z-index:-175216" filled="true" fillcolor="#1154cc" stroked="false">
            <v:fill type="solid"/>
            <w10:wrap type="none"/>
          </v:rect>
        </w:pict>
      </w:r>
      <w:r>
        <w:rPr/>
        <w:t>Den stigende efterspørgsel på 3D geodata gør ontologier anvendelige i repræ- sentationen af information og viden om forskellige domæner samt deres inter- operabilitet. Anvendelsen af ontologier kan i høj grad lette korrespondancen og sammenhængen mellem informationer. GIS udvekslingsformatet CityGML blev udviklet i RDF-format af Métral, C et al.</w:t>
      </w:r>
      <w:r>
        <w:rPr>
          <w:position w:val="6"/>
          <w:sz w:val="11"/>
        </w:rPr>
        <w:t>32 </w:t>
      </w:r>
      <w:r>
        <w:rPr/>
        <w:t>med det argument at CityGML i sig selv ikke kan benyttes til at beskrive urbane informationer. Der findes endvi- dere et geografisk query sprog OGC geoSPARQL som tillader søgning på geo- grafiske interessepunkter i RDF, inden for et særligt område udviklet af OGC.</w:t>
      </w:r>
    </w:p>
    <w:p>
      <w:pPr>
        <w:pStyle w:val="BodyText"/>
        <w:spacing w:before="2"/>
        <w:rPr>
          <w:sz w:val="23"/>
        </w:rPr>
      </w:pPr>
    </w:p>
    <w:p>
      <w:pPr>
        <w:spacing w:before="0"/>
        <w:ind w:left="2649" w:right="0" w:firstLine="0"/>
        <w:jc w:val="left"/>
        <w:rPr>
          <w:i/>
          <w:sz w:val="17"/>
        </w:rPr>
      </w:pPr>
      <w:r>
        <w:rPr>
          <w:i/>
          <w:sz w:val="17"/>
        </w:rPr>
        <w:t>Sensorer, energimålere mv. i bygninger</w:t>
      </w:r>
    </w:p>
    <w:p>
      <w:pPr>
        <w:pStyle w:val="BodyText"/>
        <w:spacing w:line="278" w:lineRule="auto" w:before="36"/>
        <w:ind w:left="2933" w:right="1090"/>
      </w:pPr>
      <w:r>
        <w:rPr/>
        <w:t>Der findes god erfaring om optimeringen af energidata samt energieffektivise- ring i RDF formatet. ETSI-standarden</w:t>
      </w:r>
      <w:r>
        <w:rPr>
          <w:position w:val="6"/>
          <w:sz w:val="11"/>
        </w:rPr>
        <w:t>33 </w:t>
      </w:r>
      <w:r>
        <w:rPr/>
        <w:t>SAREF</w:t>
      </w:r>
      <w:r>
        <w:rPr>
          <w:position w:val="6"/>
          <w:sz w:val="11"/>
        </w:rPr>
        <w:t>34 </w:t>
      </w:r>
      <w:r>
        <w:rPr/>
        <w:t>er en fælles model, der beskri- ver sammenhængen mellem enheder, i kontekst af den funktion de udfører samt deres tilstand. Der pågår et arbejde med at integrere denne med SEAS ontologierne, der beskriver smarte energibevidste systemer, og ligeledes er til- passet til SSN/SOSA. Det er en fordel at SSN/SOSA og BOT begge er nemme at integrere, da det er en af grundstenene i deres design (Iht. W3C-anbefalin- gen). Derfor bør observationer fra sensorer og aktuatorer beskrives med onto- logierne fra</w:t>
      </w:r>
      <w:r>
        <w:rPr>
          <w:spacing w:val="-1"/>
        </w:rPr>
        <w:t> </w:t>
      </w:r>
      <w:r>
        <w:rPr/>
        <w:t>SSN/SOSA.</w:t>
      </w:r>
    </w:p>
    <w:p>
      <w:pPr>
        <w:pStyle w:val="BodyText"/>
        <w:rPr>
          <w:sz w:val="20"/>
        </w:rPr>
      </w:pPr>
    </w:p>
    <w:p>
      <w:pPr>
        <w:pStyle w:val="BodyText"/>
        <w:rPr>
          <w:sz w:val="20"/>
        </w:rPr>
      </w:pPr>
    </w:p>
    <w:p>
      <w:pPr>
        <w:pStyle w:val="BodyText"/>
        <w:rPr>
          <w:sz w:val="20"/>
        </w:rPr>
      </w:pPr>
    </w:p>
    <w:p>
      <w:pPr>
        <w:pStyle w:val="BodyText"/>
        <w:spacing w:before="4"/>
        <w:rPr>
          <w:sz w:val="26"/>
        </w:rPr>
      </w:pPr>
      <w:r>
        <w:rPr/>
        <w:pict>
          <v:line style="position:absolute;mso-position-horizontal-relative:page;mso-position-vertical-relative:paragraph;z-index:5360;mso-wrap-distance-left:0;mso-wrap-distance-right:0" from="181.490005pt,18.230515pt" to="325.510005pt,18.230515pt" stroked="true" strokeweight=".47998pt" strokecolor="#000000">
            <v:stroke dashstyle="solid"/>
            <w10:wrap type="topAndBottom"/>
          </v:line>
        </w:pict>
      </w:r>
    </w:p>
    <w:p>
      <w:pPr>
        <w:pStyle w:val="BodyText"/>
        <w:spacing w:before="6"/>
      </w:pPr>
    </w:p>
    <w:p>
      <w:pPr>
        <w:spacing w:line="181" w:lineRule="exact" w:before="101"/>
        <w:ind w:left="2649" w:right="0" w:firstLine="0"/>
        <w:jc w:val="left"/>
        <w:rPr>
          <w:sz w:val="15"/>
        </w:rPr>
      </w:pPr>
      <w:r>
        <w:rPr>
          <w:position w:val="5"/>
          <w:sz w:val="10"/>
        </w:rPr>
        <w:t>27 </w:t>
      </w:r>
      <w:r>
        <w:rPr>
          <w:sz w:val="15"/>
        </w:rPr>
        <w:t>Kilde: </w:t>
      </w:r>
      <w:hyperlink r:id="rId62">
        <w:r>
          <w:rPr>
            <w:color w:val="008EBA"/>
            <w:sz w:val="15"/>
            <w:u w:val="single" w:color="008EBA"/>
          </w:rPr>
          <w:t>https://www.w3.org/TR/dwbp/#ReuseVocabularies</w:t>
        </w:r>
      </w:hyperlink>
    </w:p>
    <w:p>
      <w:pPr>
        <w:spacing w:before="0"/>
        <w:ind w:left="2649" w:right="1038" w:firstLine="0"/>
        <w:jc w:val="left"/>
        <w:rPr>
          <w:rFonts w:ascii="Arial" w:hAnsi="Arial"/>
          <w:sz w:val="15"/>
        </w:rPr>
      </w:pPr>
      <w:r>
        <w:rPr>
          <w:position w:val="5"/>
          <w:sz w:val="10"/>
        </w:rPr>
        <w:t>28 </w:t>
      </w:r>
      <w:r>
        <w:rPr>
          <w:sz w:val="15"/>
        </w:rPr>
        <w:t>W3C: </w:t>
      </w:r>
      <w:r>
        <w:rPr>
          <w:rFonts w:ascii="Arial" w:hAnsi="Arial"/>
          <w:color w:val="212121"/>
          <w:sz w:val="15"/>
        </w:rPr>
        <w:t>World Wide Web Consortium er en international sammenslutning, som laver standarder til World Wide Web. W3C udvikler protokoller og standarder, så internettet kan udnyttes fuldt ud.</w:t>
      </w:r>
    </w:p>
    <w:p>
      <w:pPr>
        <w:spacing w:before="2"/>
        <w:ind w:left="2649" w:right="1038" w:firstLine="0"/>
        <w:jc w:val="left"/>
        <w:rPr>
          <w:sz w:val="15"/>
        </w:rPr>
      </w:pPr>
      <w:r>
        <w:rPr>
          <w:position w:val="5"/>
          <w:sz w:val="10"/>
        </w:rPr>
        <w:t>29 </w:t>
      </w:r>
      <w:r>
        <w:rPr>
          <w:sz w:val="15"/>
        </w:rPr>
        <w:t>For eksempel CDT: Custom Datatypes; QUDT: Quantity, Unit, Dimension and Type; OM: Units of Measurement Ontology</w:t>
      </w:r>
    </w:p>
    <w:p>
      <w:pPr>
        <w:spacing w:before="0"/>
        <w:ind w:left="2649" w:right="1038" w:firstLine="0"/>
        <w:jc w:val="left"/>
        <w:rPr>
          <w:sz w:val="15"/>
        </w:rPr>
      </w:pPr>
      <w:r>
        <w:rPr>
          <w:position w:val="5"/>
          <w:sz w:val="10"/>
        </w:rPr>
        <w:t>30 </w:t>
      </w:r>
      <w:r>
        <w:rPr>
          <w:sz w:val="15"/>
        </w:rPr>
        <w:t>SSN/SOSA: Semantic Sensor Network Ontology, er en W3C-anbefaling udarbejdet i samar- bejde med OGC i 2017.</w:t>
      </w:r>
    </w:p>
    <w:p>
      <w:pPr>
        <w:spacing w:line="240" w:lineRule="auto" w:before="0"/>
        <w:ind w:left="2649" w:right="1116" w:firstLine="0"/>
        <w:jc w:val="both"/>
        <w:rPr>
          <w:sz w:val="15"/>
        </w:rPr>
      </w:pPr>
      <w:r>
        <w:rPr>
          <w:position w:val="5"/>
          <w:sz w:val="10"/>
        </w:rPr>
        <w:t>31 </w:t>
      </w:r>
      <w:r>
        <w:rPr>
          <w:sz w:val="15"/>
        </w:rPr>
        <w:t>Rasmussen, M. H., Frausing, C. A., Hviid, C. A., &amp; Karlshøj, J. (2018). Integrating Building Information Modeling and Sensor Observations using Semantic Web. In 9th International Se- mantic Sensor Networks Workshop.</w:t>
      </w:r>
    </w:p>
    <w:p>
      <w:pPr>
        <w:spacing w:before="0"/>
        <w:ind w:left="2649" w:right="1038" w:firstLine="0"/>
        <w:jc w:val="left"/>
        <w:rPr>
          <w:sz w:val="15"/>
        </w:rPr>
      </w:pPr>
      <w:r>
        <w:rPr>
          <w:position w:val="5"/>
          <w:sz w:val="10"/>
        </w:rPr>
        <w:t>32 </w:t>
      </w:r>
      <w:r>
        <w:rPr>
          <w:sz w:val="15"/>
        </w:rPr>
        <w:t>Métral, C., Billen, R., Cutting-Decelle, A. F., &amp; Van Ruymbeke, M. (2010). Ontology-based approaches for improving the interoperability between 3D urban models. Journal of Infor- mation Technology in Construction, 15, 169-184.</w:t>
      </w:r>
    </w:p>
    <w:p>
      <w:pPr>
        <w:spacing w:before="0"/>
        <w:ind w:left="2649" w:right="0" w:firstLine="0"/>
        <w:jc w:val="left"/>
        <w:rPr>
          <w:sz w:val="15"/>
        </w:rPr>
      </w:pPr>
      <w:r>
        <w:rPr>
          <w:position w:val="5"/>
          <w:sz w:val="10"/>
        </w:rPr>
        <w:t>33 </w:t>
      </w:r>
      <w:r>
        <w:rPr>
          <w:sz w:val="15"/>
        </w:rPr>
        <w:t>ETSI: European Telecommunications Standards Institute</w:t>
      </w:r>
    </w:p>
    <w:p>
      <w:pPr>
        <w:spacing w:before="0"/>
        <w:ind w:left="2649" w:right="0" w:firstLine="0"/>
        <w:jc w:val="left"/>
        <w:rPr>
          <w:sz w:val="15"/>
        </w:rPr>
      </w:pPr>
      <w:r>
        <w:rPr>
          <w:position w:val="5"/>
          <w:sz w:val="10"/>
        </w:rPr>
        <w:t>34 </w:t>
      </w:r>
      <w:r>
        <w:rPr>
          <w:sz w:val="15"/>
        </w:rPr>
        <w:t>SAREF: Smart Appliances REFerence</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12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3"/>
        </w:rPr>
      </w:pPr>
    </w:p>
    <w:p>
      <w:pPr>
        <w:pStyle w:val="Heading3"/>
        <w:numPr>
          <w:ilvl w:val="2"/>
          <w:numId w:val="31"/>
        </w:numPr>
        <w:tabs>
          <w:tab w:pos="2649" w:val="left" w:leader="none"/>
          <w:tab w:pos="2650" w:val="left" w:leader="none"/>
        </w:tabs>
        <w:spacing w:line="240" w:lineRule="auto" w:before="99" w:after="0"/>
        <w:ind w:left="2649" w:right="0" w:hanging="799"/>
        <w:jc w:val="left"/>
      </w:pPr>
      <w:bookmarkStart w:name="_bookmark111" w:id="112"/>
      <w:bookmarkEnd w:id="112"/>
      <w:r>
        <w:rPr/>
        <w:t>Da</w:t>
      </w:r>
      <w:r>
        <w:rPr/>
        <w:t>taadgang og implementering af</w:t>
      </w:r>
      <w:r>
        <w:rPr>
          <w:spacing w:val="2"/>
        </w:rPr>
        <w:t> </w:t>
      </w:r>
      <w:r>
        <w:rPr/>
        <w:t>RDF</w:t>
      </w:r>
    </w:p>
    <w:p>
      <w:pPr>
        <w:pStyle w:val="BodyText"/>
        <w:spacing w:line="278" w:lineRule="auto" w:before="34"/>
        <w:ind w:left="2649" w:right="1120"/>
      </w:pPr>
      <w:r>
        <w:rPr/>
        <w:t>Den typiske grænseflade til RDF-data er et såkaldt SPARQL endpoint, som tillader klienter at sende forespørgsler via web. Der findes en del kommercielle såvel som open source systemer som både håndterer RDF mht. datalagring, logisk ræssone- ring og SPARQL-queries, og som tilmed inkluderer et SPARQL-endpoint. ”Jena Fu- seki” er en open source løsning hvor Stardog, GraphDB og Amazon Neptune er kommercielle alternativer.</w:t>
      </w:r>
    </w:p>
    <w:p>
      <w:pPr>
        <w:pStyle w:val="BodyText"/>
        <w:spacing w:before="6"/>
        <w:rPr>
          <w:sz w:val="21"/>
        </w:rPr>
      </w:pPr>
    </w:p>
    <w:p>
      <w:pPr>
        <w:pStyle w:val="BodyText"/>
        <w:spacing w:line="254" w:lineRule="auto"/>
        <w:ind w:left="2649" w:right="1091"/>
      </w:pPr>
      <w:r>
        <w:rPr/>
        <w:t>EU’s portal for åbne data og Ordnance Survey Linked Data platform er eksempler på organisationer, der tillader download af RDF-data</w:t>
      </w:r>
      <w:r>
        <w:rPr>
          <w:rFonts w:ascii="Arial" w:hAnsi="Arial"/>
          <w:sz w:val="22"/>
        </w:rPr>
        <w:t>. </w:t>
      </w:r>
      <w:r>
        <w:rPr/>
        <w:t>Ordnance Survey udgiver en delmængde af deres geospatiale data som RDF, som åbent tilgængelige data via</w:t>
      </w:r>
    </w:p>
    <w:p>
      <w:pPr>
        <w:pStyle w:val="BodyText"/>
        <w:spacing w:line="278" w:lineRule="auto" w:before="26"/>
        <w:ind w:left="2649" w:right="1034"/>
      </w:pPr>
      <w:r>
        <w:rPr/>
        <w:t>deres eget åbne endpoint (Jena Fuseki). De har konverteret bygningsdata som geospatiale punkter, navn på bygningen samt form og funktion. Herudover pågår arbejde med "autoritative" URI nøgler for bygninger samt integration af 3D-model- ler. I Danmark er RDF meget lidt udbredt som anvendt teknologi til at håndtere BIM data, dog ville mange leverandører være i stand til at kunne parse IFC data til RDF.</w:t>
      </w:r>
    </w:p>
    <w:p>
      <w:pPr>
        <w:pStyle w:val="BodyText"/>
        <w:spacing w:before="10"/>
        <w:rPr>
          <w:sz w:val="21"/>
        </w:rPr>
      </w:pPr>
    </w:p>
    <w:p>
      <w:pPr>
        <w:pStyle w:val="Heading3"/>
        <w:numPr>
          <w:ilvl w:val="2"/>
          <w:numId w:val="31"/>
        </w:numPr>
        <w:tabs>
          <w:tab w:pos="2649" w:val="left" w:leader="none"/>
          <w:tab w:pos="2650" w:val="left" w:leader="none"/>
        </w:tabs>
        <w:spacing w:line="240" w:lineRule="auto" w:before="0" w:after="0"/>
        <w:ind w:left="2649" w:right="0" w:hanging="799"/>
        <w:jc w:val="left"/>
      </w:pPr>
      <w:bookmarkStart w:name="_bookmark112" w:id="113"/>
      <w:bookmarkEnd w:id="113"/>
      <w:r>
        <w:rPr/>
        <w:t>Per</w:t>
      </w:r>
      <w:r>
        <w:rPr/>
        <w:t>spektiver for RDF og indendørs</w:t>
      </w:r>
      <w:r>
        <w:rPr>
          <w:spacing w:val="-2"/>
        </w:rPr>
        <w:t> </w:t>
      </w:r>
      <w:r>
        <w:rPr/>
        <w:t>geografi</w:t>
      </w:r>
    </w:p>
    <w:p>
      <w:pPr>
        <w:pStyle w:val="BodyText"/>
        <w:spacing w:line="278" w:lineRule="auto" w:before="35"/>
        <w:ind w:left="2649" w:right="1088"/>
      </w:pPr>
      <w:r>
        <w:rPr/>
        <w:t>Der er et stort potentiale i at bruge semantiske webteknologier til at beskrive tværfaglige datamodeller og linked data. Det er vores overbevisning, at RDF tilla- der sammenkobling af forskellige datasæt på en måde, som sikrer optimal adgang til disse samt interoperabilitet på tværs af fagområder.</w:t>
      </w:r>
    </w:p>
    <w:p>
      <w:pPr>
        <w:pStyle w:val="BodyText"/>
        <w:spacing w:before="7"/>
        <w:rPr>
          <w:sz w:val="21"/>
        </w:rPr>
      </w:pPr>
    </w:p>
    <w:p>
      <w:pPr>
        <w:pStyle w:val="BodyText"/>
        <w:spacing w:line="278" w:lineRule="auto"/>
        <w:ind w:left="2649" w:right="1092"/>
      </w:pPr>
      <w:r>
        <w:rPr/>
        <w:t>For SDFE er det muligt at udvikle en specifik ontologi, der beskriver netop de ele- menter, som er interessante ift. rumdata, energi og GIS. Det er dog essentielt ift. interoperabilitet at de klasser og egenskaber, der oprettes i en sådan ontologi lin- kes til eksisterende, udbredte ontologier, sådan at der ikke skal foretages manu- elle mappings. Med OWL er det eksempelvis muligt at definere, at SDFE-klassen Rum svarer til IFC-klassen Room og BOT-klassen Space, og at den er en under- klasse af en OGC-klasse (POI location?). På denne måde vil man derefter være i stand til at returnere resultater uanset hvilken af klasserne, der efterspørges. Man skal dog være varsom med at beskrive ækvivalente klasser, idet dette betyder, at alt hvad alle de øvrige ontologier beskriver om klassen, vil blive nedarvet.</w:t>
      </w:r>
    </w:p>
    <w:p>
      <w:pPr>
        <w:pStyle w:val="BodyText"/>
        <w:spacing w:before="8"/>
        <w:rPr>
          <w:sz w:val="21"/>
        </w:rPr>
      </w:pPr>
    </w:p>
    <w:p>
      <w:pPr>
        <w:pStyle w:val="BodyText"/>
        <w:spacing w:line="278" w:lineRule="auto"/>
        <w:ind w:left="2649" w:right="1151"/>
      </w:pPr>
      <w:r>
        <w:rPr/>
        <w:t>Et simpelt første skridt ville være at stille en fællesoffentlig IFC til RDF konverte- ringsklient til rådighed, så man blot skulle uploade sin IFC fil til en RDF database. Der foreligger desuden et arbejde i at undersøge sammenkoblingen af statiske og dynamiske data, samt at sikre optimale grænseflader til klienterne. Fraunhfer-in- stituttet deltager i et EU H2020-projekt under titlen “Modelling Optimization of Energy Efficiency in Buildings for Urban Sustainability” (MOEEBIUS), som gør sig interessante erfaringer, der kunne arbejdes videre med.</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502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numPr>
          <w:ilvl w:val="0"/>
          <w:numId w:val="29"/>
        </w:numPr>
        <w:tabs>
          <w:tab w:pos="2649" w:val="left" w:leader="none"/>
          <w:tab w:pos="2650" w:val="left" w:leader="none"/>
        </w:tabs>
        <w:spacing w:line="240" w:lineRule="auto" w:before="101" w:after="0"/>
        <w:ind w:left="2649" w:right="0" w:hanging="427"/>
        <w:jc w:val="left"/>
      </w:pPr>
      <w:bookmarkStart w:name="_bookmark113" w:id="114"/>
      <w:bookmarkEnd w:id="114"/>
      <w:r>
        <w:rPr/>
        <w:t>S</w:t>
      </w:r>
      <w:r>
        <w:rPr/>
        <w:t>kitser til</w:t>
      </w:r>
      <w:r>
        <w:rPr>
          <w:spacing w:val="-5"/>
        </w:rPr>
        <w:t> </w:t>
      </w:r>
      <w:r>
        <w:rPr/>
        <w:t>pilotprojekter</w:t>
      </w:r>
    </w:p>
    <w:p>
      <w:pPr>
        <w:pStyle w:val="BodyText"/>
        <w:spacing w:line="278" w:lineRule="auto" w:before="37"/>
        <w:ind w:left="2649" w:right="1060"/>
      </w:pPr>
      <w:r>
        <w:rPr/>
        <w:t>I forbindelse med gennemførelse af analysen er der i mange sammenhænge peget på, at energieffektivisering ikke (i hvert fald på nuværende tidspunkt), er et om- råde, hvor en indendørs steddatabase alene kan bidrage til bedre løsninger og ge- nerel værdiskabelse set i relation til de ressourcer, der skal investeres for at etab- lere en national indendørs infrastruktur.</w:t>
      </w:r>
    </w:p>
    <w:p>
      <w:pPr>
        <w:pStyle w:val="BodyText"/>
        <w:spacing w:before="5"/>
        <w:rPr>
          <w:sz w:val="21"/>
        </w:rPr>
      </w:pPr>
    </w:p>
    <w:p>
      <w:pPr>
        <w:pStyle w:val="BodyText"/>
        <w:spacing w:line="278" w:lineRule="auto"/>
        <w:ind w:left="2649" w:right="1052"/>
      </w:pPr>
      <w:r>
        <w:rPr/>
        <w:t>Overordnet set er det antagelsen, at det vil være kombinationer af anvendelser, der tilsammen gør det indlysende at opbygge en fællesoffentlig indendørs stedda- tabase. I den sammenhæng er energieffektivisering ikke blandt de oplagte ”bi- dragydere”, som kan levere input til en positiv businesscase set i relation dels til de måder, som energieffektivisering planlægges at gennemføres på. Dette set i re- lation til de investeringer, som er nødvendige for at indsamle data, der kan benyt- tes til analyser og udvikling af metoder og løsninger, hvor den fulde nytteværdi af detaljerede informationer om rum i bygninger giver tilstrækkelig</w:t>
      </w:r>
      <w:r>
        <w:rPr>
          <w:spacing w:val="-13"/>
        </w:rPr>
        <w:t> </w:t>
      </w:r>
      <w:r>
        <w:rPr/>
        <w:t>værdi.</w:t>
      </w:r>
    </w:p>
    <w:p>
      <w:pPr>
        <w:pStyle w:val="BodyText"/>
        <w:spacing w:before="10"/>
        <w:rPr>
          <w:sz w:val="21"/>
        </w:rPr>
      </w:pPr>
    </w:p>
    <w:p>
      <w:pPr>
        <w:pStyle w:val="BodyText"/>
        <w:spacing w:line="278" w:lineRule="auto"/>
        <w:ind w:left="2649" w:right="1050"/>
      </w:pPr>
      <w:r>
        <w:rPr/>
        <w:t>Fokus bør derfor også rettes mod andre anvendelsesområder, hvor den indendørs steddatabase forventeligt kan løse konkrete udfordringer, som ikke er et isoleret, lokalt problem, men almene problemer, hvor en fællesoffentlig model for inden- dørs infrastruktur har et langt større potentiale for værdiskabelse. Blandt de væ- sentlige parallelle projekter, som er identificeret, skal nedestående projekter frem- hæves. I det følgende beskrives kort rammerne for pilotprojekterne, som i fælles- skab kan bidrage med mere indgående viden om muligheder, begrænsninger og potentialer i relation til etablering af en indendørs steddatabase.</w:t>
      </w:r>
    </w:p>
    <w:p>
      <w:pPr>
        <w:pStyle w:val="BodyText"/>
        <w:spacing w:before="11"/>
        <w:rPr>
          <w:sz w:val="20"/>
        </w:rPr>
      </w:pPr>
    </w:p>
    <w:p>
      <w:pPr>
        <w:pStyle w:val="Heading2"/>
        <w:numPr>
          <w:ilvl w:val="1"/>
          <w:numId w:val="32"/>
        </w:numPr>
        <w:tabs>
          <w:tab w:pos="2649" w:val="left" w:leader="none"/>
          <w:tab w:pos="2650" w:val="left" w:leader="none"/>
        </w:tabs>
        <w:spacing w:line="240" w:lineRule="auto" w:before="0" w:after="0"/>
        <w:ind w:left="2649" w:right="0" w:hanging="655"/>
        <w:jc w:val="left"/>
      </w:pPr>
      <w:bookmarkStart w:name="_bookmark114" w:id="115"/>
      <w:bookmarkEnd w:id="115"/>
      <w:r>
        <w:rPr/>
        <w:t>Lo</w:t>
      </w:r>
      <w:r>
        <w:rPr/>
        <w:t>gistik</w:t>
      </w:r>
    </w:p>
    <w:p>
      <w:pPr>
        <w:pStyle w:val="BodyText"/>
        <w:spacing w:line="278" w:lineRule="auto" w:before="36"/>
        <w:ind w:left="2649" w:right="1049"/>
      </w:pPr>
      <w:r>
        <w:rPr/>
        <w:t>Logistik er et bredt felt af discipliner, der bl.a. omfatter planlægning af supply chain, produktionsplanlægning, operationsanalyser, intern og ekstern logistik, op- timering af distribution og simuleringer. Indenfor alle felter er der naturligvis ud- strakt brug af data, metoder, systemer etc. for at løse logistiske problemer og sikre effektiv drift og optimering på de respektive områder, hvor løsningerne er en forudsætning. Blandt de datarelaterede spørgsmål er eksempelvis nødvendigheden af ajourførte indendørs steddata, fordi der løbende sker ændringer i bygningerne (nye rum, sammenlagte rum etc.), som ikke altid er helt synkroniseret med an- vendelsen af data i forskellige sammenhænge. Endvidere er adgangen til sensor- data ofte knyttet til bestemte, leverandørspecifikke tekniske løsninger, som ikke er baseret på åbne standarder og dermed meget afhængig af den konkrete tekno- logi/serviceleverandør.</w:t>
      </w:r>
    </w:p>
    <w:p>
      <w:pPr>
        <w:pStyle w:val="BodyText"/>
        <w:spacing w:before="11"/>
        <w:rPr>
          <w:sz w:val="21"/>
        </w:rPr>
      </w:pPr>
    </w:p>
    <w:p>
      <w:pPr>
        <w:pStyle w:val="BodyText"/>
        <w:spacing w:line="278" w:lineRule="auto"/>
        <w:ind w:left="2649" w:right="1037"/>
      </w:pPr>
      <w:r>
        <w:rPr/>
        <w:t>Et af de områder, hvor der gennem projektet er identificeret logistiske problemstil- linger, er på hospitalerne. Det er dels af datamæssig karakter, dels i optimering af processerne, hvor den indendørs geografi forventes at kunne bidrage til forbedrin- ger. Et pilotprojekt indenfor hospitalslogistik, kan derfor eksempelvis omhandle en problemstilling med mange afhængigheder, hvor der ved hjælp af geografisk posi- tionsbestemmelse af objekter i et procesforløb konkret kan afdækkes muligheder for afhjælpning af bl.a. flaskehalsproblemer. I et mere overordnet perspektiv påvi- ses dermed vigtigheden af fælles modeller for, hvordan rum i bygninger defineres som nøgler til stedbestemt information.</w:t>
      </w:r>
    </w:p>
    <w:p>
      <w:pPr>
        <w:pStyle w:val="BodyText"/>
        <w:spacing w:before="7"/>
        <w:rPr>
          <w:sz w:val="21"/>
        </w:rPr>
      </w:pPr>
    </w:p>
    <w:p>
      <w:pPr>
        <w:pStyle w:val="BodyText"/>
        <w:spacing w:line="278" w:lineRule="auto"/>
        <w:ind w:left="2649" w:right="1191"/>
      </w:pPr>
      <w:r>
        <w:rPr/>
        <w:t>Pilotprojektet vil være en showcase for forretningskritisk anvendelse af en inden- dørs steddatabase. I udgangspunktet forudsætter det ikke en national standard, men der vil være meget vundet ved en fællesoffentlig model og en fælles onto- logi/semantik, som har et multianvendeligt potentiale, der rækker udover hospi- talssektoren.</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92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2"/>
        </w:rPr>
      </w:pPr>
    </w:p>
    <w:p>
      <w:pPr>
        <w:pStyle w:val="Heading2"/>
        <w:numPr>
          <w:ilvl w:val="1"/>
          <w:numId w:val="32"/>
        </w:numPr>
        <w:tabs>
          <w:tab w:pos="2649" w:val="left" w:leader="none"/>
          <w:tab w:pos="2650" w:val="left" w:leader="none"/>
        </w:tabs>
        <w:spacing w:line="240" w:lineRule="auto" w:before="100" w:after="0"/>
        <w:ind w:left="2649" w:right="0" w:hanging="655"/>
        <w:jc w:val="left"/>
      </w:pPr>
      <w:bookmarkStart w:name="_bookmark115" w:id="116"/>
      <w:bookmarkEnd w:id="116"/>
      <w:r>
        <w:rPr/>
        <w:t>Op</w:t>
      </w:r>
      <w:r>
        <w:rPr/>
        <w:t>timering af</w:t>
      </w:r>
      <w:r>
        <w:rPr>
          <w:spacing w:val="-2"/>
        </w:rPr>
        <w:t> </w:t>
      </w:r>
      <w:r>
        <w:rPr/>
        <w:t>arealanvendelse</w:t>
      </w:r>
    </w:p>
    <w:p>
      <w:pPr>
        <w:pStyle w:val="BodyText"/>
        <w:spacing w:line="278" w:lineRule="auto" w:before="35"/>
        <w:ind w:left="2649" w:right="1094"/>
      </w:pPr>
      <w:r>
        <w:rPr/>
        <w:t>Ejendomsejere med store porteføljer af bygninger kan opnå en række fordele ved bedre udnyttelse af bygningsmassen. Det kan dels være indenfor det enkelte byg- ningskompleks (fx en skole), dels ved optimering af anvendelsen på tværs af alle bygninger indenfor porteføljen.</w:t>
      </w:r>
    </w:p>
    <w:p>
      <w:pPr>
        <w:pStyle w:val="BodyText"/>
        <w:spacing w:before="8"/>
        <w:rPr>
          <w:sz w:val="21"/>
        </w:rPr>
      </w:pPr>
    </w:p>
    <w:p>
      <w:pPr>
        <w:pStyle w:val="BodyText"/>
        <w:spacing w:line="278" w:lineRule="auto"/>
        <w:ind w:left="2649" w:right="1093"/>
      </w:pPr>
      <w:r>
        <w:rPr/>
        <w:t>En mere effektiv udnyttelse af bygningerne kan have betydning for eksempelvis energiforbruget og dermed have et element af energieffektivisering i sig. Derud- over er også en række andre aspekter, herunder muligheder for at samle funktio- ner der ellers er spredt på mange bygninger, eventuelt reduktion i antallet af byg- ninger som følge af areal analyse, optimering af udleje/udlån af bygninger til for- eninger, arrangementer og andre eksterne brugeres anvendelse af lokaler i byg- ningerne eller mere overordnet at skabe et overblik på tværs af eventuel, decen- tral administration og drift af bygningerne.</w:t>
      </w:r>
    </w:p>
    <w:p>
      <w:pPr>
        <w:pStyle w:val="BodyText"/>
        <w:spacing w:before="7"/>
        <w:rPr>
          <w:sz w:val="21"/>
        </w:rPr>
      </w:pPr>
    </w:p>
    <w:p>
      <w:pPr>
        <w:pStyle w:val="BodyText"/>
        <w:spacing w:line="278" w:lineRule="auto"/>
        <w:ind w:left="2649" w:right="1021"/>
      </w:pPr>
      <w:r>
        <w:rPr/>
        <w:t>Et pilotprojekt med dette fokus vil oplagt kunne gennemføres i samarbejde med en kommune, som dels kan se potentialerne i optimering af arealanvendelsen, dels kan levere de nødvendige datainput til pilotprojektet. Her tænkes især på en digi- taliseret bygningsmasse (BIM-data, der opfylder det relevante modenhedsniveau), dels data om eksempelvis udleje/udlån af lokaler/bygninger til eksterne interes- senter (foreninger etc.).</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83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spacing w:line="254" w:lineRule="auto"/>
        <w:ind w:right="1348" w:firstLine="0"/>
      </w:pPr>
      <w:bookmarkStart w:name="_bookmark116" w:id="117"/>
      <w:bookmarkEnd w:id="117"/>
      <w:r>
        <w:rPr>
          <w:b w:val="0"/>
        </w:rPr>
      </w:r>
      <w:r>
        <w:rPr/>
        <w:t>Appendix 1: Forslag til ramme for en IDM med henblik på en steddatabase og energi- relevante data</w:t>
      </w:r>
    </w:p>
    <w:p>
      <w:pPr>
        <w:pStyle w:val="BodyText"/>
        <w:spacing w:before="1"/>
        <w:rPr>
          <w:b/>
          <w:sz w:val="40"/>
        </w:rPr>
      </w:pPr>
    </w:p>
    <w:p>
      <w:pPr>
        <w:pStyle w:val="Heading2"/>
        <w:ind w:firstLine="0"/>
      </w:pPr>
      <w:r>
        <w:rPr/>
        <w:t>Introduktion</w:t>
      </w:r>
    </w:p>
    <w:p>
      <w:pPr>
        <w:pStyle w:val="BodyText"/>
        <w:spacing w:line="278" w:lineRule="auto" w:before="35"/>
        <w:ind w:left="2649" w:right="1074"/>
        <w:jc w:val="both"/>
      </w:pPr>
      <w:r>
        <w:rPr/>
        <w:t>Dette bilag omhandler et forslag til en ramme for en dansk IDM for BIM data til en national steddatabase samt energi-relevante data. Forslaget er bygget på de stan- darder som BIPS og buildingSMART stiller til rådighed.</w:t>
      </w:r>
    </w:p>
    <w:p>
      <w:pPr>
        <w:pStyle w:val="BodyText"/>
        <w:rPr>
          <w:sz w:val="21"/>
        </w:rPr>
      </w:pPr>
    </w:p>
    <w:p>
      <w:pPr>
        <w:pStyle w:val="Heading2"/>
        <w:ind w:firstLine="0"/>
      </w:pPr>
      <w:r>
        <w:rPr/>
        <w:t>Formål</w:t>
      </w:r>
    </w:p>
    <w:p>
      <w:pPr>
        <w:pStyle w:val="BodyText"/>
        <w:spacing w:line="278" w:lineRule="auto" w:before="36"/>
        <w:ind w:left="2649" w:right="1045"/>
      </w:pPr>
      <w:r>
        <w:rPr/>
        <w:t>Formålet er at skabe en infrastruktur for en indendørs steddatabase til at kunne understøtte anvendelsesmuligheder for energieffektivisering. På større skala er det af stor værdi at have overblik over alle bygningernes stedbaserede arealer, med dertil knyttede egenskaber om energi. Dette bestemmes på baggrund af de ener- gimæssige funktionelle krav som en bygherre stiller, designede og projekterede krav eller de tilknyttede egenskaber fra målere eller sensorer.</w:t>
      </w:r>
    </w:p>
    <w:p>
      <w:pPr>
        <w:pStyle w:val="BodyText"/>
        <w:spacing w:before="6"/>
        <w:rPr>
          <w:sz w:val="21"/>
        </w:rPr>
      </w:pPr>
    </w:p>
    <w:p>
      <w:pPr>
        <w:pStyle w:val="BodyText"/>
        <w:spacing w:line="278" w:lineRule="auto"/>
        <w:ind w:left="2649" w:right="1020"/>
      </w:pPr>
      <w:r>
        <w:rPr/>
        <w:t>Der skal i nærværende IDM stilles særlige krav til Bygningsdelene ”Rum” og ”Dør”, for at de kan passe ind i kontekst af en steddatabase. Bygningsdelen ”Rum” er vi- suelt et meget simpelt geometrisk objekt (som en transparent 3D box), med til- knyttede egenskaber om geografisk og organisatorisk tilknytning, hvortil der kan knyttes forskellige andre egenskaber, herunder energi. Døre er et af de mere kom- plekse objekter at modellere, da der er flere overlap til andre fagligheder som be- redskab, CTS og adgangskontrol. Erfaringsmæssigt volder det koordineringsmæs- sige vanskeligheder, så i en beskrivelse af egenskaber er det vigtigt kun at udpege relevante parametre af de ca. 124 kendte variable.</w:t>
      </w:r>
    </w:p>
    <w:p>
      <w:pPr>
        <w:pStyle w:val="BodyText"/>
        <w:spacing w:before="1"/>
        <w:rPr>
          <w:sz w:val="21"/>
        </w:rPr>
      </w:pPr>
    </w:p>
    <w:p>
      <w:pPr>
        <w:pStyle w:val="Heading2"/>
        <w:spacing w:before="1" w:after="10"/>
        <w:ind w:firstLine="0"/>
      </w:pPr>
      <w:r>
        <w:rPr/>
        <w:t>Procesbeskrivelse</w:t>
      </w:r>
    </w:p>
    <w:tbl>
      <w:tblPr>
        <w:tblCellSpacing w:w="5" w:type="dxa"/>
        <w:tblW w:w="0" w:type="auto"/>
        <w:jc w:val="left"/>
        <w:tblInd w:w="2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4431"/>
      </w:tblGrid>
      <w:tr>
        <w:trPr>
          <w:trHeight w:val="457" w:hRule="atLeast"/>
        </w:trPr>
        <w:tc>
          <w:tcPr>
            <w:tcW w:w="2717" w:type="dxa"/>
            <w:tcBorders>
              <w:top w:val="nil"/>
              <w:left w:val="nil"/>
            </w:tcBorders>
            <w:shd w:val="clear" w:color="auto" w:fill="2C647C"/>
          </w:tcPr>
          <w:p>
            <w:pPr>
              <w:pStyle w:val="TableParagraph"/>
              <w:spacing w:before="2"/>
              <w:ind w:left="103"/>
              <w:rPr>
                <w:b/>
                <w:sz w:val="17"/>
              </w:rPr>
            </w:pPr>
            <w:r>
              <w:rPr>
                <w:b/>
                <w:color w:val="FFFFFF"/>
                <w:sz w:val="17"/>
              </w:rPr>
              <w:t>Specifikation af processer</w:t>
            </w:r>
          </w:p>
        </w:tc>
        <w:tc>
          <w:tcPr>
            <w:tcW w:w="4431" w:type="dxa"/>
            <w:tcBorders>
              <w:top w:val="nil"/>
              <w:right w:val="nil"/>
            </w:tcBorders>
            <w:shd w:val="clear" w:color="auto" w:fill="2C647C"/>
          </w:tcPr>
          <w:p>
            <w:pPr>
              <w:pStyle w:val="TableParagraph"/>
              <w:spacing w:before="2"/>
              <w:ind w:left="103"/>
              <w:rPr>
                <w:b/>
                <w:sz w:val="17"/>
              </w:rPr>
            </w:pPr>
            <w:r>
              <w:rPr>
                <w:b/>
                <w:color w:val="FFFFFF"/>
                <w:sz w:val="17"/>
              </w:rPr>
              <w:t>Dokumentation</w:t>
            </w:r>
          </w:p>
        </w:tc>
      </w:tr>
      <w:tr>
        <w:trPr>
          <w:trHeight w:val="1073" w:hRule="atLeast"/>
        </w:trPr>
        <w:tc>
          <w:tcPr>
            <w:tcW w:w="2717" w:type="dxa"/>
            <w:tcBorders>
              <w:left w:val="nil"/>
              <w:bottom w:val="nil"/>
            </w:tcBorders>
            <w:shd w:val="clear" w:color="auto" w:fill="C8E9E6"/>
          </w:tcPr>
          <w:p>
            <w:pPr>
              <w:pStyle w:val="TableParagraph"/>
              <w:spacing w:before="7"/>
              <w:rPr>
                <w:b/>
                <w:sz w:val="25"/>
              </w:rPr>
            </w:pPr>
          </w:p>
          <w:p>
            <w:pPr>
              <w:pStyle w:val="TableParagraph"/>
              <w:ind w:left="103"/>
              <w:rPr>
                <w:sz w:val="17"/>
              </w:rPr>
            </w:pPr>
            <w:r>
              <w:rPr>
                <w:sz w:val="17"/>
              </w:rPr>
              <w:t>7. Informér rådgiver</w:t>
            </w:r>
          </w:p>
        </w:tc>
        <w:tc>
          <w:tcPr>
            <w:tcW w:w="4431" w:type="dxa"/>
            <w:tcBorders>
              <w:bottom w:val="nil"/>
              <w:right w:val="nil"/>
            </w:tcBorders>
            <w:shd w:val="clear" w:color="auto" w:fill="C8E9E6"/>
          </w:tcPr>
          <w:p>
            <w:pPr>
              <w:pStyle w:val="TableParagraph"/>
              <w:spacing w:before="1"/>
              <w:ind w:left="103" w:right="91"/>
              <w:rPr>
                <w:sz w:val="17"/>
              </w:rPr>
            </w:pPr>
            <w:r>
              <w:rPr>
                <w:sz w:val="17"/>
              </w:rPr>
              <w:t>Bygningsherren/driftsansvarlige fremsender afle- veringskrav til rådgiveren som skal indberette arealer og anden information, herunder energi- krav vedrørende et eller flere byggerier.</w:t>
            </w:r>
          </w:p>
        </w:tc>
      </w:tr>
      <w:tr>
        <w:trPr>
          <w:trHeight w:val="660" w:hRule="atLeast"/>
        </w:trPr>
        <w:tc>
          <w:tcPr>
            <w:tcW w:w="2717" w:type="dxa"/>
            <w:tcBorders>
              <w:top w:val="nil"/>
              <w:left w:val="nil"/>
            </w:tcBorders>
            <w:shd w:val="clear" w:color="auto" w:fill="E2F3F0"/>
          </w:tcPr>
          <w:p>
            <w:pPr>
              <w:pStyle w:val="TableParagraph"/>
              <w:spacing w:before="103"/>
              <w:ind w:left="103"/>
              <w:rPr>
                <w:sz w:val="17"/>
              </w:rPr>
            </w:pPr>
            <w:r>
              <w:rPr>
                <w:sz w:val="17"/>
              </w:rPr>
              <w:t>8. Modellér</w:t>
            </w:r>
          </w:p>
        </w:tc>
        <w:tc>
          <w:tcPr>
            <w:tcW w:w="4431" w:type="dxa"/>
            <w:tcBorders>
              <w:top w:val="nil"/>
              <w:right w:val="nil"/>
            </w:tcBorders>
            <w:shd w:val="clear" w:color="auto" w:fill="E2F3F0"/>
          </w:tcPr>
          <w:p>
            <w:pPr>
              <w:pStyle w:val="TableParagraph"/>
              <w:ind w:left="103" w:right="151"/>
              <w:rPr>
                <w:sz w:val="17"/>
              </w:rPr>
            </w:pPr>
            <w:r>
              <w:rPr>
                <w:sz w:val="17"/>
              </w:rPr>
              <w:t>Rådgiveren modellerer aftalte bygninger baseret på kravene og tilknytter de aftalte egenskaber</w:t>
            </w:r>
          </w:p>
        </w:tc>
      </w:tr>
      <w:tr>
        <w:trPr>
          <w:trHeight w:val="1076" w:hRule="atLeast"/>
        </w:trPr>
        <w:tc>
          <w:tcPr>
            <w:tcW w:w="2717" w:type="dxa"/>
            <w:tcBorders>
              <w:left w:val="nil"/>
            </w:tcBorders>
            <w:shd w:val="clear" w:color="auto" w:fill="C8E9E6"/>
          </w:tcPr>
          <w:p>
            <w:pPr>
              <w:pStyle w:val="TableParagraph"/>
              <w:spacing w:before="7"/>
              <w:rPr>
                <w:b/>
                <w:sz w:val="25"/>
              </w:rPr>
            </w:pPr>
          </w:p>
          <w:p>
            <w:pPr>
              <w:pStyle w:val="TableParagraph"/>
              <w:ind w:left="103"/>
              <w:rPr>
                <w:sz w:val="17"/>
              </w:rPr>
            </w:pPr>
            <w:r>
              <w:rPr>
                <w:sz w:val="17"/>
              </w:rPr>
              <w:t>9. Vurdér materiale</w:t>
            </w:r>
          </w:p>
        </w:tc>
        <w:tc>
          <w:tcPr>
            <w:tcW w:w="4431" w:type="dxa"/>
            <w:tcBorders>
              <w:right w:val="nil"/>
            </w:tcBorders>
            <w:shd w:val="clear" w:color="auto" w:fill="C8E9E6"/>
          </w:tcPr>
          <w:p>
            <w:pPr>
              <w:pStyle w:val="TableParagraph"/>
              <w:spacing w:before="1"/>
              <w:ind w:left="103" w:right="237"/>
              <w:jc w:val="both"/>
              <w:rPr>
                <w:sz w:val="17"/>
              </w:rPr>
            </w:pPr>
            <w:r>
              <w:rPr>
                <w:sz w:val="17"/>
              </w:rPr>
              <w:t>Bygningsherren/driftsansvarlige sikrer at det af rådgiveren fremsendte materiale bliver kontrol- leret i forhold til de opstillede krav til informati- onsmodelleringen.</w:t>
            </w:r>
          </w:p>
        </w:tc>
      </w:tr>
      <w:tr>
        <w:trPr>
          <w:trHeight w:val="1076" w:hRule="atLeast"/>
        </w:trPr>
        <w:tc>
          <w:tcPr>
            <w:tcW w:w="2717" w:type="dxa"/>
            <w:tcBorders>
              <w:left w:val="nil"/>
            </w:tcBorders>
            <w:shd w:val="clear" w:color="auto" w:fill="E2F3F0"/>
          </w:tcPr>
          <w:p>
            <w:pPr>
              <w:pStyle w:val="TableParagraph"/>
              <w:spacing w:before="7"/>
              <w:rPr>
                <w:b/>
                <w:sz w:val="25"/>
              </w:rPr>
            </w:pPr>
          </w:p>
          <w:p>
            <w:pPr>
              <w:pStyle w:val="TableParagraph"/>
              <w:ind w:left="103"/>
              <w:rPr>
                <w:sz w:val="17"/>
              </w:rPr>
            </w:pPr>
            <w:r>
              <w:rPr>
                <w:sz w:val="17"/>
              </w:rPr>
              <w:t>10. Rapportér fejl</w:t>
            </w:r>
          </w:p>
        </w:tc>
        <w:tc>
          <w:tcPr>
            <w:tcW w:w="4431" w:type="dxa"/>
            <w:tcBorders>
              <w:right w:val="nil"/>
            </w:tcBorders>
            <w:shd w:val="clear" w:color="auto" w:fill="E2F3F0"/>
          </w:tcPr>
          <w:p>
            <w:pPr>
              <w:pStyle w:val="TableParagraph"/>
              <w:spacing w:before="1"/>
              <w:ind w:left="103" w:right="134"/>
              <w:rPr>
                <w:sz w:val="17"/>
              </w:rPr>
            </w:pPr>
            <w:r>
              <w:rPr>
                <w:sz w:val="17"/>
              </w:rPr>
              <w:t>Driftsansvarlige sikrer at der udarbejdes og fremsendes en rapport til rådgiveren med fejl og mangler, i det omfang at materialet ikke indfrier de opstillede krav.</w:t>
            </w:r>
          </w:p>
        </w:tc>
      </w:tr>
      <w:tr>
        <w:trPr>
          <w:trHeight w:val="866" w:hRule="atLeast"/>
        </w:trPr>
        <w:tc>
          <w:tcPr>
            <w:tcW w:w="2717" w:type="dxa"/>
            <w:tcBorders>
              <w:left w:val="nil"/>
              <w:bottom w:val="nil"/>
            </w:tcBorders>
            <w:shd w:val="clear" w:color="auto" w:fill="C8E9E6"/>
          </w:tcPr>
          <w:p>
            <w:pPr>
              <w:pStyle w:val="TableParagraph"/>
              <w:spacing w:before="1"/>
              <w:rPr>
                <w:b/>
                <w:sz w:val="17"/>
              </w:rPr>
            </w:pPr>
          </w:p>
          <w:p>
            <w:pPr>
              <w:pStyle w:val="TableParagraph"/>
              <w:ind w:left="103"/>
              <w:rPr>
                <w:sz w:val="17"/>
              </w:rPr>
            </w:pPr>
            <w:r>
              <w:rPr>
                <w:sz w:val="17"/>
              </w:rPr>
              <w:t>11. Dan kvittering</w:t>
            </w:r>
          </w:p>
        </w:tc>
        <w:tc>
          <w:tcPr>
            <w:tcW w:w="4431" w:type="dxa"/>
            <w:tcBorders>
              <w:bottom w:val="nil"/>
              <w:right w:val="nil"/>
            </w:tcBorders>
            <w:shd w:val="clear" w:color="auto" w:fill="C8E9E6"/>
          </w:tcPr>
          <w:p>
            <w:pPr>
              <w:pStyle w:val="TableParagraph"/>
              <w:spacing w:before="1"/>
              <w:ind w:left="103" w:right="160"/>
              <w:rPr>
                <w:sz w:val="17"/>
              </w:rPr>
            </w:pPr>
            <w:r>
              <w:rPr>
                <w:sz w:val="17"/>
              </w:rPr>
              <w:t>Bygningsherren/driftsansvarlige sikrer, at der udarbejdes en kvittering på at informationsleve- rancen er godkendt.</w:t>
            </w:r>
          </w:p>
        </w:tc>
      </w:tr>
      <w:tr>
        <w:trPr>
          <w:trHeight w:val="660" w:hRule="atLeast"/>
        </w:trPr>
        <w:tc>
          <w:tcPr>
            <w:tcW w:w="2717" w:type="dxa"/>
            <w:tcBorders>
              <w:top w:val="nil"/>
              <w:left w:val="nil"/>
              <w:bottom w:val="nil"/>
            </w:tcBorders>
            <w:shd w:val="clear" w:color="auto" w:fill="E2F3F0"/>
          </w:tcPr>
          <w:p>
            <w:pPr>
              <w:pStyle w:val="TableParagraph"/>
              <w:spacing w:before="104"/>
              <w:ind w:left="103"/>
              <w:rPr>
                <w:sz w:val="17"/>
              </w:rPr>
            </w:pPr>
            <w:r>
              <w:rPr>
                <w:sz w:val="17"/>
              </w:rPr>
              <w:t>12. Registrér opgave fuldført</w:t>
            </w:r>
          </w:p>
        </w:tc>
        <w:tc>
          <w:tcPr>
            <w:tcW w:w="4431" w:type="dxa"/>
            <w:tcBorders>
              <w:top w:val="nil"/>
              <w:bottom w:val="nil"/>
              <w:right w:val="nil"/>
            </w:tcBorders>
            <w:shd w:val="clear" w:color="auto" w:fill="E2F3F0"/>
          </w:tcPr>
          <w:p>
            <w:pPr>
              <w:pStyle w:val="TableParagraph"/>
              <w:spacing w:before="1"/>
              <w:ind w:left="103" w:right="142"/>
              <w:rPr>
                <w:sz w:val="17"/>
              </w:rPr>
            </w:pPr>
            <w:r>
              <w:rPr>
                <w:sz w:val="17"/>
              </w:rPr>
              <w:t>Rådgiveren registrerer at opgaven med informa- tionsleverancen er fuldført.</w:t>
            </w:r>
          </w:p>
        </w:tc>
      </w:tr>
    </w:tbl>
    <w:p>
      <w:pPr>
        <w:spacing w:after="0"/>
        <w:rPr>
          <w:sz w:val="17"/>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71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2"/>
        </w:rPr>
      </w:pPr>
    </w:p>
    <w:p>
      <w:pPr>
        <w:pStyle w:val="Heading2"/>
        <w:spacing w:before="100" w:after="10"/>
        <w:ind w:firstLine="0"/>
      </w:pPr>
      <w:r>
        <w:rPr/>
        <w:t>Specifikation af dataobjekter</w:t>
      </w:r>
    </w:p>
    <w:tbl>
      <w:tblPr>
        <w:tblCellSpacing w:w="4" w:type="dxa"/>
        <w:tblW w:w="0" w:type="auto"/>
        <w:jc w:val="left"/>
        <w:tblInd w:w="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6"/>
        <w:gridCol w:w="1276"/>
        <w:gridCol w:w="4849"/>
      </w:tblGrid>
      <w:tr>
        <w:trPr>
          <w:trHeight w:val="457" w:hRule="atLeast"/>
        </w:trPr>
        <w:tc>
          <w:tcPr>
            <w:tcW w:w="1016" w:type="dxa"/>
            <w:tcBorders>
              <w:top w:val="nil"/>
              <w:left w:val="nil"/>
              <w:right w:val="nil"/>
            </w:tcBorders>
            <w:shd w:val="clear" w:color="auto" w:fill="2C647C"/>
          </w:tcPr>
          <w:p>
            <w:pPr>
              <w:pStyle w:val="TableParagraph"/>
              <w:spacing w:before="2"/>
              <w:ind w:left="103"/>
              <w:rPr>
                <w:b/>
                <w:sz w:val="17"/>
              </w:rPr>
            </w:pPr>
            <w:r>
              <w:rPr>
                <w:b/>
                <w:color w:val="FFFFFF"/>
                <w:sz w:val="17"/>
              </w:rPr>
              <w:t>Objekt</w:t>
            </w:r>
          </w:p>
        </w:tc>
        <w:tc>
          <w:tcPr>
            <w:tcW w:w="1276" w:type="dxa"/>
            <w:tcBorders>
              <w:top w:val="nil"/>
              <w:left w:val="nil"/>
            </w:tcBorders>
            <w:shd w:val="clear" w:color="auto" w:fill="2C647C"/>
          </w:tcPr>
          <w:p>
            <w:pPr>
              <w:pStyle w:val="TableParagraph"/>
              <w:spacing w:before="2"/>
              <w:ind w:left="102"/>
              <w:rPr>
                <w:b/>
                <w:sz w:val="17"/>
              </w:rPr>
            </w:pPr>
            <w:r>
              <w:rPr>
                <w:b/>
                <w:color w:val="FFFFFF"/>
                <w:sz w:val="17"/>
              </w:rPr>
              <w:t>Type</w:t>
            </w:r>
          </w:p>
        </w:tc>
        <w:tc>
          <w:tcPr>
            <w:tcW w:w="4849" w:type="dxa"/>
            <w:tcBorders>
              <w:top w:val="nil"/>
              <w:right w:val="nil"/>
            </w:tcBorders>
            <w:shd w:val="clear" w:color="auto" w:fill="2C647C"/>
          </w:tcPr>
          <w:p>
            <w:pPr>
              <w:pStyle w:val="TableParagraph"/>
              <w:spacing w:before="2"/>
              <w:ind w:left="103"/>
              <w:rPr>
                <w:b/>
                <w:sz w:val="17"/>
              </w:rPr>
            </w:pPr>
            <w:r>
              <w:rPr>
                <w:b/>
                <w:color w:val="FFFFFF"/>
                <w:sz w:val="17"/>
              </w:rPr>
              <w:t>Beskrivelse</w:t>
            </w:r>
          </w:p>
        </w:tc>
      </w:tr>
      <w:tr>
        <w:trPr>
          <w:trHeight w:val="870" w:hRule="atLeast"/>
        </w:trPr>
        <w:tc>
          <w:tcPr>
            <w:tcW w:w="1016" w:type="dxa"/>
            <w:tcBorders>
              <w:left w:val="nil"/>
              <w:right w:val="nil"/>
            </w:tcBorders>
            <w:shd w:val="clear" w:color="auto" w:fill="C8E9E6"/>
          </w:tcPr>
          <w:p>
            <w:pPr>
              <w:pStyle w:val="TableParagraph"/>
              <w:spacing w:before="1"/>
              <w:ind w:left="103" w:right="252"/>
              <w:jc w:val="both"/>
              <w:rPr>
                <w:sz w:val="17"/>
              </w:rPr>
            </w:pPr>
            <w:r>
              <w:rPr>
                <w:sz w:val="17"/>
              </w:rPr>
              <w:t>Krav til arealer og døre</w:t>
            </w:r>
          </w:p>
        </w:tc>
        <w:tc>
          <w:tcPr>
            <w:tcW w:w="1276" w:type="dxa"/>
            <w:tcBorders>
              <w:left w:val="nil"/>
            </w:tcBorders>
            <w:shd w:val="clear" w:color="auto" w:fill="C8E9E6"/>
          </w:tcPr>
          <w:p>
            <w:pPr>
              <w:pStyle w:val="TableParagraph"/>
              <w:spacing w:before="1"/>
              <w:rPr>
                <w:b/>
                <w:sz w:val="17"/>
              </w:rPr>
            </w:pPr>
          </w:p>
          <w:p>
            <w:pPr>
              <w:pStyle w:val="TableParagraph"/>
              <w:ind w:left="102"/>
              <w:rPr>
                <w:sz w:val="17"/>
              </w:rPr>
            </w:pPr>
            <w:r>
              <w:rPr>
                <w:sz w:val="17"/>
              </w:rPr>
              <w:t>Data object</w:t>
            </w:r>
          </w:p>
        </w:tc>
        <w:tc>
          <w:tcPr>
            <w:tcW w:w="4849" w:type="dxa"/>
            <w:tcBorders>
              <w:right w:val="nil"/>
            </w:tcBorders>
            <w:shd w:val="clear" w:color="auto" w:fill="C8E9E6"/>
          </w:tcPr>
          <w:p>
            <w:pPr>
              <w:pStyle w:val="TableParagraph"/>
              <w:spacing w:before="1"/>
              <w:ind w:left="103" w:right="138"/>
              <w:jc w:val="both"/>
              <w:rPr>
                <w:sz w:val="17"/>
              </w:rPr>
            </w:pPr>
            <w:r>
              <w:rPr>
                <w:sz w:val="17"/>
              </w:rPr>
              <w:t>Nærværende Information Delivery Manual (IDM) som udleveres af bygningsejeren/driftsansvarlige til rådgi- veren, der skal forestå informationsleverancen</w:t>
            </w:r>
          </w:p>
        </w:tc>
      </w:tr>
      <w:tr>
        <w:trPr>
          <w:trHeight w:val="661" w:hRule="atLeast"/>
        </w:trPr>
        <w:tc>
          <w:tcPr>
            <w:tcW w:w="1016" w:type="dxa"/>
            <w:tcBorders>
              <w:left w:val="nil"/>
              <w:right w:val="nil"/>
            </w:tcBorders>
            <w:shd w:val="clear" w:color="auto" w:fill="E2F3F0"/>
          </w:tcPr>
          <w:p>
            <w:pPr>
              <w:pStyle w:val="TableParagraph"/>
              <w:spacing w:before="1"/>
              <w:ind w:left="103" w:right="231"/>
              <w:rPr>
                <w:sz w:val="17"/>
              </w:rPr>
            </w:pPr>
            <w:r>
              <w:rPr>
                <w:sz w:val="17"/>
              </w:rPr>
              <w:t>Fejlrap- port</w:t>
            </w:r>
          </w:p>
        </w:tc>
        <w:tc>
          <w:tcPr>
            <w:tcW w:w="1276" w:type="dxa"/>
            <w:tcBorders>
              <w:left w:val="nil"/>
            </w:tcBorders>
            <w:shd w:val="clear" w:color="auto" w:fill="E2F3F0"/>
          </w:tcPr>
          <w:p>
            <w:pPr>
              <w:pStyle w:val="TableParagraph"/>
              <w:spacing w:before="105"/>
              <w:ind w:left="102"/>
              <w:rPr>
                <w:sz w:val="17"/>
              </w:rPr>
            </w:pPr>
            <w:r>
              <w:rPr>
                <w:sz w:val="17"/>
              </w:rPr>
              <w:t>Data object</w:t>
            </w:r>
          </w:p>
        </w:tc>
        <w:tc>
          <w:tcPr>
            <w:tcW w:w="4849" w:type="dxa"/>
            <w:tcBorders>
              <w:right w:val="nil"/>
            </w:tcBorders>
            <w:shd w:val="clear" w:color="auto" w:fill="E2F3F0"/>
          </w:tcPr>
          <w:p>
            <w:pPr>
              <w:pStyle w:val="TableParagraph"/>
              <w:spacing w:before="105"/>
              <w:ind w:left="103"/>
              <w:rPr>
                <w:sz w:val="17"/>
              </w:rPr>
            </w:pPr>
            <w:r>
              <w:rPr>
                <w:sz w:val="17"/>
              </w:rPr>
              <w:t>Rapport med fejl og mangler registreret.</w:t>
            </w:r>
          </w:p>
        </w:tc>
      </w:tr>
      <w:tr>
        <w:trPr>
          <w:trHeight w:val="664" w:hRule="atLeast"/>
        </w:trPr>
        <w:tc>
          <w:tcPr>
            <w:tcW w:w="1016" w:type="dxa"/>
            <w:tcBorders>
              <w:left w:val="nil"/>
              <w:right w:val="nil"/>
            </w:tcBorders>
            <w:shd w:val="clear" w:color="auto" w:fill="C8E9E6"/>
          </w:tcPr>
          <w:p>
            <w:pPr>
              <w:pStyle w:val="TableParagraph"/>
              <w:spacing w:line="242" w:lineRule="auto" w:before="1"/>
              <w:ind w:left="103" w:right="315"/>
              <w:rPr>
                <w:sz w:val="17"/>
              </w:rPr>
            </w:pPr>
            <w:r>
              <w:rPr>
                <w:sz w:val="17"/>
              </w:rPr>
              <w:t>Kvitte- ring</w:t>
            </w:r>
          </w:p>
        </w:tc>
        <w:tc>
          <w:tcPr>
            <w:tcW w:w="1276" w:type="dxa"/>
            <w:tcBorders>
              <w:left w:val="nil"/>
            </w:tcBorders>
            <w:shd w:val="clear" w:color="auto" w:fill="C8E9E6"/>
          </w:tcPr>
          <w:p>
            <w:pPr>
              <w:pStyle w:val="TableParagraph"/>
              <w:spacing w:before="105"/>
              <w:ind w:left="102"/>
              <w:rPr>
                <w:sz w:val="17"/>
              </w:rPr>
            </w:pPr>
            <w:r>
              <w:rPr>
                <w:sz w:val="17"/>
              </w:rPr>
              <w:t>Data object</w:t>
            </w:r>
          </w:p>
        </w:tc>
        <w:tc>
          <w:tcPr>
            <w:tcW w:w="4849" w:type="dxa"/>
            <w:tcBorders>
              <w:right w:val="nil"/>
            </w:tcBorders>
            <w:shd w:val="clear" w:color="auto" w:fill="C8E9E6"/>
          </w:tcPr>
          <w:p>
            <w:pPr>
              <w:pStyle w:val="TableParagraph"/>
              <w:spacing w:line="242" w:lineRule="auto" w:before="1"/>
              <w:ind w:left="103" w:right="305"/>
              <w:rPr>
                <w:sz w:val="17"/>
              </w:rPr>
            </w:pPr>
            <w:r>
              <w:rPr>
                <w:sz w:val="17"/>
              </w:rPr>
              <w:t>Kvittering med information om at informationsleve- rancen fra rådgiveren opfylder de opstillede krav..</w:t>
            </w:r>
          </w:p>
        </w:tc>
      </w:tr>
      <w:tr>
        <w:trPr>
          <w:trHeight w:val="457" w:hRule="atLeast"/>
        </w:trPr>
        <w:tc>
          <w:tcPr>
            <w:tcW w:w="7141" w:type="dxa"/>
            <w:gridSpan w:val="3"/>
            <w:tcBorders>
              <w:left w:val="nil"/>
              <w:right w:val="nil"/>
            </w:tcBorders>
            <w:shd w:val="clear" w:color="auto" w:fill="4AC1C3"/>
          </w:tcPr>
          <w:p>
            <w:pPr>
              <w:pStyle w:val="TableParagraph"/>
              <w:spacing w:before="1"/>
              <w:ind w:left="103"/>
              <w:rPr>
                <w:b/>
                <w:sz w:val="17"/>
              </w:rPr>
            </w:pPr>
            <w:r>
              <w:rPr>
                <w:b/>
                <w:sz w:val="17"/>
              </w:rPr>
              <w:t>Specifikation af udvekslingsindhold</w:t>
            </w:r>
          </w:p>
        </w:tc>
      </w:tr>
      <w:tr>
        <w:trPr>
          <w:trHeight w:val="5270" w:hRule="atLeast"/>
        </w:trPr>
        <w:tc>
          <w:tcPr>
            <w:tcW w:w="1016" w:type="dxa"/>
            <w:tcBorders>
              <w:left w:val="nil"/>
              <w:right w:val="nil"/>
            </w:tcBorders>
            <w:shd w:val="clear" w:color="auto" w:fill="C8E9E6"/>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9"/>
              </w:rPr>
            </w:pPr>
          </w:p>
          <w:p>
            <w:pPr>
              <w:pStyle w:val="TableParagraph"/>
              <w:spacing w:line="207" w:lineRule="exact"/>
              <w:ind w:left="103"/>
              <w:rPr>
                <w:sz w:val="17"/>
              </w:rPr>
            </w:pPr>
            <w:r>
              <w:rPr>
                <w:sz w:val="17"/>
              </w:rPr>
              <w:t>er_space</w:t>
            </w:r>
          </w:p>
          <w:p>
            <w:pPr>
              <w:pStyle w:val="TableParagraph"/>
              <w:ind w:left="103"/>
              <w:rPr>
                <w:sz w:val="17"/>
              </w:rPr>
            </w:pPr>
            <w:r>
              <w:rPr>
                <w:sz w:val="17"/>
              </w:rPr>
              <w:t>_model</w:t>
            </w:r>
          </w:p>
        </w:tc>
        <w:tc>
          <w:tcPr>
            <w:tcW w:w="1276" w:type="dxa"/>
            <w:tcBorders>
              <w:left w:val="nil"/>
            </w:tcBorders>
            <w:shd w:val="clear" w:color="auto" w:fill="C8E9E6"/>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9"/>
              </w:rPr>
            </w:pPr>
          </w:p>
          <w:p>
            <w:pPr>
              <w:pStyle w:val="TableParagraph"/>
              <w:ind w:left="102" w:right="105"/>
              <w:rPr>
                <w:sz w:val="17"/>
              </w:rPr>
            </w:pPr>
            <w:r>
              <w:rPr>
                <w:sz w:val="17"/>
              </w:rPr>
              <w:t>Exchange requirement</w:t>
            </w:r>
          </w:p>
        </w:tc>
        <w:tc>
          <w:tcPr>
            <w:tcW w:w="4849" w:type="dxa"/>
            <w:tcBorders>
              <w:right w:val="nil"/>
            </w:tcBorders>
            <w:shd w:val="clear" w:color="auto" w:fill="C8E9E6"/>
          </w:tcPr>
          <w:p>
            <w:pPr>
              <w:pStyle w:val="TableParagraph"/>
              <w:spacing w:before="1"/>
              <w:ind w:left="103" w:right="281"/>
              <w:rPr>
                <w:sz w:val="17"/>
              </w:rPr>
            </w:pPr>
            <w:r>
              <w:rPr>
                <w:sz w:val="17"/>
              </w:rPr>
              <w:t>Bygningsinformationsmodel indeholdende rum, mo- delleret som spaces i IFC. Rum skal være tilknyttet en bygning og etagen, hvor gulvet befinder sig.</w:t>
            </w:r>
          </w:p>
          <w:p>
            <w:pPr>
              <w:pStyle w:val="TableParagraph"/>
              <w:spacing w:before="4"/>
              <w:rPr>
                <w:b/>
                <w:sz w:val="21"/>
              </w:rPr>
            </w:pPr>
          </w:p>
          <w:p>
            <w:pPr>
              <w:pStyle w:val="TableParagraph"/>
              <w:ind w:left="103" w:right="118"/>
              <w:rPr>
                <w:sz w:val="17"/>
              </w:rPr>
            </w:pPr>
            <w:r>
              <w:rPr>
                <w:sz w:val="17"/>
              </w:rPr>
              <w:t>Arealer skal opmåles i henhold til DS13000 suppleret med evt. retningslinjer, som bygningsejeren/driftsan- svarlige udleverer.</w:t>
            </w:r>
          </w:p>
          <w:p>
            <w:pPr>
              <w:pStyle w:val="TableParagraph"/>
              <w:spacing w:before="3"/>
              <w:rPr>
                <w:b/>
                <w:sz w:val="21"/>
              </w:rPr>
            </w:pPr>
          </w:p>
          <w:p>
            <w:pPr>
              <w:pStyle w:val="TableParagraph"/>
              <w:spacing w:line="242" w:lineRule="auto"/>
              <w:ind w:left="103" w:right="466"/>
              <w:rPr>
                <w:sz w:val="17"/>
              </w:rPr>
            </w:pPr>
            <w:r>
              <w:rPr>
                <w:sz w:val="17"/>
              </w:rPr>
              <w:t>Rumfunktion baseres på SDFE</w:t>
            </w:r>
            <w:r>
              <w:rPr>
                <w:rFonts w:ascii="Cambria Math" w:hAnsi="Cambria Math"/>
                <w:sz w:val="17"/>
              </w:rPr>
              <w:t>‐</w:t>
            </w:r>
            <w:r>
              <w:rPr>
                <w:sz w:val="17"/>
              </w:rPr>
              <w:t>standardlister over rumfunktion (link, versionsangivelse, eller tabel)</w:t>
            </w:r>
          </w:p>
          <w:p>
            <w:pPr>
              <w:pStyle w:val="TableParagraph"/>
              <w:spacing w:before="2"/>
              <w:rPr>
                <w:b/>
                <w:sz w:val="21"/>
              </w:rPr>
            </w:pPr>
          </w:p>
          <w:p>
            <w:pPr>
              <w:pStyle w:val="TableParagraph"/>
              <w:ind w:left="103" w:right="132"/>
              <w:rPr>
                <w:sz w:val="17"/>
              </w:rPr>
            </w:pPr>
            <w:r>
              <w:rPr>
                <w:sz w:val="17"/>
              </w:rPr>
              <w:t>Rumnummer (flere forskellige type rumnumre) i hen- hold til projektspecifikke specifikationer</w:t>
            </w:r>
          </w:p>
          <w:p>
            <w:pPr>
              <w:pStyle w:val="TableParagraph"/>
              <w:spacing w:before="6"/>
              <w:rPr>
                <w:b/>
                <w:sz w:val="21"/>
              </w:rPr>
            </w:pPr>
          </w:p>
          <w:p>
            <w:pPr>
              <w:pStyle w:val="TableParagraph"/>
              <w:spacing w:before="1"/>
              <w:ind w:left="103" w:right="124"/>
              <w:rPr>
                <w:sz w:val="17"/>
              </w:rPr>
            </w:pPr>
            <w:r>
              <w:rPr>
                <w:sz w:val="17"/>
              </w:rPr>
              <w:t>Klassifikationskode svarende til rumfunktion skal ba- seres på gældende struktur og klassifikationstabel for bebyggelser, bygninger og rum. Alternative rumfunk- tioner skal angives særskilt, såfremt at rummet har flere funktioner.</w:t>
            </w:r>
          </w:p>
          <w:p>
            <w:pPr>
              <w:pStyle w:val="TableParagraph"/>
              <w:spacing w:before="5"/>
              <w:rPr>
                <w:b/>
                <w:sz w:val="21"/>
              </w:rPr>
            </w:pPr>
          </w:p>
          <w:p>
            <w:pPr>
              <w:pStyle w:val="TableParagraph"/>
              <w:ind w:left="103" w:right="100"/>
              <w:rPr>
                <w:sz w:val="17"/>
              </w:rPr>
            </w:pPr>
            <w:r>
              <w:rPr>
                <w:sz w:val="17"/>
              </w:rPr>
              <w:t>Foruden brugsrum skal der oprettes et rum, som sva- rer til etagens bruttoetageareal. Rummet navngives, med præfix for navnet på etagen de angiver.</w:t>
            </w:r>
          </w:p>
        </w:tc>
      </w:tr>
      <w:tr>
        <w:trPr>
          <w:trHeight w:val="3926" w:hRule="atLeast"/>
        </w:trPr>
        <w:tc>
          <w:tcPr>
            <w:tcW w:w="1016" w:type="dxa"/>
            <w:tcBorders>
              <w:left w:val="nil"/>
              <w:bottom w:val="nil"/>
              <w:right w:val="nil"/>
            </w:tcBorders>
            <w:shd w:val="clear" w:color="auto" w:fill="E2F3F0"/>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22"/>
              </w:rPr>
            </w:pPr>
          </w:p>
          <w:p>
            <w:pPr>
              <w:pStyle w:val="TableParagraph"/>
              <w:ind w:left="103"/>
              <w:rPr>
                <w:sz w:val="17"/>
              </w:rPr>
            </w:pPr>
            <w:r>
              <w:rPr>
                <w:sz w:val="17"/>
              </w:rPr>
              <w:t>er_door</w:t>
            </w:r>
          </w:p>
        </w:tc>
        <w:tc>
          <w:tcPr>
            <w:tcW w:w="1276" w:type="dxa"/>
            <w:tcBorders>
              <w:left w:val="nil"/>
              <w:bottom w:val="nil"/>
            </w:tcBorders>
            <w:shd w:val="clear" w:color="auto" w:fill="E2F3F0"/>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6"/>
              <w:ind w:left="102" w:right="105"/>
              <w:rPr>
                <w:sz w:val="17"/>
              </w:rPr>
            </w:pPr>
            <w:r>
              <w:rPr>
                <w:sz w:val="17"/>
              </w:rPr>
              <w:t>Exchange requirement</w:t>
            </w:r>
          </w:p>
        </w:tc>
        <w:tc>
          <w:tcPr>
            <w:tcW w:w="4849" w:type="dxa"/>
            <w:tcBorders>
              <w:bottom w:val="nil"/>
              <w:right w:val="nil"/>
            </w:tcBorders>
            <w:shd w:val="clear" w:color="auto" w:fill="E2F3F0"/>
          </w:tcPr>
          <w:p>
            <w:pPr>
              <w:pStyle w:val="TableParagraph"/>
              <w:spacing w:before="1"/>
              <w:ind w:left="103" w:right="130"/>
              <w:rPr>
                <w:sz w:val="17"/>
              </w:rPr>
            </w:pPr>
            <w:r>
              <w:rPr>
                <w:sz w:val="17"/>
              </w:rPr>
              <w:t>Bygningsinformationsmodel som indeholder døre mo- delleret som IFCDoors i IFC.</w:t>
            </w:r>
          </w:p>
          <w:p>
            <w:pPr>
              <w:pStyle w:val="TableParagraph"/>
              <w:spacing w:before="7"/>
              <w:rPr>
                <w:b/>
                <w:sz w:val="21"/>
              </w:rPr>
            </w:pPr>
          </w:p>
          <w:p>
            <w:pPr>
              <w:pStyle w:val="TableParagraph"/>
              <w:ind w:left="103" w:right="355"/>
              <w:jc w:val="both"/>
              <w:rPr>
                <w:sz w:val="17"/>
              </w:rPr>
            </w:pPr>
            <w:r>
              <w:rPr>
                <w:sz w:val="17"/>
              </w:rPr>
              <w:t>Døre skal være tilknyttet en bygning, etagen, hvor gulvet befinder sig og stå mellem rum eller mellem rum og bygningens ydre.</w:t>
            </w:r>
          </w:p>
          <w:p>
            <w:pPr>
              <w:pStyle w:val="TableParagraph"/>
              <w:spacing w:before="3"/>
              <w:rPr>
                <w:b/>
                <w:sz w:val="21"/>
              </w:rPr>
            </w:pPr>
          </w:p>
          <w:p>
            <w:pPr>
              <w:pStyle w:val="TableParagraph"/>
              <w:ind w:left="103" w:right="136"/>
              <w:rPr>
                <w:sz w:val="17"/>
              </w:rPr>
            </w:pPr>
            <w:r>
              <w:rPr>
                <w:sz w:val="17"/>
              </w:rPr>
              <w:t>Døre skal opmåles i henhold til DS13000 suppleret med evt. slagretningsviser og evt. rum tilhørsforhold, som bygningsejeren/driftsansvarlige udleverer.</w:t>
            </w:r>
          </w:p>
          <w:p>
            <w:pPr>
              <w:pStyle w:val="TableParagraph"/>
              <w:spacing w:before="3"/>
              <w:rPr>
                <w:b/>
                <w:sz w:val="21"/>
              </w:rPr>
            </w:pPr>
          </w:p>
          <w:p>
            <w:pPr>
              <w:pStyle w:val="TableParagraph"/>
              <w:spacing w:before="1"/>
              <w:ind w:left="103" w:right="98"/>
              <w:rPr>
                <w:sz w:val="17"/>
              </w:rPr>
            </w:pPr>
            <w:r>
              <w:rPr>
                <w:sz w:val="17"/>
              </w:rPr>
              <w:t>Dørfunktionen baseres på SES</w:t>
            </w:r>
            <w:r>
              <w:rPr>
                <w:position w:val="6"/>
                <w:sz w:val="11"/>
              </w:rPr>
              <w:t>35</w:t>
            </w:r>
            <w:r>
              <w:rPr>
                <w:rFonts w:ascii="Cambria Math" w:hAnsi="Cambria Math"/>
                <w:sz w:val="17"/>
              </w:rPr>
              <w:t>‐</w:t>
            </w:r>
            <w:r>
              <w:rPr>
                <w:sz w:val="17"/>
              </w:rPr>
              <w:t>standardlister over Dørfunktion (link, versionsangivelse, eller tabel). Al- ternative Dørfunktioner skal angives særskilt, såfremt at rummet har flere funktioner.</w:t>
            </w:r>
          </w:p>
          <w:p>
            <w:pPr>
              <w:pStyle w:val="TableParagraph"/>
              <w:spacing w:before="2"/>
              <w:rPr>
                <w:b/>
                <w:sz w:val="21"/>
              </w:rPr>
            </w:pPr>
          </w:p>
          <w:p>
            <w:pPr>
              <w:pStyle w:val="TableParagraph"/>
              <w:spacing w:line="210" w:lineRule="atLeast"/>
              <w:ind w:left="103" w:right="134"/>
              <w:rPr>
                <w:sz w:val="17"/>
              </w:rPr>
            </w:pPr>
            <w:r>
              <w:rPr>
                <w:sz w:val="17"/>
              </w:rPr>
              <w:t>Dørnummer i henhold til projektspecifikke specifikati- oner, f.eks. med klassifikationskoder svarende til</w:t>
            </w:r>
          </w:p>
        </w:tc>
      </w:tr>
    </w:tbl>
    <w:p>
      <w:pPr>
        <w:pStyle w:val="BodyText"/>
        <w:rPr>
          <w:b/>
          <w:sz w:val="20"/>
        </w:rPr>
      </w:pPr>
    </w:p>
    <w:p>
      <w:pPr>
        <w:pStyle w:val="BodyText"/>
        <w:spacing w:before="4"/>
        <w:rPr>
          <w:b/>
          <w:sz w:val="11"/>
        </w:rPr>
      </w:pPr>
      <w:r>
        <w:rPr/>
        <w:pict>
          <v:line style="position:absolute;mso-position-horizontal-relative:page;mso-position-vertical-relative:paragraph;z-index:5888;mso-wrap-distance-left:0;mso-wrap-distance-right:0" from="181.490005pt,9.106689pt" to="325.510005pt,9.106689pt" stroked="true" strokeweight=".47998pt" strokecolor="#000000">
            <v:stroke dashstyle="solid"/>
            <w10:wrap type="topAndBottom"/>
          </v:line>
        </w:pict>
      </w:r>
    </w:p>
    <w:p>
      <w:pPr>
        <w:pStyle w:val="BodyText"/>
        <w:spacing w:before="8"/>
        <w:rPr>
          <w:b/>
          <w:sz w:val="25"/>
        </w:rPr>
      </w:pPr>
    </w:p>
    <w:p>
      <w:pPr>
        <w:spacing w:before="0"/>
        <w:ind w:left="2649" w:right="0" w:firstLine="0"/>
        <w:jc w:val="left"/>
        <w:rPr>
          <w:sz w:val="15"/>
        </w:rPr>
      </w:pPr>
      <w:r>
        <w:rPr>
          <w:position w:val="5"/>
          <w:sz w:val="10"/>
        </w:rPr>
        <w:t>35 </w:t>
      </w:r>
      <w:r>
        <w:rPr>
          <w:sz w:val="15"/>
        </w:rPr>
        <w:t>SES = The Society for Standards Professionals</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61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
        <w:rPr>
          <w:sz w:val="29"/>
        </w:rPr>
      </w:pPr>
    </w:p>
    <w:tbl>
      <w:tblPr>
        <w:tblCellSpacing w:w="4" w:type="dxa"/>
        <w:tblW w:w="0" w:type="auto"/>
        <w:jc w:val="left"/>
        <w:tblInd w:w="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6"/>
        <w:gridCol w:w="1276"/>
        <w:gridCol w:w="4849"/>
      </w:tblGrid>
      <w:tr>
        <w:trPr>
          <w:trHeight w:val="457" w:hRule="atLeast"/>
        </w:trPr>
        <w:tc>
          <w:tcPr>
            <w:tcW w:w="1016" w:type="dxa"/>
            <w:tcBorders>
              <w:bottom w:val="nil"/>
            </w:tcBorders>
            <w:shd w:val="clear" w:color="auto" w:fill="2C647C"/>
          </w:tcPr>
          <w:p>
            <w:pPr>
              <w:pStyle w:val="TableParagraph"/>
              <w:spacing w:before="2"/>
              <w:ind w:left="103"/>
              <w:rPr>
                <w:b/>
                <w:sz w:val="17"/>
              </w:rPr>
            </w:pPr>
            <w:r>
              <w:rPr>
                <w:b/>
                <w:color w:val="FFFFFF"/>
                <w:sz w:val="17"/>
              </w:rPr>
              <w:t>Objekt</w:t>
            </w:r>
          </w:p>
        </w:tc>
        <w:tc>
          <w:tcPr>
            <w:tcW w:w="1276" w:type="dxa"/>
            <w:tcBorders>
              <w:bottom w:val="nil"/>
              <w:right w:val="nil"/>
            </w:tcBorders>
            <w:shd w:val="clear" w:color="auto" w:fill="2C647C"/>
          </w:tcPr>
          <w:p>
            <w:pPr>
              <w:pStyle w:val="TableParagraph"/>
              <w:spacing w:before="2"/>
              <w:ind w:left="102"/>
              <w:rPr>
                <w:b/>
                <w:sz w:val="17"/>
              </w:rPr>
            </w:pPr>
            <w:r>
              <w:rPr>
                <w:b/>
                <w:color w:val="FFFFFF"/>
                <w:sz w:val="17"/>
              </w:rPr>
              <w:t>Type</w:t>
            </w:r>
          </w:p>
        </w:tc>
        <w:tc>
          <w:tcPr>
            <w:tcW w:w="4849" w:type="dxa"/>
            <w:tcBorders>
              <w:left w:val="nil"/>
              <w:bottom w:val="nil"/>
            </w:tcBorders>
            <w:shd w:val="clear" w:color="auto" w:fill="2C647C"/>
          </w:tcPr>
          <w:p>
            <w:pPr>
              <w:pStyle w:val="TableParagraph"/>
              <w:spacing w:before="2"/>
              <w:ind w:left="103"/>
              <w:rPr>
                <w:b/>
                <w:sz w:val="17"/>
              </w:rPr>
            </w:pPr>
            <w:r>
              <w:rPr>
                <w:b/>
                <w:color w:val="FFFFFF"/>
                <w:sz w:val="17"/>
              </w:rPr>
              <w:t>Beskrivelse</w:t>
            </w:r>
          </w:p>
        </w:tc>
      </w:tr>
      <w:tr>
        <w:trPr>
          <w:trHeight w:val="2161" w:hRule="atLeast"/>
        </w:trPr>
        <w:tc>
          <w:tcPr>
            <w:tcW w:w="1016" w:type="dxa"/>
            <w:tcBorders>
              <w:top w:val="nil"/>
            </w:tcBorders>
            <w:shd w:val="clear" w:color="auto" w:fill="E2F3F0"/>
          </w:tcPr>
          <w:p>
            <w:pPr>
              <w:pStyle w:val="TableParagraph"/>
              <w:rPr>
                <w:rFonts w:ascii="Times New Roman"/>
                <w:sz w:val="16"/>
              </w:rPr>
            </w:pPr>
          </w:p>
        </w:tc>
        <w:tc>
          <w:tcPr>
            <w:tcW w:w="1276" w:type="dxa"/>
            <w:tcBorders>
              <w:top w:val="nil"/>
              <w:right w:val="nil"/>
            </w:tcBorders>
            <w:shd w:val="clear" w:color="auto" w:fill="E2F3F0"/>
          </w:tcPr>
          <w:p>
            <w:pPr>
              <w:pStyle w:val="TableParagraph"/>
              <w:rPr>
                <w:rFonts w:ascii="Times New Roman"/>
                <w:sz w:val="16"/>
              </w:rPr>
            </w:pPr>
          </w:p>
        </w:tc>
        <w:tc>
          <w:tcPr>
            <w:tcW w:w="4849" w:type="dxa"/>
            <w:tcBorders>
              <w:top w:val="nil"/>
              <w:left w:val="nil"/>
            </w:tcBorders>
            <w:shd w:val="clear" w:color="auto" w:fill="E2F3F0"/>
          </w:tcPr>
          <w:p>
            <w:pPr>
              <w:pStyle w:val="TableParagraph"/>
              <w:spacing w:before="1"/>
              <w:ind w:left="103" w:right="291"/>
              <w:rPr>
                <w:sz w:val="17"/>
              </w:rPr>
            </w:pPr>
            <w:r>
              <w:rPr>
                <w:sz w:val="17"/>
              </w:rPr>
              <w:t>rumfunktioner baseret på en fælles fastlagt klassifi- kationsstruktur.</w:t>
            </w:r>
          </w:p>
          <w:p>
            <w:pPr>
              <w:pStyle w:val="TableParagraph"/>
              <w:spacing w:before="4"/>
              <w:rPr>
                <w:sz w:val="21"/>
              </w:rPr>
            </w:pPr>
          </w:p>
          <w:p>
            <w:pPr>
              <w:pStyle w:val="TableParagraph"/>
              <w:spacing w:line="207" w:lineRule="exact"/>
              <w:ind w:left="103"/>
              <w:rPr>
                <w:sz w:val="17"/>
              </w:rPr>
            </w:pPr>
            <w:r>
              <w:rPr>
                <w:sz w:val="17"/>
              </w:rPr>
              <w:t>Egenskaber som kan være relevante:</w:t>
            </w:r>
          </w:p>
          <w:p>
            <w:pPr>
              <w:pStyle w:val="TableParagraph"/>
              <w:numPr>
                <w:ilvl w:val="0"/>
                <w:numId w:val="33"/>
              </w:numPr>
              <w:tabs>
                <w:tab w:pos="386" w:val="left" w:leader="none"/>
                <w:tab w:pos="387" w:val="left" w:leader="none"/>
              </w:tabs>
              <w:spacing w:line="207" w:lineRule="exact" w:before="0" w:after="0"/>
              <w:ind w:left="386" w:right="0" w:hanging="283"/>
              <w:jc w:val="left"/>
              <w:rPr>
                <w:sz w:val="17"/>
              </w:rPr>
            </w:pPr>
            <w:r>
              <w:rPr>
                <w:sz w:val="17"/>
              </w:rPr>
              <w:t>ABDL: Automatisk Branddøre</w:t>
            </w:r>
            <w:r>
              <w:rPr>
                <w:spacing w:val="-8"/>
                <w:sz w:val="17"/>
              </w:rPr>
              <w:t> </w:t>
            </w:r>
            <w:r>
              <w:rPr>
                <w:sz w:val="17"/>
              </w:rPr>
              <w:t>lukning</w:t>
            </w:r>
          </w:p>
          <w:p>
            <w:pPr>
              <w:pStyle w:val="TableParagraph"/>
              <w:numPr>
                <w:ilvl w:val="0"/>
                <w:numId w:val="33"/>
              </w:numPr>
              <w:tabs>
                <w:tab w:pos="386" w:val="left" w:leader="none"/>
                <w:tab w:pos="387" w:val="left" w:leader="none"/>
              </w:tabs>
              <w:spacing w:line="206" w:lineRule="exact" w:before="0" w:after="0"/>
              <w:ind w:left="386" w:right="0" w:hanging="283"/>
              <w:jc w:val="left"/>
              <w:rPr>
                <w:sz w:val="17"/>
              </w:rPr>
            </w:pPr>
            <w:r>
              <w:rPr>
                <w:sz w:val="17"/>
              </w:rPr>
              <w:t>ADK: Automatisk Dør</w:t>
            </w:r>
            <w:r>
              <w:rPr>
                <w:spacing w:val="-5"/>
                <w:sz w:val="17"/>
              </w:rPr>
              <w:t> </w:t>
            </w:r>
            <w:r>
              <w:rPr>
                <w:sz w:val="17"/>
              </w:rPr>
              <w:t>Kontrol</w:t>
            </w:r>
          </w:p>
          <w:p>
            <w:pPr>
              <w:pStyle w:val="TableParagraph"/>
              <w:numPr>
                <w:ilvl w:val="0"/>
                <w:numId w:val="33"/>
              </w:numPr>
              <w:tabs>
                <w:tab w:pos="386" w:val="left" w:leader="none"/>
                <w:tab w:pos="387" w:val="left" w:leader="none"/>
              </w:tabs>
              <w:spacing w:line="207" w:lineRule="exact" w:before="0" w:after="0"/>
              <w:ind w:left="386" w:right="0" w:hanging="283"/>
              <w:jc w:val="left"/>
              <w:rPr>
                <w:sz w:val="17"/>
              </w:rPr>
            </w:pPr>
            <w:r>
              <w:rPr>
                <w:sz w:val="17"/>
              </w:rPr>
              <w:t>Forberedt til motorstyring af</w:t>
            </w:r>
            <w:r>
              <w:rPr>
                <w:spacing w:val="-5"/>
                <w:sz w:val="17"/>
              </w:rPr>
              <w:t> </w:t>
            </w:r>
            <w:r>
              <w:rPr>
                <w:sz w:val="17"/>
              </w:rPr>
              <w:t>dørlåsesystem.</w:t>
            </w:r>
          </w:p>
          <w:p>
            <w:pPr>
              <w:pStyle w:val="TableParagraph"/>
              <w:numPr>
                <w:ilvl w:val="0"/>
                <w:numId w:val="33"/>
              </w:numPr>
              <w:tabs>
                <w:tab w:pos="386" w:val="left" w:leader="none"/>
                <w:tab w:pos="387" w:val="left" w:leader="none"/>
              </w:tabs>
              <w:spacing w:line="207" w:lineRule="exact" w:before="0" w:after="0"/>
              <w:ind w:left="386" w:right="0" w:hanging="283"/>
              <w:jc w:val="left"/>
              <w:rPr>
                <w:sz w:val="17"/>
              </w:rPr>
            </w:pPr>
            <w:r>
              <w:rPr>
                <w:sz w:val="17"/>
              </w:rPr>
              <w:t>Lyd og Brandklasse</w:t>
            </w:r>
            <w:r>
              <w:rPr>
                <w:spacing w:val="-4"/>
                <w:sz w:val="17"/>
              </w:rPr>
              <w:t> </w:t>
            </w:r>
            <w:r>
              <w:rPr>
                <w:sz w:val="17"/>
              </w:rPr>
              <w:t>egenskaber</w:t>
            </w:r>
          </w:p>
          <w:p>
            <w:pPr>
              <w:pStyle w:val="TableParagraph"/>
              <w:numPr>
                <w:ilvl w:val="0"/>
                <w:numId w:val="33"/>
              </w:numPr>
              <w:tabs>
                <w:tab w:pos="386" w:val="left" w:leader="none"/>
                <w:tab w:pos="387" w:val="left" w:leader="none"/>
              </w:tabs>
              <w:spacing w:line="207" w:lineRule="exact" w:before="0" w:after="0"/>
              <w:ind w:left="386" w:right="0" w:hanging="283"/>
              <w:jc w:val="left"/>
              <w:rPr>
                <w:sz w:val="17"/>
              </w:rPr>
            </w:pPr>
            <w:r>
              <w:rPr>
                <w:sz w:val="17"/>
              </w:rPr>
              <w:t>DørTilbehør: Dørpumper (lukker</w:t>
            </w:r>
            <w:r>
              <w:rPr>
                <w:spacing w:val="-5"/>
                <w:sz w:val="17"/>
              </w:rPr>
              <w:t> </w:t>
            </w:r>
            <w:r>
              <w:rPr>
                <w:sz w:val="17"/>
              </w:rPr>
              <w:t>automatisk)</w:t>
            </w:r>
          </w:p>
        </w:tc>
      </w:tr>
    </w:tbl>
    <w:p>
      <w:pPr>
        <w:pStyle w:val="BodyText"/>
        <w:spacing w:before="4"/>
        <w:rPr>
          <w:sz w:val="16"/>
        </w:rPr>
      </w:pPr>
    </w:p>
    <w:p>
      <w:pPr>
        <w:pStyle w:val="Heading2"/>
        <w:spacing w:before="101" w:after="9"/>
        <w:ind w:firstLine="0"/>
      </w:pPr>
      <w:r>
        <w:rPr/>
        <w:t>Specifikation af koordinationspunkter</w:t>
      </w:r>
    </w:p>
    <w:tbl>
      <w:tblPr>
        <w:tblCellSpacing w:w="4" w:type="dxa"/>
        <w:tblW w:w="0" w:type="auto"/>
        <w:jc w:val="left"/>
        <w:tblInd w:w="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6"/>
        <w:gridCol w:w="1145"/>
        <w:gridCol w:w="4062"/>
      </w:tblGrid>
      <w:tr>
        <w:trPr>
          <w:trHeight w:val="870" w:hRule="atLeast"/>
        </w:trPr>
        <w:tc>
          <w:tcPr>
            <w:tcW w:w="1896" w:type="dxa"/>
            <w:tcBorders>
              <w:right w:val="nil"/>
            </w:tcBorders>
            <w:shd w:val="clear" w:color="auto" w:fill="E2F3F0"/>
          </w:tcPr>
          <w:p>
            <w:pPr>
              <w:pStyle w:val="TableParagraph"/>
              <w:spacing w:before="105"/>
              <w:ind w:left="103" w:right="208"/>
              <w:rPr>
                <w:sz w:val="17"/>
              </w:rPr>
            </w:pPr>
            <w:r>
              <w:rPr>
                <w:color w:val="FFFFFF"/>
                <w:sz w:val="17"/>
              </w:rPr>
              <w:t>Opfylder modellen kravene?</w:t>
            </w:r>
          </w:p>
        </w:tc>
        <w:tc>
          <w:tcPr>
            <w:tcW w:w="1145" w:type="dxa"/>
            <w:tcBorders>
              <w:left w:val="nil"/>
              <w:right w:val="nil"/>
            </w:tcBorders>
            <w:shd w:val="clear" w:color="auto" w:fill="E2F3F0"/>
          </w:tcPr>
          <w:p>
            <w:pPr>
              <w:pStyle w:val="TableParagraph"/>
              <w:spacing w:before="2"/>
              <w:ind w:left="102" w:right="192"/>
              <w:jc w:val="both"/>
              <w:rPr>
                <w:sz w:val="17"/>
              </w:rPr>
            </w:pPr>
            <w:r>
              <w:rPr>
                <w:color w:val="FFFFFF"/>
                <w:sz w:val="17"/>
              </w:rPr>
              <w:t>Coordina- tion point gateway</w:t>
            </w:r>
          </w:p>
        </w:tc>
        <w:tc>
          <w:tcPr>
            <w:tcW w:w="4062" w:type="dxa"/>
            <w:tcBorders>
              <w:left w:val="nil"/>
            </w:tcBorders>
            <w:shd w:val="clear" w:color="auto" w:fill="E2F3F0"/>
          </w:tcPr>
          <w:p>
            <w:pPr>
              <w:pStyle w:val="TableParagraph"/>
              <w:spacing w:before="2"/>
              <w:ind w:left="103" w:right="92"/>
              <w:rPr>
                <w:sz w:val="17"/>
              </w:rPr>
            </w:pPr>
            <w:r>
              <w:rPr>
                <w:color w:val="FFFFFF"/>
                <w:sz w:val="17"/>
              </w:rPr>
              <w:t>Beslutning om hvorvidt rådgiverens informa- tionsleverance kan godkendes eller om den skal revideres.</w:t>
            </w:r>
          </w:p>
        </w:tc>
      </w:tr>
    </w:tbl>
    <w:p>
      <w:pPr>
        <w:pStyle w:val="BodyText"/>
        <w:spacing w:before="4"/>
        <w:rPr>
          <w:b/>
          <w:sz w:val="24"/>
        </w:rPr>
      </w:pPr>
    </w:p>
    <w:p>
      <w:pPr>
        <w:spacing w:line="261" w:lineRule="auto" w:before="0"/>
        <w:ind w:left="2649" w:right="1347" w:firstLine="0"/>
        <w:jc w:val="left"/>
        <w:rPr>
          <w:b/>
          <w:sz w:val="24"/>
        </w:rPr>
      </w:pPr>
      <w:r>
        <w:rPr>
          <w:b/>
          <w:sz w:val="24"/>
        </w:rPr>
        <w:t>Specifikation af aflevering / Model View Definition (MVD)</w:t>
      </w:r>
    </w:p>
    <w:p>
      <w:pPr>
        <w:pStyle w:val="BodyText"/>
        <w:spacing w:line="278" w:lineRule="auto" w:before="13"/>
        <w:ind w:left="2649" w:right="1179"/>
        <w:jc w:val="both"/>
      </w:pPr>
      <w:r>
        <w:rPr/>
        <w:t>Det er særlig vigtigt at beskrive Model View Definitionen, da dette indeholder den præcise definition af data leverancen, og sikrer at modtager og afsender er enty- digt enige om hvad der skal leveres, model grundlager og mindste fællesnævner.</w:t>
      </w:r>
    </w:p>
    <w:p>
      <w:pPr>
        <w:pStyle w:val="BodyText"/>
        <w:spacing w:before="3" w:after="1"/>
        <w:rPr>
          <w:sz w:val="19"/>
        </w:rPr>
      </w:pPr>
    </w:p>
    <w:tbl>
      <w:tblPr>
        <w:tblCellSpacing w:w="5" w:type="dxa"/>
        <w:tblW w:w="0" w:type="auto"/>
        <w:jc w:val="left"/>
        <w:tblInd w:w="2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0"/>
        <w:gridCol w:w="5975"/>
      </w:tblGrid>
      <w:tr>
        <w:trPr>
          <w:trHeight w:val="458" w:hRule="atLeast"/>
        </w:trPr>
        <w:tc>
          <w:tcPr>
            <w:tcW w:w="1140" w:type="dxa"/>
            <w:tcBorders>
              <w:bottom w:val="nil"/>
              <w:right w:val="nil"/>
            </w:tcBorders>
            <w:shd w:val="clear" w:color="auto" w:fill="2C647C"/>
          </w:tcPr>
          <w:p>
            <w:pPr>
              <w:pStyle w:val="TableParagraph"/>
              <w:spacing w:before="2"/>
              <w:ind w:left="103"/>
              <w:rPr>
                <w:b/>
                <w:sz w:val="17"/>
              </w:rPr>
            </w:pPr>
            <w:r>
              <w:rPr>
                <w:b/>
                <w:color w:val="FFFFFF"/>
                <w:sz w:val="17"/>
              </w:rPr>
              <w:t>Navn</w:t>
            </w:r>
          </w:p>
        </w:tc>
        <w:tc>
          <w:tcPr>
            <w:tcW w:w="5975" w:type="dxa"/>
            <w:tcBorders>
              <w:left w:val="nil"/>
              <w:bottom w:val="nil"/>
            </w:tcBorders>
            <w:shd w:val="clear" w:color="auto" w:fill="2C647C"/>
          </w:tcPr>
          <w:p>
            <w:pPr>
              <w:pStyle w:val="TableParagraph"/>
              <w:spacing w:before="2"/>
              <w:ind w:left="103"/>
              <w:rPr>
                <w:b/>
                <w:sz w:val="17"/>
              </w:rPr>
            </w:pPr>
            <w:r>
              <w:rPr>
                <w:b/>
                <w:color w:val="FFFFFF"/>
                <w:sz w:val="17"/>
              </w:rPr>
              <w:t>er_Danish_Energyproperties _model</w:t>
            </w:r>
          </w:p>
        </w:tc>
      </w:tr>
      <w:tr>
        <w:trPr>
          <w:trHeight w:val="660" w:hRule="atLeast"/>
        </w:trPr>
        <w:tc>
          <w:tcPr>
            <w:tcW w:w="1140" w:type="dxa"/>
            <w:tcBorders>
              <w:top w:val="nil"/>
              <w:right w:val="nil"/>
            </w:tcBorders>
            <w:shd w:val="clear" w:color="auto" w:fill="C8E9E6"/>
          </w:tcPr>
          <w:p>
            <w:pPr>
              <w:pStyle w:val="TableParagraph"/>
              <w:spacing w:before="1"/>
              <w:ind w:left="103" w:right="130"/>
              <w:rPr>
                <w:sz w:val="17"/>
              </w:rPr>
            </w:pPr>
            <w:r>
              <w:rPr>
                <w:sz w:val="17"/>
              </w:rPr>
              <w:t>Identifika- tion</w:t>
            </w:r>
          </w:p>
        </w:tc>
        <w:tc>
          <w:tcPr>
            <w:tcW w:w="5975" w:type="dxa"/>
            <w:tcBorders>
              <w:top w:val="nil"/>
              <w:left w:val="nil"/>
            </w:tcBorders>
            <w:shd w:val="clear" w:color="auto" w:fill="C8E9E6"/>
          </w:tcPr>
          <w:p>
            <w:pPr>
              <w:pStyle w:val="TableParagraph"/>
              <w:spacing w:before="100"/>
              <w:ind w:left="103"/>
              <w:rPr>
                <w:sz w:val="17"/>
              </w:rPr>
            </w:pPr>
            <w:r>
              <w:rPr>
                <w:sz w:val="17"/>
              </w:rPr>
              <w:t>DK</w:t>
            </w:r>
            <w:r>
              <w:rPr>
                <w:rFonts w:ascii="Cambria Math" w:hAnsi="Cambria Math"/>
                <w:sz w:val="17"/>
              </w:rPr>
              <w:t>‐</w:t>
            </w:r>
            <w:r>
              <w:rPr>
                <w:sz w:val="17"/>
              </w:rPr>
              <w:t>GOV</w:t>
            </w:r>
            <w:r>
              <w:rPr>
                <w:rFonts w:ascii="Cambria Math" w:hAnsi="Cambria Math"/>
                <w:sz w:val="17"/>
              </w:rPr>
              <w:t>‐</w:t>
            </w:r>
            <w:r>
              <w:rPr>
                <w:sz w:val="17"/>
              </w:rPr>
              <w:t>Energyproperties_er01</w:t>
            </w:r>
          </w:p>
        </w:tc>
      </w:tr>
      <w:tr>
        <w:trPr>
          <w:trHeight w:val="1337" w:hRule="atLeast"/>
        </w:trPr>
        <w:tc>
          <w:tcPr>
            <w:tcW w:w="1140" w:type="dxa"/>
            <w:tcBorders>
              <w:right w:val="nil"/>
            </w:tcBorders>
            <w:shd w:val="clear" w:color="auto" w:fill="E2F3F0"/>
          </w:tcPr>
          <w:p>
            <w:pPr>
              <w:pStyle w:val="TableParagraph"/>
              <w:rPr>
                <w:sz w:val="20"/>
              </w:rPr>
            </w:pPr>
          </w:p>
          <w:p>
            <w:pPr>
              <w:pStyle w:val="TableParagraph"/>
              <w:spacing w:before="4"/>
              <w:rPr>
                <w:sz w:val="16"/>
              </w:rPr>
            </w:pPr>
          </w:p>
          <w:p>
            <w:pPr>
              <w:pStyle w:val="TableParagraph"/>
              <w:ind w:left="103"/>
              <w:rPr>
                <w:sz w:val="17"/>
              </w:rPr>
            </w:pPr>
            <w:r>
              <w:rPr>
                <w:sz w:val="17"/>
              </w:rPr>
              <w:t>Fase</w:t>
            </w:r>
          </w:p>
        </w:tc>
        <w:tc>
          <w:tcPr>
            <w:tcW w:w="5975" w:type="dxa"/>
            <w:tcBorders>
              <w:left w:val="nil"/>
            </w:tcBorders>
            <w:shd w:val="clear" w:color="auto" w:fill="E2F3F0"/>
          </w:tcPr>
          <w:p>
            <w:pPr>
              <w:pStyle w:val="TableParagraph"/>
              <w:spacing w:line="242" w:lineRule="auto"/>
              <w:ind w:left="103" w:right="143"/>
              <w:rPr>
                <w:sz w:val="17"/>
              </w:rPr>
            </w:pPr>
            <w:r>
              <w:rPr>
                <w:sz w:val="17"/>
              </w:rPr>
              <w:t>Fase XX i Danske Ark / F.R.I</w:t>
            </w:r>
            <w:r>
              <w:rPr>
                <w:rFonts w:ascii="Cambria Math" w:hAnsi="Cambria Math"/>
                <w:sz w:val="17"/>
              </w:rPr>
              <w:t>‐</w:t>
            </w:r>
            <w:r>
              <w:rPr>
                <w:sz w:val="17"/>
              </w:rPr>
              <w:t>modellen fra et procesdomænet samt standardiserede Klassifikationstabeller.</w:t>
            </w:r>
          </w:p>
          <w:p>
            <w:pPr>
              <w:pStyle w:val="TableParagraph"/>
              <w:spacing w:before="9"/>
              <w:rPr>
                <w:sz w:val="20"/>
              </w:rPr>
            </w:pPr>
          </w:p>
          <w:p>
            <w:pPr>
              <w:pStyle w:val="TableParagraph"/>
              <w:spacing w:line="242" w:lineRule="auto" w:before="1"/>
              <w:ind w:left="103" w:right="295"/>
              <w:rPr>
                <w:sz w:val="17"/>
              </w:rPr>
            </w:pPr>
            <w:r>
              <w:rPr>
                <w:sz w:val="17"/>
              </w:rPr>
              <w:t>Version 1,0, 20xx</w:t>
            </w:r>
            <w:r>
              <w:rPr>
                <w:rFonts w:ascii="Cambria Math" w:hAnsi="Cambria Math"/>
                <w:sz w:val="17"/>
              </w:rPr>
              <w:t>‐</w:t>
            </w:r>
            <w:r>
              <w:rPr>
                <w:sz w:val="17"/>
              </w:rPr>
              <w:t>xx</w:t>
            </w:r>
            <w:r>
              <w:rPr>
                <w:rFonts w:ascii="Cambria Math" w:hAnsi="Cambria Math"/>
                <w:sz w:val="17"/>
              </w:rPr>
              <w:t>‐</w:t>
            </w:r>
            <w:r>
              <w:rPr>
                <w:sz w:val="17"/>
              </w:rPr>
              <w:t>xx, ISBN</w:t>
            </w:r>
            <w:r>
              <w:rPr>
                <w:rFonts w:ascii="Cambria Math" w:hAnsi="Cambria Math"/>
                <w:sz w:val="17"/>
              </w:rPr>
              <w:t>‐</w:t>
            </w:r>
            <w:r>
              <w:rPr>
                <w:sz w:val="17"/>
              </w:rPr>
              <w:t>87</w:t>
            </w:r>
            <w:r>
              <w:rPr>
                <w:rFonts w:ascii="Cambria Math" w:hAnsi="Cambria Math"/>
                <w:sz w:val="17"/>
              </w:rPr>
              <w:t>‐</w:t>
            </w:r>
            <w:r>
              <w:rPr>
                <w:sz w:val="17"/>
              </w:rPr>
              <w:t>91340</w:t>
            </w:r>
            <w:r>
              <w:rPr>
                <w:rFonts w:ascii="Cambria Math" w:hAnsi="Cambria Math"/>
                <w:sz w:val="17"/>
              </w:rPr>
              <w:t>‐</w:t>
            </w:r>
            <w:r>
              <w:rPr>
                <w:sz w:val="17"/>
              </w:rPr>
              <w:t>63</w:t>
            </w:r>
            <w:r>
              <w:rPr>
                <w:rFonts w:ascii="Cambria Math" w:hAnsi="Cambria Math"/>
                <w:sz w:val="17"/>
              </w:rPr>
              <w:t>‐</w:t>
            </w:r>
            <w:r>
              <w:rPr>
                <w:sz w:val="17"/>
              </w:rPr>
              <w:t>2 og til stage 9 i ISO 22263 Lifecycle stages.</w:t>
            </w:r>
          </w:p>
        </w:tc>
      </w:tr>
    </w:tbl>
    <w:p>
      <w:pPr>
        <w:pStyle w:val="BodyText"/>
        <w:spacing w:line="278" w:lineRule="auto" w:before="45"/>
        <w:ind w:left="2649" w:right="1019"/>
      </w:pPr>
      <w:r>
        <w:rPr/>
        <w:t>Nærværende specifikation anvendes i forbindelse med overførsel af rum- og andre bygningsdelsinformation(er) fra rådgivere til bygningsejere og driftsansvarlige i forbindelse sammenstilling af energidata i bygninger. Formålet med specifikationen er at understøtte en digital overførsel af energi-relevante data knyttet til rum og andre tilhørende bygningsdele, dannet i bygningsinformationsmodeller. Bygnings- ejeren/driftsherren kan udføre analyser for at undersøge om informationsleveran- cen opfylder de opstillede krav.</w:t>
      </w:r>
    </w:p>
    <w:p>
      <w:pPr>
        <w:pStyle w:val="BodyText"/>
        <w:spacing w:before="1"/>
        <w:rPr>
          <w:sz w:val="21"/>
        </w:rPr>
      </w:pPr>
    </w:p>
    <w:p>
      <w:pPr>
        <w:pStyle w:val="Heading2"/>
        <w:ind w:firstLine="0"/>
      </w:pPr>
      <w:r>
        <w:rPr/>
        <w:t>Informationskrav</w:t>
      </w:r>
    </w:p>
    <w:p>
      <w:pPr>
        <w:pStyle w:val="BodyText"/>
        <w:spacing w:line="278" w:lineRule="auto" w:before="36"/>
        <w:ind w:left="2649" w:right="1036"/>
      </w:pPr>
      <w:r>
        <w:rPr/>
        <w:t>Kravene for bygningselementet IFCBuilding, som angivet herunder, er udarbejdet efter IFC 2x3, coordination view 2.0 eller IFC 4 version 3. I skrivende stund er der stor udbredelse af IFC 2x3, coordination view 2.0, mens den nyeste og mest opda- terede version IFC 4, revision 3 bør være grundlaget i en IDM.</w:t>
      </w:r>
    </w:p>
    <w:p>
      <w:pPr>
        <w:pStyle w:val="BodyText"/>
        <w:spacing w:before="6"/>
        <w:rPr>
          <w:sz w:val="19"/>
        </w:rPr>
      </w:pPr>
    </w:p>
    <w:tbl>
      <w:tblPr>
        <w:tblCellSpacing w:w="4" w:type="dxa"/>
        <w:tblW w:w="0" w:type="auto"/>
        <w:jc w:val="left"/>
        <w:tblInd w:w="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2429"/>
        <w:gridCol w:w="816"/>
        <w:gridCol w:w="2277"/>
      </w:tblGrid>
      <w:tr>
        <w:trPr>
          <w:trHeight w:val="661" w:hRule="atLeast"/>
        </w:trPr>
        <w:tc>
          <w:tcPr>
            <w:tcW w:w="1442" w:type="dxa"/>
            <w:tcBorders>
              <w:top w:val="nil"/>
              <w:left w:val="nil"/>
            </w:tcBorders>
            <w:shd w:val="clear" w:color="auto" w:fill="2C647C"/>
          </w:tcPr>
          <w:p>
            <w:pPr>
              <w:pStyle w:val="TableParagraph"/>
              <w:spacing w:before="2"/>
              <w:ind w:left="103" w:right="407"/>
              <w:rPr>
                <w:b/>
                <w:sz w:val="17"/>
              </w:rPr>
            </w:pPr>
            <w:r>
              <w:rPr>
                <w:b/>
                <w:color w:val="FFFFFF"/>
                <w:sz w:val="17"/>
              </w:rPr>
              <w:t>Property- name</w:t>
            </w:r>
          </w:p>
        </w:tc>
        <w:tc>
          <w:tcPr>
            <w:tcW w:w="2429" w:type="dxa"/>
            <w:tcBorders>
              <w:top w:val="nil"/>
            </w:tcBorders>
            <w:shd w:val="clear" w:color="auto" w:fill="2C647C"/>
          </w:tcPr>
          <w:p>
            <w:pPr>
              <w:pStyle w:val="TableParagraph"/>
              <w:spacing w:before="105"/>
              <w:ind w:left="103"/>
              <w:rPr>
                <w:b/>
                <w:sz w:val="17"/>
              </w:rPr>
            </w:pPr>
            <w:r>
              <w:rPr>
                <w:b/>
                <w:color w:val="FFFFFF"/>
                <w:sz w:val="17"/>
              </w:rPr>
              <w:t>Beskrivelse</w:t>
            </w:r>
          </w:p>
        </w:tc>
        <w:tc>
          <w:tcPr>
            <w:tcW w:w="816" w:type="dxa"/>
            <w:tcBorders>
              <w:top w:val="nil"/>
            </w:tcBorders>
            <w:shd w:val="clear" w:color="auto" w:fill="2C647C"/>
          </w:tcPr>
          <w:p>
            <w:pPr>
              <w:pStyle w:val="TableParagraph"/>
              <w:spacing w:before="2"/>
              <w:ind w:left="103" w:right="247"/>
              <w:rPr>
                <w:b/>
                <w:sz w:val="17"/>
              </w:rPr>
            </w:pPr>
            <w:r>
              <w:rPr>
                <w:b/>
                <w:color w:val="FFFFFF"/>
                <w:sz w:val="17"/>
              </w:rPr>
              <w:t>Data type</w:t>
            </w:r>
          </w:p>
        </w:tc>
        <w:tc>
          <w:tcPr>
            <w:tcW w:w="2277" w:type="dxa"/>
            <w:tcBorders>
              <w:top w:val="nil"/>
              <w:right w:val="nil"/>
            </w:tcBorders>
            <w:shd w:val="clear" w:color="auto" w:fill="2C647C"/>
          </w:tcPr>
          <w:p>
            <w:pPr>
              <w:pStyle w:val="TableParagraph"/>
              <w:spacing w:before="105"/>
              <w:ind w:left="104"/>
              <w:rPr>
                <w:b/>
                <w:sz w:val="17"/>
              </w:rPr>
            </w:pPr>
            <w:r>
              <w:rPr>
                <w:b/>
                <w:color w:val="FFFFFF"/>
                <w:sz w:val="17"/>
              </w:rPr>
              <w:t>IFC name</w:t>
            </w:r>
          </w:p>
        </w:tc>
      </w:tr>
      <w:tr>
        <w:trPr>
          <w:trHeight w:val="458" w:hRule="atLeast"/>
        </w:trPr>
        <w:tc>
          <w:tcPr>
            <w:tcW w:w="1442" w:type="dxa"/>
            <w:tcBorders>
              <w:left w:val="nil"/>
              <w:bottom w:val="nil"/>
            </w:tcBorders>
            <w:shd w:val="clear" w:color="auto" w:fill="4AC1C3"/>
          </w:tcPr>
          <w:p>
            <w:pPr>
              <w:pStyle w:val="TableParagraph"/>
              <w:spacing w:before="1"/>
              <w:ind w:left="103"/>
              <w:rPr>
                <w:b/>
                <w:sz w:val="17"/>
              </w:rPr>
            </w:pPr>
            <w:r>
              <w:rPr>
                <w:b/>
                <w:sz w:val="17"/>
              </w:rPr>
              <w:t>MATRIKEL</w:t>
            </w:r>
          </w:p>
        </w:tc>
        <w:tc>
          <w:tcPr>
            <w:tcW w:w="2429" w:type="dxa"/>
            <w:tcBorders>
              <w:bottom w:val="nil"/>
            </w:tcBorders>
            <w:shd w:val="clear" w:color="auto" w:fill="4AC1C3"/>
          </w:tcPr>
          <w:p>
            <w:pPr>
              <w:pStyle w:val="TableParagraph"/>
              <w:rPr>
                <w:rFonts w:ascii="Times New Roman"/>
                <w:sz w:val="16"/>
              </w:rPr>
            </w:pPr>
          </w:p>
        </w:tc>
        <w:tc>
          <w:tcPr>
            <w:tcW w:w="816" w:type="dxa"/>
            <w:tcBorders>
              <w:bottom w:val="nil"/>
            </w:tcBorders>
            <w:shd w:val="clear" w:color="auto" w:fill="4AC1C3"/>
          </w:tcPr>
          <w:p>
            <w:pPr>
              <w:pStyle w:val="TableParagraph"/>
              <w:rPr>
                <w:rFonts w:ascii="Times New Roman"/>
                <w:sz w:val="16"/>
              </w:rPr>
            </w:pPr>
          </w:p>
        </w:tc>
        <w:tc>
          <w:tcPr>
            <w:tcW w:w="2277" w:type="dxa"/>
            <w:tcBorders>
              <w:bottom w:val="nil"/>
              <w:right w:val="nil"/>
            </w:tcBorders>
            <w:shd w:val="clear" w:color="auto" w:fill="4AC1C3"/>
          </w:tcPr>
          <w:p>
            <w:pPr>
              <w:pStyle w:val="TableParagraph"/>
              <w:rPr>
                <w:rFonts w:ascii="Times New Roman"/>
                <w:sz w:val="16"/>
              </w:rPr>
            </w:pPr>
          </w:p>
        </w:tc>
      </w:tr>
    </w:tbl>
    <w:p>
      <w:pPr>
        <w:spacing w:after="0"/>
        <w:rPr>
          <w:rFonts w:ascii="Times New Roman"/>
          <w:sz w:val="16"/>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52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
        <w:rPr>
          <w:sz w:val="29"/>
        </w:rPr>
      </w:pPr>
    </w:p>
    <w:tbl>
      <w:tblPr>
        <w:tblW w:w="0" w:type="auto"/>
        <w:jc w:val="left"/>
        <w:tblInd w:w="27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42"/>
        <w:gridCol w:w="2429"/>
        <w:gridCol w:w="816"/>
        <w:gridCol w:w="2277"/>
      </w:tblGrid>
      <w:tr>
        <w:trPr>
          <w:trHeight w:val="674" w:hRule="atLeast"/>
        </w:trPr>
        <w:tc>
          <w:tcPr>
            <w:tcW w:w="1442" w:type="dxa"/>
            <w:tcBorders>
              <w:top w:val="nil"/>
              <w:left w:val="nil"/>
            </w:tcBorders>
            <w:shd w:val="clear" w:color="auto" w:fill="2C647C"/>
          </w:tcPr>
          <w:p>
            <w:pPr>
              <w:pStyle w:val="TableParagraph"/>
              <w:spacing w:before="2"/>
              <w:ind w:left="103" w:right="402"/>
              <w:rPr>
                <w:b/>
                <w:sz w:val="17"/>
              </w:rPr>
            </w:pPr>
            <w:r>
              <w:rPr>
                <w:b/>
                <w:color w:val="FFFFFF"/>
                <w:sz w:val="17"/>
              </w:rPr>
              <w:t>Property- name</w:t>
            </w:r>
          </w:p>
        </w:tc>
        <w:tc>
          <w:tcPr>
            <w:tcW w:w="2429" w:type="dxa"/>
            <w:tcBorders>
              <w:top w:val="nil"/>
            </w:tcBorders>
            <w:shd w:val="clear" w:color="auto" w:fill="2C647C"/>
          </w:tcPr>
          <w:p>
            <w:pPr>
              <w:pStyle w:val="TableParagraph"/>
              <w:spacing w:before="105"/>
              <w:ind w:left="103"/>
              <w:rPr>
                <w:b/>
                <w:sz w:val="17"/>
              </w:rPr>
            </w:pPr>
            <w:r>
              <w:rPr>
                <w:b/>
                <w:color w:val="FFFFFF"/>
                <w:sz w:val="17"/>
              </w:rPr>
              <w:t>Beskrivelse</w:t>
            </w:r>
          </w:p>
        </w:tc>
        <w:tc>
          <w:tcPr>
            <w:tcW w:w="816" w:type="dxa"/>
            <w:tcBorders>
              <w:top w:val="nil"/>
            </w:tcBorders>
            <w:shd w:val="clear" w:color="auto" w:fill="2C647C"/>
          </w:tcPr>
          <w:p>
            <w:pPr>
              <w:pStyle w:val="TableParagraph"/>
              <w:spacing w:before="2"/>
              <w:ind w:left="103" w:right="237"/>
              <w:rPr>
                <w:b/>
                <w:sz w:val="17"/>
              </w:rPr>
            </w:pPr>
            <w:r>
              <w:rPr>
                <w:b/>
                <w:color w:val="FFFFFF"/>
                <w:sz w:val="17"/>
              </w:rPr>
              <w:t>Data type</w:t>
            </w:r>
          </w:p>
        </w:tc>
        <w:tc>
          <w:tcPr>
            <w:tcW w:w="2277" w:type="dxa"/>
            <w:tcBorders>
              <w:top w:val="nil"/>
              <w:right w:val="nil"/>
            </w:tcBorders>
            <w:shd w:val="clear" w:color="auto" w:fill="2C647C"/>
          </w:tcPr>
          <w:p>
            <w:pPr>
              <w:pStyle w:val="TableParagraph"/>
              <w:spacing w:before="105"/>
              <w:ind w:left="104"/>
              <w:rPr>
                <w:b/>
                <w:sz w:val="17"/>
              </w:rPr>
            </w:pPr>
            <w:r>
              <w:rPr>
                <w:b/>
                <w:color w:val="FFFFFF"/>
                <w:sz w:val="17"/>
              </w:rPr>
              <w:t>IFC name</w:t>
            </w:r>
          </w:p>
        </w:tc>
      </w:tr>
      <w:tr>
        <w:trPr>
          <w:trHeight w:val="671" w:hRule="atLeast"/>
        </w:trPr>
        <w:tc>
          <w:tcPr>
            <w:tcW w:w="1442" w:type="dxa"/>
            <w:tcBorders>
              <w:left w:val="nil"/>
            </w:tcBorders>
            <w:shd w:val="clear" w:color="auto" w:fill="E2F3F0"/>
          </w:tcPr>
          <w:p>
            <w:pPr>
              <w:pStyle w:val="TableParagraph"/>
              <w:spacing w:before="105"/>
              <w:ind w:left="103"/>
              <w:rPr>
                <w:sz w:val="17"/>
              </w:rPr>
            </w:pPr>
            <w:r>
              <w:rPr>
                <w:sz w:val="17"/>
              </w:rPr>
              <w:t>GlobalId</w:t>
            </w:r>
          </w:p>
        </w:tc>
        <w:tc>
          <w:tcPr>
            <w:tcW w:w="2429" w:type="dxa"/>
            <w:shd w:val="clear" w:color="auto" w:fill="E2F3F0"/>
          </w:tcPr>
          <w:p>
            <w:pPr>
              <w:pStyle w:val="TableParagraph"/>
              <w:spacing w:before="105"/>
              <w:ind w:left="103"/>
              <w:rPr>
                <w:sz w:val="17"/>
              </w:rPr>
            </w:pPr>
            <w:r>
              <w:rPr>
                <w:sz w:val="17"/>
              </w:rPr>
              <w:t>Unique ID</w:t>
            </w:r>
          </w:p>
        </w:tc>
        <w:tc>
          <w:tcPr>
            <w:tcW w:w="816" w:type="dxa"/>
            <w:shd w:val="clear" w:color="auto" w:fill="E2F3F0"/>
          </w:tcPr>
          <w:p>
            <w:pPr>
              <w:pStyle w:val="TableParagraph"/>
              <w:spacing w:before="105"/>
              <w:ind w:left="85" w:right="165"/>
              <w:jc w:val="center"/>
              <w:rPr>
                <w:sz w:val="17"/>
              </w:rPr>
            </w:pPr>
            <w:r>
              <w:rPr>
                <w:sz w:val="17"/>
              </w:rPr>
              <w:t>String</w:t>
            </w:r>
          </w:p>
        </w:tc>
        <w:tc>
          <w:tcPr>
            <w:tcW w:w="2277" w:type="dxa"/>
            <w:tcBorders>
              <w:right w:val="nil"/>
            </w:tcBorders>
            <w:shd w:val="clear" w:color="auto" w:fill="E2F3F0"/>
          </w:tcPr>
          <w:p>
            <w:pPr>
              <w:pStyle w:val="TableParagraph"/>
              <w:spacing w:before="1"/>
              <w:ind w:left="104" w:right="89"/>
              <w:rPr>
                <w:sz w:val="17"/>
              </w:rPr>
            </w:pPr>
            <w:r>
              <w:rPr>
                <w:sz w:val="17"/>
              </w:rPr>
              <w:t>IfcSite.GlobalId - Longi- tude and laditude</w:t>
            </w:r>
          </w:p>
        </w:tc>
      </w:tr>
      <w:tr>
        <w:trPr>
          <w:trHeight w:val="467" w:hRule="atLeast"/>
        </w:trPr>
        <w:tc>
          <w:tcPr>
            <w:tcW w:w="1442" w:type="dxa"/>
            <w:tcBorders>
              <w:left w:val="nil"/>
            </w:tcBorders>
            <w:shd w:val="clear" w:color="auto" w:fill="4AC1C3"/>
          </w:tcPr>
          <w:p>
            <w:pPr>
              <w:pStyle w:val="TableParagraph"/>
              <w:spacing w:before="1"/>
              <w:ind w:left="103"/>
              <w:rPr>
                <w:b/>
                <w:sz w:val="17"/>
              </w:rPr>
            </w:pPr>
            <w:r>
              <w:rPr>
                <w:b/>
                <w:sz w:val="17"/>
              </w:rPr>
              <w:t>BYGNING</w:t>
            </w:r>
          </w:p>
        </w:tc>
        <w:tc>
          <w:tcPr>
            <w:tcW w:w="2429" w:type="dxa"/>
            <w:shd w:val="clear" w:color="auto" w:fill="4AC1C3"/>
          </w:tcPr>
          <w:p>
            <w:pPr>
              <w:pStyle w:val="TableParagraph"/>
              <w:spacing w:before="1"/>
              <w:ind w:left="103"/>
              <w:rPr>
                <w:b/>
                <w:sz w:val="17"/>
              </w:rPr>
            </w:pPr>
            <w:r>
              <w:rPr>
                <w:b/>
                <w:sz w:val="17"/>
              </w:rPr>
              <w:t>IFCBuilding (element)</w:t>
            </w:r>
          </w:p>
        </w:tc>
        <w:tc>
          <w:tcPr>
            <w:tcW w:w="816" w:type="dxa"/>
            <w:shd w:val="clear" w:color="auto" w:fill="4AC1C3"/>
          </w:tcPr>
          <w:p>
            <w:pPr>
              <w:pStyle w:val="TableParagraph"/>
              <w:rPr>
                <w:rFonts w:ascii="Times New Roman"/>
                <w:sz w:val="16"/>
              </w:rPr>
            </w:pPr>
          </w:p>
        </w:tc>
        <w:tc>
          <w:tcPr>
            <w:tcW w:w="2277" w:type="dxa"/>
            <w:tcBorders>
              <w:right w:val="nil"/>
            </w:tcBorders>
            <w:shd w:val="clear" w:color="auto" w:fill="4AC1C3"/>
          </w:tcPr>
          <w:p>
            <w:pPr>
              <w:pStyle w:val="TableParagraph"/>
              <w:rPr>
                <w:rFonts w:ascii="Times New Roman"/>
                <w:sz w:val="16"/>
              </w:rPr>
            </w:pPr>
          </w:p>
        </w:tc>
      </w:tr>
      <w:tr>
        <w:trPr>
          <w:trHeight w:val="674" w:hRule="atLeast"/>
        </w:trPr>
        <w:tc>
          <w:tcPr>
            <w:tcW w:w="1442" w:type="dxa"/>
            <w:tcBorders>
              <w:left w:val="nil"/>
            </w:tcBorders>
            <w:shd w:val="clear" w:color="auto" w:fill="E2F3F0"/>
          </w:tcPr>
          <w:p>
            <w:pPr>
              <w:pStyle w:val="TableParagraph"/>
              <w:spacing w:before="105"/>
              <w:ind w:left="103"/>
              <w:rPr>
                <w:sz w:val="17"/>
              </w:rPr>
            </w:pPr>
            <w:r>
              <w:rPr>
                <w:sz w:val="17"/>
              </w:rPr>
              <w:t>GlobalId</w:t>
            </w:r>
          </w:p>
        </w:tc>
        <w:tc>
          <w:tcPr>
            <w:tcW w:w="2429" w:type="dxa"/>
            <w:shd w:val="clear" w:color="auto" w:fill="E2F3F0"/>
          </w:tcPr>
          <w:p>
            <w:pPr>
              <w:pStyle w:val="TableParagraph"/>
              <w:spacing w:before="105"/>
              <w:ind w:left="103"/>
              <w:rPr>
                <w:sz w:val="17"/>
              </w:rPr>
            </w:pPr>
            <w:r>
              <w:rPr>
                <w:sz w:val="17"/>
              </w:rPr>
              <w:t>Unique ID</w:t>
            </w:r>
          </w:p>
        </w:tc>
        <w:tc>
          <w:tcPr>
            <w:tcW w:w="816" w:type="dxa"/>
            <w:shd w:val="clear" w:color="auto" w:fill="E2F3F0"/>
          </w:tcPr>
          <w:p>
            <w:pPr>
              <w:pStyle w:val="TableParagraph"/>
              <w:spacing w:before="105"/>
              <w:ind w:left="85" w:right="165"/>
              <w:jc w:val="center"/>
              <w:rPr>
                <w:sz w:val="17"/>
              </w:rPr>
            </w:pPr>
            <w:r>
              <w:rPr>
                <w:sz w:val="17"/>
              </w:rPr>
              <w:t>String</w:t>
            </w:r>
          </w:p>
        </w:tc>
        <w:tc>
          <w:tcPr>
            <w:tcW w:w="2277" w:type="dxa"/>
            <w:tcBorders>
              <w:right w:val="nil"/>
            </w:tcBorders>
            <w:shd w:val="clear" w:color="auto" w:fill="E2F3F0"/>
          </w:tcPr>
          <w:p>
            <w:pPr>
              <w:pStyle w:val="TableParagraph"/>
              <w:spacing w:before="1"/>
              <w:ind w:left="104" w:right="190"/>
              <w:rPr>
                <w:sz w:val="17"/>
              </w:rPr>
            </w:pPr>
            <w:r>
              <w:rPr>
                <w:sz w:val="17"/>
              </w:rPr>
              <w:t>IfcBuilding.GlobalId - Longitude and laditude</w:t>
            </w:r>
          </w:p>
        </w:tc>
      </w:tr>
      <w:tr>
        <w:trPr>
          <w:trHeight w:val="465" w:hRule="atLeast"/>
        </w:trPr>
        <w:tc>
          <w:tcPr>
            <w:tcW w:w="1442" w:type="dxa"/>
            <w:tcBorders>
              <w:left w:val="nil"/>
            </w:tcBorders>
            <w:shd w:val="clear" w:color="auto" w:fill="C8E9E6"/>
          </w:tcPr>
          <w:p>
            <w:pPr>
              <w:pStyle w:val="TableParagraph"/>
              <w:spacing w:before="1"/>
              <w:ind w:left="103"/>
              <w:rPr>
                <w:sz w:val="17"/>
              </w:rPr>
            </w:pPr>
            <w:r>
              <w:rPr>
                <w:sz w:val="17"/>
              </w:rPr>
              <w:t>Number</w:t>
            </w:r>
          </w:p>
        </w:tc>
        <w:tc>
          <w:tcPr>
            <w:tcW w:w="2429" w:type="dxa"/>
            <w:shd w:val="clear" w:color="auto" w:fill="C8E9E6"/>
          </w:tcPr>
          <w:p>
            <w:pPr>
              <w:pStyle w:val="TableParagraph"/>
              <w:spacing w:before="1"/>
              <w:ind w:left="103"/>
              <w:rPr>
                <w:sz w:val="17"/>
              </w:rPr>
            </w:pPr>
            <w:r>
              <w:rPr>
                <w:sz w:val="17"/>
              </w:rPr>
              <w:t>Rumnr.</w:t>
            </w:r>
          </w:p>
        </w:tc>
        <w:tc>
          <w:tcPr>
            <w:tcW w:w="816" w:type="dxa"/>
            <w:shd w:val="clear" w:color="auto" w:fill="C8E9E6"/>
          </w:tcPr>
          <w:p>
            <w:pPr>
              <w:pStyle w:val="TableParagraph"/>
              <w:spacing w:before="1"/>
              <w:ind w:left="85" w:right="165"/>
              <w:jc w:val="center"/>
              <w:rPr>
                <w:sz w:val="17"/>
              </w:rPr>
            </w:pPr>
            <w:r>
              <w:rPr>
                <w:sz w:val="17"/>
              </w:rPr>
              <w:t>String</w:t>
            </w:r>
          </w:p>
        </w:tc>
        <w:tc>
          <w:tcPr>
            <w:tcW w:w="2277" w:type="dxa"/>
            <w:tcBorders>
              <w:right w:val="nil"/>
            </w:tcBorders>
            <w:shd w:val="clear" w:color="auto" w:fill="C8E9E6"/>
          </w:tcPr>
          <w:p>
            <w:pPr>
              <w:pStyle w:val="TableParagraph"/>
              <w:spacing w:before="1"/>
              <w:ind w:left="104"/>
              <w:rPr>
                <w:sz w:val="17"/>
              </w:rPr>
            </w:pPr>
            <w:r>
              <w:rPr>
                <w:sz w:val="17"/>
              </w:rPr>
              <w:t>IFCSpace.GlobalID</w:t>
            </w:r>
          </w:p>
        </w:tc>
      </w:tr>
      <w:tr>
        <w:trPr>
          <w:trHeight w:val="468" w:hRule="atLeast"/>
        </w:trPr>
        <w:tc>
          <w:tcPr>
            <w:tcW w:w="1442" w:type="dxa"/>
            <w:tcBorders>
              <w:left w:val="nil"/>
            </w:tcBorders>
            <w:shd w:val="clear" w:color="auto" w:fill="E2F3F0"/>
          </w:tcPr>
          <w:p>
            <w:pPr>
              <w:pStyle w:val="TableParagraph"/>
              <w:spacing w:before="2"/>
              <w:ind w:left="103"/>
              <w:rPr>
                <w:sz w:val="17"/>
              </w:rPr>
            </w:pPr>
            <w:r>
              <w:rPr>
                <w:sz w:val="17"/>
              </w:rPr>
              <w:t>Name</w:t>
            </w:r>
          </w:p>
        </w:tc>
        <w:tc>
          <w:tcPr>
            <w:tcW w:w="2429" w:type="dxa"/>
            <w:shd w:val="clear" w:color="auto" w:fill="E2F3F0"/>
          </w:tcPr>
          <w:p>
            <w:pPr>
              <w:pStyle w:val="TableParagraph"/>
              <w:spacing w:before="2"/>
              <w:ind w:left="103"/>
              <w:rPr>
                <w:sz w:val="17"/>
              </w:rPr>
            </w:pPr>
            <w:r>
              <w:rPr>
                <w:sz w:val="17"/>
              </w:rPr>
              <w:t>Navn</w:t>
            </w:r>
          </w:p>
        </w:tc>
        <w:tc>
          <w:tcPr>
            <w:tcW w:w="816" w:type="dxa"/>
            <w:shd w:val="clear" w:color="auto" w:fill="E2F3F0"/>
          </w:tcPr>
          <w:p>
            <w:pPr>
              <w:pStyle w:val="TableParagraph"/>
              <w:spacing w:before="2"/>
              <w:ind w:left="85" w:right="165"/>
              <w:jc w:val="center"/>
              <w:rPr>
                <w:sz w:val="17"/>
              </w:rPr>
            </w:pPr>
            <w:r>
              <w:rPr>
                <w:sz w:val="17"/>
              </w:rPr>
              <w:t>String</w:t>
            </w:r>
          </w:p>
        </w:tc>
        <w:tc>
          <w:tcPr>
            <w:tcW w:w="2277" w:type="dxa"/>
            <w:tcBorders>
              <w:right w:val="nil"/>
            </w:tcBorders>
            <w:shd w:val="clear" w:color="auto" w:fill="E2F3F0"/>
          </w:tcPr>
          <w:p>
            <w:pPr>
              <w:pStyle w:val="TableParagraph"/>
              <w:spacing w:before="2"/>
              <w:ind w:left="104"/>
              <w:rPr>
                <w:sz w:val="17"/>
              </w:rPr>
            </w:pPr>
            <w:r>
              <w:rPr>
                <w:sz w:val="17"/>
              </w:rPr>
              <w:t>IfcBuilding.Name</w:t>
            </w:r>
          </w:p>
        </w:tc>
      </w:tr>
      <w:tr>
        <w:trPr>
          <w:trHeight w:val="465" w:hRule="atLeast"/>
        </w:trPr>
        <w:tc>
          <w:tcPr>
            <w:tcW w:w="1442" w:type="dxa"/>
            <w:tcBorders>
              <w:left w:val="nil"/>
            </w:tcBorders>
            <w:shd w:val="clear" w:color="auto" w:fill="4AC1C3"/>
          </w:tcPr>
          <w:p>
            <w:pPr>
              <w:pStyle w:val="TableParagraph"/>
              <w:spacing w:before="1"/>
              <w:ind w:left="103"/>
              <w:rPr>
                <w:b/>
                <w:sz w:val="17"/>
              </w:rPr>
            </w:pPr>
            <w:r>
              <w:rPr>
                <w:b/>
                <w:sz w:val="17"/>
              </w:rPr>
              <w:t>ETAGE</w:t>
            </w:r>
          </w:p>
        </w:tc>
        <w:tc>
          <w:tcPr>
            <w:tcW w:w="2429" w:type="dxa"/>
            <w:shd w:val="clear" w:color="auto" w:fill="4AC1C3"/>
          </w:tcPr>
          <w:p>
            <w:pPr>
              <w:pStyle w:val="TableParagraph"/>
              <w:spacing w:before="1"/>
              <w:ind w:left="103"/>
              <w:rPr>
                <w:b/>
                <w:sz w:val="17"/>
              </w:rPr>
            </w:pPr>
            <w:r>
              <w:rPr>
                <w:b/>
                <w:sz w:val="17"/>
              </w:rPr>
              <w:t>IFC BuildingStorey</w:t>
            </w:r>
          </w:p>
        </w:tc>
        <w:tc>
          <w:tcPr>
            <w:tcW w:w="816" w:type="dxa"/>
            <w:shd w:val="clear" w:color="auto" w:fill="4AC1C3"/>
          </w:tcPr>
          <w:p>
            <w:pPr>
              <w:pStyle w:val="TableParagraph"/>
              <w:rPr>
                <w:rFonts w:ascii="Times New Roman"/>
                <w:sz w:val="16"/>
              </w:rPr>
            </w:pPr>
          </w:p>
        </w:tc>
        <w:tc>
          <w:tcPr>
            <w:tcW w:w="2277" w:type="dxa"/>
            <w:tcBorders>
              <w:right w:val="nil"/>
            </w:tcBorders>
            <w:shd w:val="clear" w:color="auto" w:fill="4AC1C3"/>
          </w:tcPr>
          <w:p>
            <w:pPr>
              <w:pStyle w:val="TableParagraph"/>
              <w:rPr>
                <w:rFonts w:ascii="Times New Roman"/>
                <w:sz w:val="16"/>
              </w:rPr>
            </w:pPr>
          </w:p>
        </w:tc>
      </w:tr>
      <w:tr>
        <w:trPr>
          <w:trHeight w:val="674" w:hRule="atLeast"/>
        </w:trPr>
        <w:tc>
          <w:tcPr>
            <w:tcW w:w="1442" w:type="dxa"/>
            <w:tcBorders>
              <w:left w:val="nil"/>
            </w:tcBorders>
            <w:shd w:val="clear" w:color="auto" w:fill="E2F3F0"/>
          </w:tcPr>
          <w:p>
            <w:pPr>
              <w:pStyle w:val="TableParagraph"/>
              <w:spacing w:before="105"/>
              <w:ind w:left="103"/>
              <w:rPr>
                <w:sz w:val="17"/>
              </w:rPr>
            </w:pPr>
            <w:r>
              <w:rPr>
                <w:sz w:val="17"/>
              </w:rPr>
              <w:t>GlobalId</w:t>
            </w:r>
          </w:p>
        </w:tc>
        <w:tc>
          <w:tcPr>
            <w:tcW w:w="2429" w:type="dxa"/>
            <w:shd w:val="clear" w:color="auto" w:fill="E2F3F0"/>
          </w:tcPr>
          <w:p>
            <w:pPr>
              <w:pStyle w:val="TableParagraph"/>
              <w:spacing w:before="105"/>
              <w:ind w:left="103"/>
              <w:rPr>
                <w:sz w:val="17"/>
              </w:rPr>
            </w:pPr>
            <w:r>
              <w:rPr>
                <w:sz w:val="17"/>
              </w:rPr>
              <w:t>Unique ID</w:t>
            </w:r>
          </w:p>
        </w:tc>
        <w:tc>
          <w:tcPr>
            <w:tcW w:w="816" w:type="dxa"/>
            <w:shd w:val="clear" w:color="auto" w:fill="E2F3F0"/>
          </w:tcPr>
          <w:p>
            <w:pPr>
              <w:pStyle w:val="TableParagraph"/>
              <w:spacing w:before="105"/>
              <w:ind w:left="85" w:right="165"/>
              <w:jc w:val="center"/>
              <w:rPr>
                <w:sz w:val="17"/>
              </w:rPr>
            </w:pPr>
            <w:r>
              <w:rPr>
                <w:sz w:val="17"/>
              </w:rPr>
              <w:t>String</w:t>
            </w:r>
          </w:p>
        </w:tc>
        <w:tc>
          <w:tcPr>
            <w:tcW w:w="2277" w:type="dxa"/>
            <w:tcBorders>
              <w:right w:val="nil"/>
            </w:tcBorders>
            <w:shd w:val="clear" w:color="auto" w:fill="E2F3F0"/>
          </w:tcPr>
          <w:p>
            <w:pPr>
              <w:pStyle w:val="TableParagraph"/>
              <w:spacing w:line="242" w:lineRule="auto" w:before="1"/>
              <w:ind w:left="104" w:right="263"/>
              <w:rPr>
                <w:sz w:val="17"/>
              </w:rPr>
            </w:pPr>
            <w:r>
              <w:rPr>
                <w:sz w:val="17"/>
              </w:rPr>
              <w:t>IfcBuildingStorey.Glo- balId</w:t>
            </w:r>
          </w:p>
        </w:tc>
      </w:tr>
      <w:tr>
        <w:trPr>
          <w:trHeight w:val="467" w:hRule="atLeast"/>
        </w:trPr>
        <w:tc>
          <w:tcPr>
            <w:tcW w:w="1442" w:type="dxa"/>
            <w:tcBorders>
              <w:left w:val="nil"/>
            </w:tcBorders>
            <w:shd w:val="clear" w:color="auto" w:fill="C8E9E6"/>
          </w:tcPr>
          <w:p>
            <w:pPr>
              <w:pStyle w:val="TableParagraph"/>
              <w:spacing w:before="1"/>
              <w:ind w:left="103"/>
              <w:rPr>
                <w:sz w:val="17"/>
              </w:rPr>
            </w:pPr>
            <w:r>
              <w:rPr>
                <w:sz w:val="17"/>
              </w:rPr>
              <w:t>Name</w:t>
            </w:r>
          </w:p>
        </w:tc>
        <w:tc>
          <w:tcPr>
            <w:tcW w:w="2429" w:type="dxa"/>
            <w:shd w:val="clear" w:color="auto" w:fill="C8E9E6"/>
          </w:tcPr>
          <w:p>
            <w:pPr>
              <w:pStyle w:val="TableParagraph"/>
              <w:spacing w:before="1"/>
              <w:ind w:left="103"/>
              <w:rPr>
                <w:sz w:val="17"/>
              </w:rPr>
            </w:pPr>
            <w:r>
              <w:rPr>
                <w:sz w:val="17"/>
              </w:rPr>
              <w:t>Navn</w:t>
            </w:r>
          </w:p>
        </w:tc>
        <w:tc>
          <w:tcPr>
            <w:tcW w:w="816" w:type="dxa"/>
            <w:shd w:val="clear" w:color="auto" w:fill="C8E9E6"/>
          </w:tcPr>
          <w:p>
            <w:pPr>
              <w:pStyle w:val="TableParagraph"/>
              <w:spacing w:before="1"/>
              <w:ind w:left="85" w:right="165"/>
              <w:jc w:val="center"/>
              <w:rPr>
                <w:sz w:val="17"/>
              </w:rPr>
            </w:pPr>
            <w:r>
              <w:rPr>
                <w:sz w:val="17"/>
              </w:rPr>
              <w:t>String</w:t>
            </w:r>
          </w:p>
        </w:tc>
        <w:tc>
          <w:tcPr>
            <w:tcW w:w="2277" w:type="dxa"/>
            <w:tcBorders>
              <w:right w:val="nil"/>
            </w:tcBorders>
            <w:shd w:val="clear" w:color="auto" w:fill="C8E9E6"/>
          </w:tcPr>
          <w:p>
            <w:pPr>
              <w:pStyle w:val="TableParagraph"/>
              <w:spacing w:before="1"/>
              <w:ind w:left="104"/>
              <w:rPr>
                <w:sz w:val="17"/>
              </w:rPr>
            </w:pPr>
            <w:r>
              <w:rPr>
                <w:sz w:val="17"/>
              </w:rPr>
              <w:t>IfcBuildingStorey.Name</w:t>
            </w:r>
          </w:p>
        </w:tc>
      </w:tr>
      <w:tr>
        <w:trPr>
          <w:trHeight w:val="465" w:hRule="atLeast"/>
        </w:trPr>
        <w:tc>
          <w:tcPr>
            <w:tcW w:w="1442" w:type="dxa"/>
            <w:tcBorders>
              <w:left w:val="nil"/>
            </w:tcBorders>
            <w:shd w:val="clear" w:color="auto" w:fill="4AC1C3"/>
          </w:tcPr>
          <w:p>
            <w:pPr>
              <w:pStyle w:val="TableParagraph"/>
              <w:spacing w:before="1"/>
              <w:ind w:left="103"/>
              <w:rPr>
                <w:b/>
                <w:sz w:val="17"/>
              </w:rPr>
            </w:pPr>
            <w:r>
              <w:rPr>
                <w:b/>
                <w:sz w:val="17"/>
              </w:rPr>
              <w:t>RUM</w:t>
            </w:r>
          </w:p>
        </w:tc>
        <w:tc>
          <w:tcPr>
            <w:tcW w:w="2429" w:type="dxa"/>
            <w:shd w:val="clear" w:color="auto" w:fill="4AC1C3"/>
          </w:tcPr>
          <w:p>
            <w:pPr>
              <w:pStyle w:val="TableParagraph"/>
              <w:spacing w:before="1"/>
              <w:ind w:left="103"/>
              <w:rPr>
                <w:b/>
                <w:sz w:val="17"/>
              </w:rPr>
            </w:pPr>
            <w:r>
              <w:rPr>
                <w:b/>
                <w:sz w:val="17"/>
              </w:rPr>
              <w:t>IFCSpace</w:t>
            </w:r>
          </w:p>
        </w:tc>
        <w:tc>
          <w:tcPr>
            <w:tcW w:w="816" w:type="dxa"/>
            <w:shd w:val="clear" w:color="auto" w:fill="4AC1C3"/>
          </w:tcPr>
          <w:p>
            <w:pPr>
              <w:pStyle w:val="TableParagraph"/>
              <w:rPr>
                <w:rFonts w:ascii="Times New Roman"/>
                <w:sz w:val="16"/>
              </w:rPr>
            </w:pPr>
          </w:p>
        </w:tc>
        <w:tc>
          <w:tcPr>
            <w:tcW w:w="2277" w:type="dxa"/>
            <w:tcBorders>
              <w:right w:val="nil"/>
            </w:tcBorders>
            <w:shd w:val="clear" w:color="auto" w:fill="4AC1C3"/>
          </w:tcPr>
          <w:p>
            <w:pPr>
              <w:pStyle w:val="TableParagraph"/>
              <w:rPr>
                <w:rFonts w:ascii="Times New Roman"/>
                <w:sz w:val="16"/>
              </w:rPr>
            </w:pPr>
          </w:p>
        </w:tc>
      </w:tr>
      <w:tr>
        <w:trPr>
          <w:trHeight w:val="467" w:hRule="atLeast"/>
        </w:trPr>
        <w:tc>
          <w:tcPr>
            <w:tcW w:w="1442" w:type="dxa"/>
            <w:tcBorders>
              <w:left w:val="nil"/>
            </w:tcBorders>
            <w:shd w:val="clear" w:color="auto" w:fill="C8E9E6"/>
          </w:tcPr>
          <w:p>
            <w:pPr>
              <w:pStyle w:val="TableParagraph"/>
              <w:spacing w:before="1"/>
              <w:ind w:left="103"/>
              <w:rPr>
                <w:sz w:val="17"/>
              </w:rPr>
            </w:pPr>
            <w:r>
              <w:rPr>
                <w:sz w:val="17"/>
              </w:rPr>
              <w:t>GlobalId</w:t>
            </w:r>
          </w:p>
        </w:tc>
        <w:tc>
          <w:tcPr>
            <w:tcW w:w="2429" w:type="dxa"/>
            <w:shd w:val="clear" w:color="auto" w:fill="C8E9E6"/>
          </w:tcPr>
          <w:p>
            <w:pPr>
              <w:pStyle w:val="TableParagraph"/>
              <w:spacing w:before="1"/>
              <w:ind w:left="103"/>
              <w:rPr>
                <w:sz w:val="17"/>
              </w:rPr>
            </w:pPr>
            <w:r>
              <w:rPr>
                <w:sz w:val="17"/>
              </w:rPr>
              <w:t>Unique ID</w:t>
            </w:r>
          </w:p>
        </w:tc>
        <w:tc>
          <w:tcPr>
            <w:tcW w:w="816" w:type="dxa"/>
            <w:shd w:val="clear" w:color="auto" w:fill="C8E9E6"/>
          </w:tcPr>
          <w:p>
            <w:pPr>
              <w:pStyle w:val="TableParagraph"/>
              <w:spacing w:before="1"/>
              <w:ind w:left="85" w:right="165"/>
              <w:jc w:val="center"/>
              <w:rPr>
                <w:sz w:val="17"/>
              </w:rPr>
            </w:pPr>
            <w:r>
              <w:rPr>
                <w:sz w:val="17"/>
              </w:rPr>
              <w:t>String</w:t>
            </w:r>
          </w:p>
        </w:tc>
        <w:tc>
          <w:tcPr>
            <w:tcW w:w="2277" w:type="dxa"/>
            <w:tcBorders>
              <w:right w:val="nil"/>
            </w:tcBorders>
            <w:shd w:val="clear" w:color="auto" w:fill="C8E9E6"/>
          </w:tcPr>
          <w:p>
            <w:pPr>
              <w:pStyle w:val="TableParagraph"/>
              <w:spacing w:before="1"/>
              <w:ind w:left="104"/>
              <w:rPr>
                <w:sz w:val="17"/>
              </w:rPr>
            </w:pPr>
            <w:r>
              <w:rPr>
                <w:sz w:val="17"/>
              </w:rPr>
              <w:t>IfcSpace.GlobalId</w:t>
            </w:r>
          </w:p>
        </w:tc>
      </w:tr>
      <w:tr>
        <w:trPr>
          <w:trHeight w:val="465" w:hRule="atLeast"/>
        </w:trPr>
        <w:tc>
          <w:tcPr>
            <w:tcW w:w="1442" w:type="dxa"/>
            <w:tcBorders>
              <w:left w:val="nil"/>
            </w:tcBorders>
            <w:shd w:val="clear" w:color="auto" w:fill="E2F3F0"/>
          </w:tcPr>
          <w:p>
            <w:pPr>
              <w:pStyle w:val="TableParagraph"/>
              <w:spacing w:before="1"/>
              <w:ind w:left="103"/>
              <w:rPr>
                <w:sz w:val="17"/>
              </w:rPr>
            </w:pPr>
            <w:r>
              <w:rPr>
                <w:sz w:val="17"/>
              </w:rPr>
              <w:t>Number</w:t>
            </w:r>
          </w:p>
        </w:tc>
        <w:tc>
          <w:tcPr>
            <w:tcW w:w="2429" w:type="dxa"/>
            <w:shd w:val="clear" w:color="auto" w:fill="E2F3F0"/>
          </w:tcPr>
          <w:p>
            <w:pPr>
              <w:pStyle w:val="TableParagraph"/>
              <w:spacing w:before="1"/>
              <w:ind w:left="103"/>
              <w:rPr>
                <w:sz w:val="17"/>
              </w:rPr>
            </w:pPr>
            <w:r>
              <w:rPr>
                <w:sz w:val="17"/>
              </w:rPr>
              <w:t>Rumnr.</w:t>
            </w:r>
          </w:p>
        </w:tc>
        <w:tc>
          <w:tcPr>
            <w:tcW w:w="816" w:type="dxa"/>
            <w:shd w:val="clear" w:color="auto" w:fill="E2F3F0"/>
          </w:tcPr>
          <w:p>
            <w:pPr>
              <w:pStyle w:val="TableParagraph"/>
              <w:spacing w:before="1"/>
              <w:ind w:left="85" w:right="165"/>
              <w:jc w:val="center"/>
              <w:rPr>
                <w:sz w:val="17"/>
              </w:rPr>
            </w:pPr>
            <w:r>
              <w:rPr>
                <w:sz w:val="17"/>
              </w:rPr>
              <w:t>String</w:t>
            </w:r>
          </w:p>
        </w:tc>
        <w:tc>
          <w:tcPr>
            <w:tcW w:w="2277" w:type="dxa"/>
            <w:tcBorders>
              <w:right w:val="nil"/>
            </w:tcBorders>
            <w:shd w:val="clear" w:color="auto" w:fill="E2F3F0"/>
          </w:tcPr>
          <w:p>
            <w:pPr>
              <w:pStyle w:val="TableParagraph"/>
              <w:spacing w:before="1"/>
              <w:ind w:left="104"/>
              <w:rPr>
                <w:sz w:val="17"/>
              </w:rPr>
            </w:pPr>
            <w:r>
              <w:rPr>
                <w:sz w:val="17"/>
              </w:rPr>
              <w:t>IfcSpace.Name</w:t>
            </w:r>
          </w:p>
        </w:tc>
      </w:tr>
      <w:tr>
        <w:trPr>
          <w:trHeight w:val="1293" w:hRule="atLeast"/>
        </w:trPr>
        <w:tc>
          <w:tcPr>
            <w:tcW w:w="1442" w:type="dxa"/>
            <w:tcBorders>
              <w:left w:val="nil"/>
            </w:tcBorders>
            <w:shd w:val="clear" w:color="auto" w:fill="C8E9E6"/>
          </w:tcPr>
          <w:p>
            <w:pPr>
              <w:pStyle w:val="TableParagraph"/>
              <w:rPr>
                <w:sz w:val="20"/>
              </w:rPr>
            </w:pPr>
          </w:p>
          <w:p>
            <w:pPr>
              <w:pStyle w:val="TableParagraph"/>
              <w:spacing w:before="174"/>
              <w:ind w:left="103"/>
              <w:rPr>
                <w:sz w:val="17"/>
              </w:rPr>
            </w:pPr>
            <w:r>
              <w:rPr>
                <w:sz w:val="17"/>
              </w:rPr>
              <w:t>Name</w:t>
            </w:r>
          </w:p>
        </w:tc>
        <w:tc>
          <w:tcPr>
            <w:tcW w:w="2429" w:type="dxa"/>
            <w:shd w:val="clear" w:color="auto" w:fill="C8E9E6"/>
          </w:tcPr>
          <w:p>
            <w:pPr>
              <w:pStyle w:val="TableParagraph"/>
              <w:rPr>
                <w:sz w:val="20"/>
              </w:rPr>
            </w:pPr>
          </w:p>
          <w:p>
            <w:pPr>
              <w:pStyle w:val="TableParagraph"/>
              <w:spacing w:before="174"/>
              <w:ind w:left="103"/>
              <w:rPr>
                <w:sz w:val="17"/>
              </w:rPr>
            </w:pPr>
            <w:r>
              <w:rPr>
                <w:sz w:val="17"/>
              </w:rPr>
              <w:t>Navn</w:t>
            </w:r>
          </w:p>
        </w:tc>
        <w:tc>
          <w:tcPr>
            <w:tcW w:w="816" w:type="dxa"/>
            <w:shd w:val="clear" w:color="auto" w:fill="C8E9E6"/>
          </w:tcPr>
          <w:p>
            <w:pPr>
              <w:pStyle w:val="TableParagraph"/>
              <w:rPr>
                <w:sz w:val="20"/>
              </w:rPr>
            </w:pPr>
          </w:p>
          <w:p>
            <w:pPr>
              <w:pStyle w:val="TableParagraph"/>
              <w:spacing w:before="174"/>
              <w:ind w:left="85" w:right="165"/>
              <w:jc w:val="center"/>
              <w:rPr>
                <w:sz w:val="17"/>
              </w:rPr>
            </w:pPr>
            <w:r>
              <w:rPr>
                <w:sz w:val="17"/>
              </w:rPr>
              <w:t>String</w:t>
            </w:r>
          </w:p>
        </w:tc>
        <w:tc>
          <w:tcPr>
            <w:tcW w:w="2277" w:type="dxa"/>
            <w:tcBorders>
              <w:right w:val="nil"/>
            </w:tcBorders>
            <w:shd w:val="clear" w:color="auto" w:fill="C8E9E6"/>
          </w:tcPr>
          <w:p>
            <w:pPr>
              <w:pStyle w:val="TableParagraph"/>
              <w:spacing w:before="1"/>
              <w:ind w:left="104" w:right="149"/>
              <w:rPr>
                <w:sz w:val="17"/>
              </w:rPr>
            </w:pPr>
            <w:r>
              <w:rPr>
                <w:sz w:val="17"/>
              </w:rPr>
              <w:t>IfcSpace.LongName for rum IfcSpace.LongName for rum som angiver brut- toarealer</w:t>
            </w:r>
          </w:p>
        </w:tc>
      </w:tr>
      <w:tr>
        <w:trPr>
          <w:trHeight w:val="1096" w:hRule="atLeast"/>
        </w:trPr>
        <w:tc>
          <w:tcPr>
            <w:tcW w:w="1442" w:type="dxa"/>
            <w:tcBorders>
              <w:left w:val="nil"/>
              <w:bottom w:val="nil"/>
            </w:tcBorders>
            <w:shd w:val="clear" w:color="auto" w:fill="E2F3F0"/>
          </w:tcPr>
          <w:p>
            <w:pPr>
              <w:pStyle w:val="TableParagraph"/>
              <w:spacing w:before="9"/>
              <w:rPr>
                <w:sz w:val="25"/>
              </w:rPr>
            </w:pPr>
          </w:p>
          <w:p>
            <w:pPr>
              <w:pStyle w:val="TableParagraph"/>
              <w:spacing w:before="1"/>
              <w:ind w:left="103"/>
              <w:rPr>
                <w:sz w:val="17"/>
              </w:rPr>
            </w:pPr>
            <w:r>
              <w:rPr>
                <w:sz w:val="17"/>
              </w:rPr>
              <w:t>Areal</w:t>
            </w:r>
          </w:p>
        </w:tc>
        <w:tc>
          <w:tcPr>
            <w:tcW w:w="2429" w:type="dxa"/>
            <w:tcBorders>
              <w:bottom w:val="nil"/>
            </w:tcBorders>
            <w:shd w:val="clear" w:color="auto" w:fill="E2F3F0"/>
          </w:tcPr>
          <w:p>
            <w:pPr>
              <w:pStyle w:val="TableParagraph"/>
              <w:spacing w:before="1"/>
              <w:ind w:left="103" w:right="245"/>
              <w:rPr>
                <w:sz w:val="17"/>
              </w:rPr>
            </w:pPr>
            <w:r>
              <w:rPr>
                <w:sz w:val="17"/>
              </w:rPr>
              <w:t>Nettoareal for rum og bruttoareal for rummet, som repræsenterer eta- gens bruttoetageareal.</w:t>
            </w:r>
          </w:p>
        </w:tc>
        <w:tc>
          <w:tcPr>
            <w:tcW w:w="816" w:type="dxa"/>
            <w:tcBorders>
              <w:bottom w:val="nil"/>
            </w:tcBorders>
            <w:shd w:val="clear" w:color="auto" w:fill="E2F3F0"/>
          </w:tcPr>
          <w:p>
            <w:pPr>
              <w:pStyle w:val="TableParagraph"/>
              <w:spacing w:before="1"/>
              <w:rPr>
                <w:sz w:val="17"/>
              </w:rPr>
            </w:pPr>
          </w:p>
          <w:p>
            <w:pPr>
              <w:pStyle w:val="TableParagraph"/>
              <w:spacing w:line="242" w:lineRule="auto"/>
              <w:ind w:left="103" w:right="290"/>
              <w:rPr>
                <w:sz w:val="17"/>
              </w:rPr>
            </w:pPr>
            <w:r>
              <w:rPr>
                <w:sz w:val="17"/>
              </w:rPr>
              <w:t>Area unit</w:t>
            </w:r>
          </w:p>
        </w:tc>
        <w:tc>
          <w:tcPr>
            <w:tcW w:w="2277" w:type="dxa"/>
            <w:tcBorders>
              <w:bottom w:val="nil"/>
              <w:right w:val="nil"/>
            </w:tcBorders>
            <w:shd w:val="clear" w:color="auto" w:fill="E2F3F0"/>
          </w:tcPr>
          <w:p>
            <w:pPr>
              <w:pStyle w:val="TableParagraph"/>
              <w:spacing w:before="1"/>
              <w:rPr>
                <w:sz w:val="17"/>
              </w:rPr>
            </w:pPr>
          </w:p>
          <w:p>
            <w:pPr>
              <w:pStyle w:val="TableParagraph"/>
              <w:spacing w:line="242" w:lineRule="auto"/>
              <w:ind w:left="104" w:right="504"/>
              <w:rPr>
                <w:sz w:val="17"/>
              </w:rPr>
            </w:pPr>
            <w:r>
              <w:rPr>
                <w:sz w:val="17"/>
              </w:rPr>
              <w:t>IfcElementQuan- tity.GrossFloorArea</w:t>
            </w:r>
          </w:p>
        </w:tc>
      </w:tr>
      <w:tr>
        <w:trPr>
          <w:trHeight w:val="943" w:hRule="atLeast"/>
        </w:trPr>
        <w:tc>
          <w:tcPr>
            <w:tcW w:w="1442" w:type="dxa"/>
            <w:tcBorders>
              <w:top w:val="nil"/>
              <w:left w:val="nil"/>
              <w:bottom w:val="nil"/>
            </w:tcBorders>
            <w:shd w:val="clear" w:color="auto" w:fill="C8E9E6"/>
          </w:tcPr>
          <w:p>
            <w:pPr>
              <w:pStyle w:val="TableParagraph"/>
              <w:spacing w:before="131"/>
              <w:ind w:left="103" w:right="140"/>
              <w:rPr>
                <w:sz w:val="17"/>
              </w:rPr>
            </w:pPr>
            <w:r>
              <w:rPr>
                <w:sz w:val="17"/>
              </w:rPr>
              <w:t>DkGov</w:t>
            </w:r>
            <w:r>
              <w:rPr>
                <w:sz w:val="17"/>
                <w:u w:val="single"/>
              </w:rPr>
              <w:t>ROOM-</w:t>
            </w:r>
            <w:r>
              <w:rPr>
                <w:sz w:val="17"/>
              </w:rPr>
              <w:t> Type</w:t>
            </w:r>
          </w:p>
        </w:tc>
        <w:tc>
          <w:tcPr>
            <w:tcW w:w="2429" w:type="dxa"/>
            <w:tcBorders>
              <w:top w:val="nil"/>
              <w:bottom w:val="nil"/>
            </w:tcBorders>
            <w:shd w:val="clear" w:color="auto" w:fill="C8E9E6"/>
          </w:tcPr>
          <w:p>
            <w:pPr>
              <w:pStyle w:val="TableParagraph"/>
              <w:spacing w:before="2"/>
              <w:ind w:left="103"/>
              <w:rPr>
                <w:sz w:val="17"/>
              </w:rPr>
            </w:pPr>
            <w:r>
              <w:rPr>
                <w:sz w:val="17"/>
              </w:rPr>
              <w:t>Kode/Rumtype</w:t>
            </w:r>
          </w:p>
        </w:tc>
        <w:tc>
          <w:tcPr>
            <w:tcW w:w="816" w:type="dxa"/>
            <w:tcBorders>
              <w:top w:val="nil"/>
              <w:bottom w:val="nil"/>
            </w:tcBorders>
            <w:shd w:val="clear" w:color="auto" w:fill="C8E9E6"/>
          </w:tcPr>
          <w:p>
            <w:pPr>
              <w:pStyle w:val="TableParagraph"/>
              <w:spacing w:before="2"/>
              <w:ind w:left="85" w:right="165"/>
              <w:jc w:val="center"/>
              <w:rPr>
                <w:sz w:val="17"/>
              </w:rPr>
            </w:pPr>
            <w:r>
              <w:rPr>
                <w:sz w:val="17"/>
              </w:rPr>
              <w:t>String</w:t>
            </w:r>
          </w:p>
        </w:tc>
        <w:tc>
          <w:tcPr>
            <w:tcW w:w="2277" w:type="dxa"/>
            <w:tcBorders>
              <w:top w:val="nil"/>
              <w:bottom w:val="nil"/>
              <w:right w:val="nil"/>
            </w:tcBorders>
            <w:shd w:val="clear" w:color="auto" w:fill="C8E9E6"/>
          </w:tcPr>
          <w:p>
            <w:pPr>
              <w:pStyle w:val="TableParagraph"/>
              <w:spacing w:before="28"/>
              <w:ind w:left="104" w:right="211"/>
              <w:rPr>
                <w:sz w:val="17"/>
              </w:rPr>
            </w:pPr>
            <w:r>
              <w:rPr>
                <w:sz w:val="17"/>
              </w:rPr>
              <w:t>IfcPropertySet(DkGov- Room).DkGovRoom- Function</w:t>
            </w:r>
          </w:p>
        </w:tc>
      </w:tr>
      <w:tr>
        <w:trPr>
          <w:trHeight w:val="943" w:hRule="atLeast"/>
        </w:trPr>
        <w:tc>
          <w:tcPr>
            <w:tcW w:w="1442" w:type="dxa"/>
            <w:tcBorders>
              <w:top w:val="nil"/>
              <w:left w:val="nil"/>
              <w:bottom w:val="nil"/>
            </w:tcBorders>
            <w:shd w:val="clear" w:color="auto" w:fill="E2F3F0"/>
          </w:tcPr>
          <w:p>
            <w:pPr>
              <w:pStyle w:val="TableParagraph"/>
              <w:spacing w:before="131"/>
              <w:ind w:left="103" w:right="140"/>
              <w:rPr>
                <w:sz w:val="17"/>
              </w:rPr>
            </w:pPr>
            <w:r>
              <w:rPr>
                <w:sz w:val="17"/>
              </w:rPr>
              <w:t>DkGov</w:t>
            </w:r>
            <w:r>
              <w:rPr>
                <w:sz w:val="17"/>
                <w:u w:val="single"/>
              </w:rPr>
              <w:t>ROOM-</w:t>
            </w:r>
            <w:r>
              <w:rPr>
                <w:sz w:val="17"/>
              </w:rPr>
              <w:t> </w:t>
            </w:r>
            <w:r>
              <w:rPr>
                <w:sz w:val="17"/>
                <w:u w:val="single"/>
              </w:rPr>
              <w:t>FUNCTION</w:t>
            </w:r>
          </w:p>
        </w:tc>
        <w:tc>
          <w:tcPr>
            <w:tcW w:w="2429" w:type="dxa"/>
            <w:tcBorders>
              <w:top w:val="nil"/>
              <w:bottom w:val="nil"/>
            </w:tcBorders>
            <w:shd w:val="clear" w:color="auto" w:fill="E2F3F0"/>
          </w:tcPr>
          <w:p>
            <w:pPr>
              <w:pStyle w:val="TableParagraph"/>
              <w:spacing w:before="2"/>
              <w:ind w:left="103"/>
              <w:rPr>
                <w:sz w:val="17"/>
              </w:rPr>
            </w:pPr>
            <w:r>
              <w:rPr>
                <w:sz w:val="17"/>
              </w:rPr>
              <w:t>Rum funktion</w:t>
            </w:r>
          </w:p>
        </w:tc>
        <w:tc>
          <w:tcPr>
            <w:tcW w:w="816" w:type="dxa"/>
            <w:tcBorders>
              <w:top w:val="nil"/>
              <w:bottom w:val="nil"/>
            </w:tcBorders>
            <w:shd w:val="clear" w:color="auto" w:fill="E2F3F0"/>
          </w:tcPr>
          <w:p>
            <w:pPr>
              <w:pStyle w:val="TableParagraph"/>
              <w:spacing w:before="2"/>
              <w:ind w:left="85" w:right="165"/>
              <w:jc w:val="center"/>
              <w:rPr>
                <w:sz w:val="17"/>
              </w:rPr>
            </w:pPr>
            <w:r>
              <w:rPr>
                <w:sz w:val="17"/>
              </w:rPr>
              <w:t>String</w:t>
            </w:r>
          </w:p>
        </w:tc>
        <w:tc>
          <w:tcPr>
            <w:tcW w:w="2277" w:type="dxa"/>
            <w:tcBorders>
              <w:top w:val="nil"/>
              <w:bottom w:val="nil"/>
              <w:right w:val="nil"/>
            </w:tcBorders>
            <w:shd w:val="clear" w:color="auto" w:fill="E2F3F0"/>
          </w:tcPr>
          <w:p>
            <w:pPr>
              <w:pStyle w:val="TableParagraph"/>
              <w:spacing w:before="28"/>
              <w:ind w:left="104" w:right="211"/>
              <w:rPr>
                <w:sz w:val="17"/>
              </w:rPr>
            </w:pPr>
            <w:r>
              <w:rPr>
                <w:sz w:val="17"/>
              </w:rPr>
              <w:t>IfcPropertySet(DkGov- Room).DkGovRoom- Function</w:t>
            </w:r>
          </w:p>
        </w:tc>
      </w:tr>
      <w:tr>
        <w:trPr>
          <w:trHeight w:val="2184" w:hRule="atLeast"/>
        </w:trPr>
        <w:tc>
          <w:tcPr>
            <w:tcW w:w="1442" w:type="dxa"/>
            <w:tcBorders>
              <w:top w:val="nil"/>
              <w:left w:val="nil"/>
              <w:bottom w:val="nil"/>
            </w:tcBorders>
            <w:shd w:val="clear" w:color="auto" w:fill="C8E9E6"/>
          </w:tcPr>
          <w:p>
            <w:pPr>
              <w:pStyle w:val="TableParagraph"/>
              <w:rPr>
                <w:sz w:val="20"/>
              </w:rPr>
            </w:pPr>
          </w:p>
          <w:p>
            <w:pPr>
              <w:pStyle w:val="TableParagraph"/>
              <w:rPr>
                <w:sz w:val="20"/>
              </w:rPr>
            </w:pPr>
          </w:p>
          <w:p>
            <w:pPr>
              <w:pStyle w:val="TableParagraph"/>
              <w:spacing w:before="163"/>
              <w:ind w:left="103" w:right="407"/>
              <w:rPr>
                <w:sz w:val="17"/>
              </w:rPr>
            </w:pPr>
            <w:r>
              <w:rPr>
                <w:sz w:val="17"/>
              </w:rPr>
              <w:t>DkGov- </w:t>
            </w:r>
            <w:r>
              <w:rPr>
                <w:sz w:val="17"/>
                <w:u w:val="single"/>
              </w:rPr>
              <w:t>ROOMALT-</w:t>
            </w:r>
            <w:r>
              <w:rPr>
                <w:sz w:val="17"/>
              </w:rPr>
              <w:t> </w:t>
            </w:r>
            <w:r>
              <w:rPr>
                <w:sz w:val="17"/>
                <w:u w:val="single"/>
              </w:rPr>
              <w:t>FUNCTION</w:t>
            </w:r>
          </w:p>
        </w:tc>
        <w:tc>
          <w:tcPr>
            <w:tcW w:w="2429" w:type="dxa"/>
            <w:tcBorders>
              <w:top w:val="nil"/>
              <w:bottom w:val="nil"/>
            </w:tcBorders>
            <w:shd w:val="clear" w:color="auto" w:fill="C8E9E6"/>
          </w:tcPr>
          <w:p>
            <w:pPr>
              <w:pStyle w:val="TableParagraph"/>
              <w:rPr>
                <w:sz w:val="20"/>
              </w:rPr>
            </w:pPr>
          </w:p>
          <w:p>
            <w:pPr>
              <w:pStyle w:val="TableParagraph"/>
              <w:rPr>
                <w:sz w:val="20"/>
              </w:rPr>
            </w:pPr>
          </w:p>
          <w:p>
            <w:pPr>
              <w:pStyle w:val="TableParagraph"/>
              <w:spacing w:before="137"/>
              <w:ind w:left="103"/>
              <w:rPr>
                <w:sz w:val="17"/>
              </w:rPr>
            </w:pPr>
            <w:r>
              <w:rPr>
                <w:sz w:val="17"/>
              </w:rPr>
              <w:t>Alternativ rumfunktion</w:t>
            </w:r>
          </w:p>
        </w:tc>
        <w:tc>
          <w:tcPr>
            <w:tcW w:w="816" w:type="dxa"/>
            <w:tcBorders>
              <w:top w:val="nil"/>
              <w:bottom w:val="nil"/>
            </w:tcBorders>
            <w:shd w:val="clear" w:color="auto" w:fill="C8E9E6"/>
          </w:tcPr>
          <w:p>
            <w:pPr>
              <w:pStyle w:val="TableParagraph"/>
              <w:rPr>
                <w:sz w:val="20"/>
              </w:rPr>
            </w:pPr>
          </w:p>
          <w:p>
            <w:pPr>
              <w:pStyle w:val="TableParagraph"/>
              <w:rPr>
                <w:sz w:val="20"/>
              </w:rPr>
            </w:pPr>
          </w:p>
          <w:p>
            <w:pPr>
              <w:pStyle w:val="TableParagraph"/>
              <w:spacing w:before="137"/>
              <w:ind w:left="85" w:right="165"/>
              <w:jc w:val="center"/>
              <w:rPr>
                <w:sz w:val="17"/>
              </w:rPr>
            </w:pPr>
            <w:r>
              <w:rPr>
                <w:sz w:val="17"/>
              </w:rPr>
              <w:t>String</w:t>
            </w:r>
          </w:p>
        </w:tc>
        <w:tc>
          <w:tcPr>
            <w:tcW w:w="2277" w:type="dxa"/>
            <w:tcBorders>
              <w:top w:val="nil"/>
              <w:bottom w:val="nil"/>
              <w:right w:val="nil"/>
            </w:tcBorders>
            <w:shd w:val="clear" w:color="auto" w:fill="C8E9E6"/>
          </w:tcPr>
          <w:p>
            <w:pPr>
              <w:pStyle w:val="TableParagraph"/>
              <w:spacing w:before="2"/>
              <w:ind w:left="104" w:right="173"/>
              <w:jc w:val="both"/>
              <w:rPr>
                <w:sz w:val="17"/>
              </w:rPr>
            </w:pPr>
            <w:r>
              <w:rPr>
                <w:sz w:val="17"/>
              </w:rPr>
              <w:t>IfcPropertySet(DkGov- Room) DkGovRoomAlt- Function</w:t>
            </w:r>
          </w:p>
          <w:p>
            <w:pPr>
              <w:pStyle w:val="TableParagraph"/>
              <w:spacing w:before="5"/>
              <w:rPr>
                <w:sz w:val="21"/>
              </w:rPr>
            </w:pPr>
          </w:p>
          <w:p>
            <w:pPr>
              <w:pStyle w:val="TableParagraph"/>
              <w:ind w:left="104" w:right="172"/>
              <w:jc w:val="both"/>
              <w:rPr>
                <w:sz w:val="17"/>
              </w:rPr>
            </w:pPr>
            <w:r>
              <w:rPr>
                <w:sz w:val="17"/>
              </w:rPr>
              <w:t>Hvis der optræder flere alternative rumfunktio- ner skal variablen sup- pleres med _n for hver alternativ funktion.</w:t>
            </w:r>
          </w:p>
        </w:tc>
      </w:tr>
      <w:tr>
        <w:trPr>
          <w:trHeight w:val="672" w:hRule="atLeast"/>
        </w:trPr>
        <w:tc>
          <w:tcPr>
            <w:tcW w:w="1442" w:type="dxa"/>
            <w:tcBorders>
              <w:top w:val="nil"/>
              <w:left w:val="nil"/>
              <w:bottom w:val="nil"/>
            </w:tcBorders>
            <w:shd w:val="clear" w:color="auto" w:fill="4AC1C3"/>
          </w:tcPr>
          <w:p>
            <w:pPr>
              <w:pStyle w:val="TableParagraph"/>
              <w:spacing w:line="207" w:lineRule="exact" w:before="2"/>
              <w:ind w:left="103"/>
              <w:rPr>
                <w:b/>
                <w:sz w:val="17"/>
              </w:rPr>
            </w:pPr>
            <w:r>
              <w:rPr>
                <w:b/>
                <w:sz w:val="17"/>
              </w:rPr>
              <w:t>ANDRE Byg-</w:t>
            </w:r>
          </w:p>
          <w:p>
            <w:pPr>
              <w:pStyle w:val="TableParagraph"/>
              <w:ind w:left="103"/>
              <w:rPr>
                <w:b/>
                <w:sz w:val="17"/>
              </w:rPr>
            </w:pPr>
            <w:r>
              <w:rPr>
                <w:b/>
                <w:sz w:val="17"/>
              </w:rPr>
              <w:t>ningsdele</w:t>
            </w:r>
          </w:p>
        </w:tc>
        <w:tc>
          <w:tcPr>
            <w:tcW w:w="2429" w:type="dxa"/>
            <w:tcBorders>
              <w:top w:val="nil"/>
              <w:bottom w:val="nil"/>
            </w:tcBorders>
            <w:shd w:val="clear" w:color="auto" w:fill="4AC1C3"/>
          </w:tcPr>
          <w:p>
            <w:pPr>
              <w:pStyle w:val="TableParagraph"/>
              <w:rPr>
                <w:rFonts w:ascii="Times New Roman"/>
                <w:sz w:val="16"/>
              </w:rPr>
            </w:pPr>
          </w:p>
        </w:tc>
        <w:tc>
          <w:tcPr>
            <w:tcW w:w="816" w:type="dxa"/>
            <w:tcBorders>
              <w:top w:val="nil"/>
              <w:bottom w:val="nil"/>
            </w:tcBorders>
            <w:shd w:val="clear" w:color="auto" w:fill="4AC1C3"/>
          </w:tcPr>
          <w:p>
            <w:pPr>
              <w:pStyle w:val="TableParagraph"/>
              <w:rPr>
                <w:rFonts w:ascii="Times New Roman"/>
                <w:sz w:val="16"/>
              </w:rPr>
            </w:pPr>
          </w:p>
        </w:tc>
        <w:tc>
          <w:tcPr>
            <w:tcW w:w="2277" w:type="dxa"/>
            <w:tcBorders>
              <w:top w:val="nil"/>
              <w:bottom w:val="nil"/>
              <w:right w:val="nil"/>
            </w:tcBorders>
            <w:shd w:val="clear" w:color="auto" w:fill="4AC1C3"/>
          </w:tcPr>
          <w:p>
            <w:pPr>
              <w:pStyle w:val="TableParagraph"/>
              <w:rPr>
                <w:rFonts w:ascii="Times New Roman"/>
                <w:sz w:val="16"/>
              </w:rPr>
            </w:pPr>
          </w:p>
        </w:tc>
      </w:tr>
    </w:tbl>
    <w:p>
      <w:pPr>
        <w:spacing w:after="0"/>
        <w:rPr>
          <w:rFonts w:ascii="Times New Roman"/>
          <w:sz w:val="16"/>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42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
        <w:rPr>
          <w:sz w:val="29"/>
        </w:rPr>
      </w:pPr>
    </w:p>
    <w:tbl>
      <w:tblPr>
        <w:tblCellSpacing w:w="4" w:type="dxa"/>
        <w:tblW w:w="0" w:type="auto"/>
        <w:jc w:val="left"/>
        <w:tblInd w:w="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2429"/>
        <w:gridCol w:w="816"/>
        <w:gridCol w:w="2277"/>
      </w:tblGrid>
      <w:tr>
        <w:trPr>
          <w:trHeight w:val="664" w:hRule="atLeast"/>
        </w:trPr>
        <w:tc>
          <w:tcPr>
            <w:tcW w:w="1442" w:type="dxa"/>
            <w:tcBorders>
              <w:top w:val="nil"/>
              <w:left w:val="nil"/>
            </w:tcBorders>
            <w:shd w:val="clear" w:color="auto" w:fill="2C647C"/>
          </w:tcPr>
          <w:p>
            <w:pPr>
              <w:pStyle w:val="TableParagraph"/>
              <w:spacing w:before="2"/>
              <w:ind w:left="103" w:right="407"/>
              <w:rPr>
                <w:b/>
                <w:sz w:val="17"/>
              </w:rPr>
            </w:pPr>
            <w:r>
              <w:rPr>
                <w:b/>
                <w:color w:val="FFFFFF"/>
                <w:sz w:val="17"/>
              </w:rPr>
              <w:t>Property- name</w:t>
            </w:r>
          </w:p>
        </w:tc>
        <w:tc>
          <w:tcPr>
            <w:tcW w:w="2429" w:type="dxa"/>
            <w:tcBorders>
              <w:top w:val="nil"/>
            </w:tcBorders>
            <w:shd w:val="clear" w:color="auto" w:fill="2C647C"/>
          </w:tcPr>
          <w:p>
            <w:pPr>
              <w:pStyle w:val="TableParagraph"/>
              <w:spacing w:before="105"/>
              <w:ind w:left="103"/>
              <w:rPr>
                <w:b/>
                <w:sz w:val="17"/>
              </w:rPr>
            </w:pPr>
            <w:r>
              <w:rPr>
                <w:b/>
                <w:color w:val="FFFFFF"/>
                <w:sz w:val="17"/>
              </w:rPr>
              <w:t>Beskrivelse</w:t>
            </w:r>
          </w:p>
        </w:tc>
        <w:tc>
          <w:tcPr>
            <w:tcW w:w="816" w:type="dxa"/>
            <w:tcBorders>
              <w:top w:val="nil"/>
            </w:tcBorders>
            <w:shd w:val="clear" w:color="auto" w:fill="2C647C"/>
          </w:tcPr>
          <w:p>
            <w:pPr>
              <w:pStyle w:val="TableParagraph"/>
              <w:spacing w:before="2"/>
              <w:ind w:left="103" w:right="247"/>
              <w:rPr>
                <w:b/>
                <w:sz w:val="17"/>
              </w:rPr>
            </w:pPr>
            <w:r>
              <w:rPr>
                <w:b/>
                <w:color w:val="FFFFFF"/>
                <w:sz w:val="17"/>
              </w:rPr>
              <w:t>Data type</w:t>
            </w:r>
          </w:p>
        </w:tc>
        <w:tc>
          <w:tcPr>
            <w:tcW w:w="2277" w:type="dxa"/>
            <w:tcBorders>
              <w:top w:val="nil"/>
              <w:right w:val="nil"/>
            </w:tcBorders>
            <w:shd w:val="clear" w:color="auto" w:fill="2C647C"/>
          </w:tcPr>
          <w:p>
            <w:pPr>
              <w:pStyle w:val="TableParagraph"/>
              <w:spacing w:before="105"/>
              <w:ind w:left="104"/>
              <w:rPr>
                <w:b/>
                <w:sz w:val="17"/>
              </w:rPr>
            </w:pPr>
            <w:r>
              <w:rPr>
                <w:b/>
                <w:color w:val="FFFFFF"/>
                <w:sz w:val="17"/>
              </w:rPr>
              <w:t>IFC name</w:t>
            </w:r>
          </w:p>
        </w:tc>
      </w:tr>
      <w:tr>
        <w:trPr>
          <w:trHeight w:val="455" w:hRule="atLeast"/>
        </w:trPr>
        <w:tc>
          <w:tcPr>
            <w:tcW w:w="1442" w:type="dxa"/>
            <w:tcBorders>
              <w:left w:val="nil"/>
            </w:tcBorders>
            <w:shd w:val="clear" w:color="auto" w:fill="C8E9E6"/>
          </w:tcPr>
          <w:p>
            <w:pPr>
              <w:pStyle w:val="TableParagraph"/>
              <w:spacing w:before="1"/>
              <w:ind w:left="103"/>
              <w:rPr>
                <w:sz w:val="17"/>
              </w:rPr>
            </w:pPr>
            <w:r>
              <w:rPr>
                <w:sz w:val="17"/>
              </w:rPr>
              <w:t>Door</w:t>
            </w:r>
          </w:p>
        </w:tc>
        <w:tc>
          <w:tcPr>
            <w:tcW w:w="2429" w:type="dxa"/>
            <w:shd w:val="clear" w:color="auto" w:fill="C8E9E6"/>
          </w:tcPr>
          <w:p>
            <w:pPr>
              <w:pStyle w:val="TableParagraph"/>
              <w:spacing w:before="1"/>
              <w:ind w:left="103"/>
              <w:rPr>
                <w:sz w:val="17"/>
              </w:rPr>
            </w:pPr>
            <w:r>
              <w:rPr>
                <w:sz w:val="17"/>
              </w:rPr>
              <w:t>Dør</w:t>
            </w:r>
          </w:p>
        </w:tc>
        <w:tc>
          <w:tcPr>
            <w:tcW w:w="816" w:type="dxa"/>
            <w:shd w:val="clear" w:color="auto" w:fill="C8E9E6"/>
          </w:tcPr>
          <w:p>
            <w:pPr>
              <w:pStyle w:val="TableParagraph"/>
              <w:spacing w:before="1"/>
              <w:ind w:left="90" w:right="170"/>
              <w:jc w:val="center"/>
              <w:rPr>
                <w:sz w:val="17"/>
              </w:rPr>
            </w:pPr>
            <w:r>
              <w:rPr>
                <w:sz w:val="17"/>
              </w:rPr>
              <w:t>String</w:t>
            </w:r>
          </w:p>
        </w:tc>
        <w:tc>
          <w:tcPr>
            <w:tcW w:w="2277" w:type="dxa"/>
            <w:tcBorders>
              <w:right w:val="nil"/>
            </w:tcBorders>
            <w:shd w:val="clear" w:color="auto" w:fill="C8E9E6"/>
          </w:tcPr>
          <w:p>
            <w:pPr>
              <w:pStyle w:val="TableParagraph"/>
              <w:spacing w:before="1"/>
              <w:ind w:left="104"/>
              <w:rPr>
                <w:sz w:val="17"/>
              </w:rPr>
            </w:pPr>
            <w:r>
              <w:rPr>
                <w:sz w:val="17"/>
              </w:rPr>
              <w:t>IFCDoor</w:t>
            </w:r>
          </w:p>
        </w:tc>
      </w:tr>
      <w:tr>
        <w:trPr>
          <w:trHeight w:val="664" w:hRule="atLeast"/>
        </w:trPr>
        <w:tc>
          <w:tcPr>
            <w:tcW w:w="1442" w:type="dxa"/>
            <w:tcBorders>
              <w:left w:val="nil"/>
            </w:tcBorders>
            <w:shd w:val="clear" w:color="auto" w:fill="E2F3F0"/>
          </w:tcPr>
          <w:p>
            <w:pPr>
              <w:pStyle w:val="TableParagraph"/>
              <w:spacing w:before="1"/>
              <w:ind w:left="103" w:right="473"/>
              <w:rPr>
                <w:sz w:val="17"/>
              </w:rPr>
            </w:pPr>
            <w:r>
              <w:rPr>
                <w:sz w:val="17"/>
              </w:rPr>
              <w:t>Door cha- racteristic</w:t>
            </w:r>
          </w:p>
        </w:tc>
        <w:tc>
          <w:tcPr>
            <w:tcW w:w="2429" w:type="dxa"/>
            <w:shd w:val="clear" w:color="auto" w:fill="E2F3F0"/>
          </w:tcPr>
          <w:p>
            <w:pPr>
              <w:pStyle w:val="TableParagraph"/>
              <w:spacing w:before="105"/>
              <w:ind w:left="103"/>
              <w:rPr>
                <w:sz w:val="17"/>
              </w:rPr>
            </w:pPr>
            <w:r>
              <w:rPr>
                <w:sz w:val="17"/>
              </w:rPr>
              <w:t>Dør egenskab(er)</w:t>
            </w:r>
          </w:p>
        </w:tc>
        <w:tc>
          <w:tcPr>
            <w:tcW w:w="816" w:type="dxa"/>
            <w:shd w:val="clear" w:color="auto" w:fill="E2F3F0"/>
          </w:tcPr>
          <w:p>
            <w:pPr>
              <w:pStyle w:val="TableParagraph"/>
              <w:spacing w:before="105"/>
              <w:ind w:left="90" w:right="170"/>
              <w:jc w:val="center"/>
              <w:rPr>
                <w:sz w:val="17"/>
              </w:rPr>
            </w:pPr>
            <w:r>
              <w:rPr>
                <w:sz w:val="17"/>
              </w:rPr>
              <w:t>String</w:t>
            </w:r>
          </w:p>
        </w:tc>
        <w:tc>
          <w:tcPr>
            <w:tcW w:w="2277" w:type="dxa"/>
            <w:tcBorders>
              <w:right w:val="nil"/>
            </w:tcBorders>
            <w:shd w:val="clear" w:color="auto" w:fill="E2F3F0"/>
          </w:tcPr>
          <w:p>
            <w:pPr>
              <w:pStyle w:val="TableParagraph"/>
              <w:spacing w:before="105"/>
              <w:ind w:left="104"/>
              <w:rPr>
                <w:sz w:val="17"/>
              </w:rPr>
            </w:pPr>
            <w:r>
              <w:rPr>
                <w:sz w:val="17"/>
              </w:rPr>
              <w:t>IFCDoor</w:t>
            </w:r>
          </w:p>
        </w:tc>
      </w:tr>
      <w:tr>
        <w:trPr>
          <w:trHeight w:val="664" w:hRule="atLeast"/>
        </w:trPr>
        <w:tc>
          <w:tcPr>
            <w:tcW w:w="1442" w:type="dxa"/>
            <w:tcBorders>
              <w:left w:val="nil"/>
              <w:bottom w:val="nil"/>
            </w:tcBorders>
            <w:shd w:val="clear" w:color="auto" w:fill="C8E9E6"/>
          </w:tcPr>
          <w:p>
            <w:pPr>
              <w:pStyle w:val="TableParagraph"/>
              <w:spacing w:before="1"/>
              <w:ind w:left="103" w:right="364"/>
              <w:rPr>
                <w:sz w:val="17"/>
              </w:rPr>
            </w:pPr>
            <w:r>
              <w:rPr>
                <w:sz w:val="17"/>
              </w:rPr>
              <w:t>Energypro- perty</w:t>
            </w:r>
          </w:p>
        </w:tc>
        <w:tc>
          <w:tcPr>
            <w:tcW w:w="2429" w:type="dxa"/>
            <w:tcBorders>
              <w:bottom w:val="nil"/>
            </w:tcBorders>
            <w:shd w:val="clear" w:color="auto" w:fill="C8E9E6"/>
          </w:tcPr>
          <w:p>
            <w:pPr>
              <w:pStyle w:val="TableParagraph"/>
              <w:spacing w:before="105"/>
              <w:ind w:left="103"/>
              <w:rPr>
                <w:sz w:val="17"/>
              </w:rPr>
            </w:pPr>
            <w:r>
              <w:rPr>
                <w:sz w:val="17"/>
              </w:rPr>
              <w:t>Sensor 1</w:t>
            </w:r>
          </w:p>
        </w:tc>
        <w:tc>
          <w:tcPr>
            <w:tcW w:w="816" w:type="dxa"/>
            <w:tcBorders>
              <w:bottom w:val="nil"/>
            </w:tcBorders>
            <w:shd w:val="clear" w:color="auto" w:fill="C8E9E6"/>
          </w:tcPr>
          <w:p>
            <w:pPr>
              <w:pStyle w:val="TableParagraph"/>
              <w:spacing w:before="105"/>
              <w:ind w:left="90" w:right="170"/>
              <w:jc w:val="center"/>
              <w:rPr>
                <w:sz w:val="17"/>
              </w:rPr>
            </w:pPr>
            <w:r>
              <w:rPr>
                <w:sz w:val="17"/>
              </w:rPr>
              <w:t>String</w:t>
            </w:r>
          </w:p>
        </w:tc>
        <w:tc>
          <w:tcPr>
            <w:tcW w:w="2277" w:type="dxa"/>
            <w:tcBorders>
              <w:bottom w:val="nil"/>
              <w:right w:val="nil"/>
            </w:tcBorders>
            <w:shd w:val="clear" w:color="auto" w:fill="C8E9E6"/>
          </w:tcPr>
          <w:p>
            <w:pPr>
              <w:pStyle w:val="TableParagraph"/>
              <w:spacing w:before="105"/>
              <w:ind w:left="104"/>
              <w:rPr>
                <w:sz w:val="17"/>
              </w:rPr>
            </w:pPr>
            <w:r>
              <w:rPr>
                <w:sz w:val="17"/>
              </w:rPr>
              <w:t>IFCSensor1.subject</w:t>
            </w:r>
          </w:p>
        </w:tc>
      </w:tr>
    </w:tbl>
    <w:p>
      <w:pPr>
        <w:pStyle w:val="BodyText"/>
        <w:spacing w:before="2"/>
        <w:rPr>
          <w:sz w:val="16"/>
        </w:rPr>
      </w:pPr>
    </w:p>
    <w:p>
      <w:pPr>
        <w:pStyle w:val="Heading2"/>
        <w:spacing w:before="100"/>
        <w:ind w:firstLine="0"/>
      </w:pPr>
      <w:r>
        <w:rPr/>
        <w:t>Forretningsregler</w:t>
      </w:r>
    </w:p>
    <w:p>
      <w:pPr>
        <w:pStyle w:val="BodyText"/>
        <w:spacing w:before="3"/>
        <w:rPr>
          <w:b/>
          <w:sz w:val="10"/>
        </w:rPr>
      </w:pPr>
    </w:p>
    <w:tbl>
      <w:tblPr>
        <w:tblCellSpacing w:w="4" w:type="dxa"/>
        <w:tblW w:w="0" w:type="auto"/>
        <w:jc w:val="left"/>
        <w:tblInd w:w="2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3"/>
        <w:gridCol w:w="5106"/>
      </w:tblGrid>
      <w:tr>
        <w:trPr>
          <w:trHeight w:val="457" w:hRule="atLeast"/>
        </w:trPr>
        <w:tc>
          <w:tcPr>
            <w:tcW w:w="1973" w:type="dxa"/>
            <w:tcBorders>
              <w:top w:val="nil"/>
              <w:left w:val="nil"/>
            </w:tcBorders>
            <w:shd w:val="clear" w:color="auto" w:fill="2C647C"/>
          </w:tcPr>
          <w:p>
            <w:pPr>
              <w:pStyle w:val="TableParagraph"/>
              <w:spacing w:before="2"/>
              <w:ind w:left="103"/>
              <w:rPr>
                <w:sz w:val="17"/>
              </w:rPr>
            </w:pPr>
            <w:r>
              <w:rPr>
                <w:color w:val="FFFFFF"/>
                <w:sz w:val="17"/>
              </w:rPr>
              <w:t>Type</w:t>
            </w:r>
          </w:p>
        </w:tc>
        <w:tc>
          <w:tcPr>
            <w:tcW w:w="5106" w:type="dxa"/>
            <w:tcBorders>
              <w:top w:val="nil"/>
              <w:right w:val="nil"/>
            </w:tcBorders>
            <w:shd w:val="clear" w:color="auto" w:fill="2C647C"/>
          </w:tcPr>
          <w:p>
            <w:pPr>
              <w:pStyle w:val="TableParagraph"/>
              <w:spacing w:before="2"/>
              <w:ind w:left="102"/>
              <w:rPr>
                <w:sz w:val="17"/>
              </w:rPr>
            </w:pPr>
            <w:r>
              <w:rPr>
                <w:color w:val="FFFFFF"/>
                <w:sz w:val="17"/>
              </w:rPr>
              <w:t>Business rule</w:t>
            </w:r>
          </w:p>
        </w:tc>
      </w:tr>
      <w:tr>
        <w:trPr>
          <w:trHeight w:val="453" w:hRule="atLeast"/>
        </w:trPr>
        <w:tc>
          <w:tcPr>
            <w:tcW w:w="1973" w:type="dxa"/>
            <w:tcBorders>
              <w:left w:val="nil"/>
              <w:bottom w:val="nil"/>
            </w:tcBorders>
            <w:shd w:val="clear" w:color="auto" w:fill="C8E9E6"/>
          </w:tcPr>
          <w:p>
            <w:pPr>
              <w:pStyle w:val="TableParagraph"/>
              <w:spacing w:before="1"/>
              <w:ind w:left="103"/>
              <w:rPr>
                <w:sz w:val="17"/>
              </w:rPr>
            </w:pPr>
            <w:r>
              <w:rPr>
                <w:sz w:val="17"/>
              </w:rPr>
              <w:t>Identifikation</w:t>
            </w:r>
          </w:p>
        </w:tc>
        <w:tc>
          <w:tcPr>
            <w:tcW w:w="5106" w:type="dxa"/>
            <w:tcBorders>
              <w:bottom w:val="nil"/>
              <w:right w:val="nil"/>
            </w:tcBorders>
            <w:shd w:val="clear" w:color="auto" w:fill="C8E9E6"/>
          </w:tcPr>
          <w:p>
            <w:pPr>
              <w:pStyle w:val="TableParagraph"/>
              <w:spacing w:before="23"/>
              <w:ind w:left="102" w:right="2553"/>
              <w:rPr>
                <w:sz w:val="17"/>
              </w:rPr>
            </w:pPr>
            <w:r>
              <w:rPr>
                <w:sz w:val="17"/>
              </w:rPr>
              <w:t>DK</w:t>
            </w:r>
            <w:r>
              <w:rPr>
                <w:rFonts w:ascii="Cambria Math" w:hAnsi="Cambria Math"/>
                <w:sz w:val="17"/>
              </w:rPr>
              <w:t>‐</w:t>
            </w:r>
            <w:r>
              <w:rPr>
                <w:sz w:val="17"/>
              </w:rPr>
              <w:t>GOV</w:t>
            </w:r>
            <w:r>
              <w:rPr>
                <w:rFonts w:ascii="Cambria Math" w:hAnsi="Cambria Math"/>
                <w:sz w:val="17"/>
              </w:rPr>
              <w:t>‐</w:t>
            </w:r>
            <w:r>
              <w:rPr>
                <w:sz w:val="17"/>
              </w:rPr>
              <w:t>SDFE- Area_Rule01 DK</w:t>
            </w:r>
            <w:r>
              <w:rPr>
                <w:rFonts w:ascii="Cambria Math" w:hAnsi="Cambria Math"/>
                <w:sz w:val="17"/>
              </w:rPr>
              <w:t>‐</w:t>
            </w:r>
            <w:r>
              <w:rPr>
                <w:sz w:val="17"/>
              </w:rPr>
              <w:t>GOV</w:t>
            </w:r>
            <w:r>
              <w:rPr>
                <w:rFonts w:ascii="Cambria Math" w:hAnsi="Cambria Math"/>
                <w:sz w:val="17"/>
              </w:rPr>
              <w:t>‐</w:t>
            </w:r>
            <w:r>
              <w:rPr>
                <w:sz w:val="17"/>
              </w:rPr>
              <w:t>SDFE- Door_Rule01</w:t>
            </w:r>
          </w:p>
        </w:tc>
      </w:tr>
      <w:tr>
        <w:trPr>
          <w:trHeight w:val="453" w:hRule="atLeast"/>
        </w:trPr>
        <w:tc>
          <w:tcPr>
            <w:tcW w:w="1973" w:type="dxa"/>
            <w:tcBorders>
              <w:top w:val="nil"/>
              <w:left w:val="nil"/>
            </w:tcBorders>
            <w:shd w:val="clear" w:color="auto" w:fill="E2F3F0"/>
          </w:tcPr>
          <w:p>
            <w:pPr>
              <w:pStyle w:val="TableParagraph"/>
              <w:ind w:left="103"/>
              <w:rPr>
                <w:sz w:val="17"/>
              </w:rPr>
            </w:pPr>
            <w:r>
              <w:rPr>
                <w:sz w:val="17"/>
              </w:rPr>
              <w:t>Navn</w:t>
            </w:r>
          </w:p>
        </w:tc>
        <w:tc>
          <w:tcPr>
            <w:tcW w:w="5106" w:type="dxa"/>
            <w:tcBorders>
              <w:top w:val="nil"/>
              <w:right w:val="nil"/>
            </w:tcBorders>
            <w:shd w:val="clear" w:color="auto" w:fill="E2F3F0"/>
          </w:tcPr>
          <w:p>
            <w:pPr>
              <w:pStyle w:val="TableParagraph"/>
              <w:spacing w:before="26"/>
              <w:ind w:left="102" w:right="1868"/>
              <w:rPr>
                <w:sz w:val="17"/>
              </w:rPr>
            </w:pPr>
            <w:r>
              <w:rPr>
                <w:sz w:val="17"/>
              </w:rPr>
              <w:t>SpaceMustContainValidClassifikation DoorMustContainValidClassifikation</w:t>
            </w:r>
          </w:p>
        </w:tc>
      </w:tr>
      <w:tr>
        <w:trPr>
          <w:trHeight w:val="664" w:hRule="atLeast"/>
        </w:trPr>
        <w:tc>
          <w:tcPr>
            <w:tcW w:w="1973" w:type="dxa"/>
            <w:tcBorders>
              <w:left w:val="nil"/>
            </w:tcBorders>
            <w:shd w:val="clear" w:color="auto" w:fill="C8E9E6"/>
          </w:tcPr>
          <w:p>
            <w:pPr>
              <w:pStyle w:val="TableParagraph"/>
              <w:spacing w:before="105"/>
              <w:ind w:left="103"/>
              <w:rPr>
                <w:sz w:val="17"/>
              </w:rPr>
            </w:pPr>
            <w:r>
              <w:rPr>
                <w:sz w:val="17"/>
              </w:rPr>
              <w:t>Formål</w:t>
            </w:r>
          </w:p>
        </w:tc>
        <w:tc>
          <w:tcPr>
            <w:tcW w:w="5106" w:type="dxa"/>
            <w:tcBorders>
              <w:right w:val="nil"/>
            </w:tcBorders>
            <w:shd w:val="clear" w:color="auto" w:fill="C8E9E6"/>
          </w:tcPr>
          <w:p>
            <w:pPr>
              <w:pStyle w:val="TableParagraph"/>
              <w:spacing w:before="1"/>
              <w:ind w:left="102" w:right="200"/>
              <w:rPr>
                <w:sz w:val="17"/>
              </w:rPr>
            </w:pPr>
            <w:r>
              <w:rPr>
                <w:sz w:val="17"/>
              </w:rPr>
              <w:t>Sikre at det kun benyttes gyldige værdier for klassifika- tionen</w:t>
            </w:r>
          </w:p>
        </w:tc>
      </w:tr>
      <w:tr>
        <w:trPr>
          <w:trHeight w:val="455" w:hRule="atLeast"/>
        </w:trPr>
        <w:tc>
          <w:tcPr>
            <w:tcW w:w="1973" w:type="dxa"/>
            <w:tcBorders>
              <w:left w:val="nil"/>
              <w:bottom w:val="nil"/>
            </w:tcBorders>
            <w:shd w:val="clear" w:color="auto" w:fill="E2F3F0"/>
          </w:tcPr>
          <w:p>
            <w:pPr>
              <w:pStyle w:val="TableParagraph"/>
              <w:spacing w:before="1"/>
              <w:ind w:left="103"/>
              <w:rPr>
                <w:sz w:val="17"/>
              </w:rPr>
            </w:pPr>
            <w:r>
              <w:rPr>
                <w:sz w:val="17"/>
              </w:rPr>
              <w:t>Tilladte værdier</w:t>
            </w:r>
          </w:p>
        </w:tc>
        <w:tc>
          <w:tcPr>
            <w:tcW w:w="5106" w:type="dxa"/>
            <w:tcBorders>
              <w:bottom w:val="nil"/>
              <w:right w:val="nil"/>
            </w:tcBorders>
            <w:shd w:val="clear" w:color="auto" w:fill="E2F3F0"/>
          </w:tcPr>
          <w:p>
            <w:pPr>
              <w:pStyle w:val="TableParagraph"/>
              <w:spacing w:before="1"/>
              <w:ind w:left="102"/>
              <w:rPr>
                <w:sz w:val="17"/>
              </w:rPr>
            </w:pPr>
            <w:r>
              <w:rPr>
                <w:sz w:val="17"/>
              </w:rPr>
              <w:t>Standardklassifikation for rum- og dørfunktioner</w:t>
            </w:r>
          </w:p>
        </w:tc>
      </w:tr>
    </w:tbl>
    <w:p>
      <w:pPr>
        <w:spacing w:after="0"/>
        <w:rPr>
          <w:sz w:val="17"/>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30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spacing w:line="254" w:lineRule="auto"/>
        <w:ind w:firstLine="0"/>
      </w:pPr>
      <w:bookmarkStart w:name="_bookmark117" w:id="118"/>
      <w:bookmarkEnd w:id="118"/>
      <w:r>
        <w:rPr>
          <w:b w:val="0"/>
        </w:rPr>
      </w:r>
      <w:r>
        <w:rPr/>
        <w:t>Appendix 2: Data med relevans for energief- fektivisering</w:t>
      </w:r>
    </w:p>
    <w:p>
      <w:pPr>
        <w:pStyle w:val="BodyText"/>
        <w:spacing w:before="9"/>
        <w:rPr>
          <w:b/>
          <w:sz w:val="40"/>
        </w:rPr>
      </w:pPr>
    </w:p>
    <w:p>
      <w:pPr>
        <w:pStyle w:val="BodyText"/>
        <w:spacing w:line="278" w:lineRule="auto"/>
        <w:ind w:left="2649" w:right="1154"/>
      </w:pPr>
      <w:r>
        <w:rPr/>
        <w:t>I bilaget beskrives data herunder hvilke datatyper, datakilder og beskrivelse af data. Desuden angives anvendelsesmuligheder med reference til indendørs natio- nale steddatabase samt dets anvendelsespotentiale</w:t>
      </w:r>
    </w:p>
    <w:p>
      <w:pPr>
        <w:pStyle w:val="BodyText"/>
        <w:spacing w:before="4"/>
        <w:rPr>
          <w:sz w:val="18"/>
        </w:r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4"/>
        <w:gridCol w:w="1277"/>
        <w:gridCol w:w="2553"/>
        <w:gridCol w:w="3403"/>
        <w:gridCol w:w="1556"/>
      </w:tblGrid>
      <w:tr>
        <w:trPr>
          <w:trHeight w:val="222" w:hRule="atLeast"/>
        </w:trPr>
        <w:tc>
          <w:tcPr>
            <w:tcW w:w="10063" w:type="dxa"/>
            <w:gridSpan w:val="5"/>
            <w:tcBorders>
              <w:top w:val="single" w:sz="4" w:space="0" w:color="FFFFFF"/>
              <w:left w:val="single" w:sz="4" w:space="0" w:color="FFFFFF"/>
            </w:tcBorders>
            <w:shd w:val="clear" w:color="auto" w:fill="2C647C"/>
          </w:tcPr>
          <w:p>
            <w:pPr>
              <w:pStyle w:val="TableParagraph"/>
              <w:spacing w:line="199" w:lineRule="exact" w:before="1"/>
              <w:ind w:left="4062" w:right="4055"/>
              <w:jc w:val="center"/>
              <w:rPr>
                <w:b/>
                <w:sz w:val="18"/>
              </w:rPr>
            </w:pPr>
            <w:r>
              <w:rPr>
                <w:b/>
                <w:color w:val="FFFFFF"/>
                <w:sz w:val="18"/>
              </w:rPr>
              <w:t>FORSYNINGSDATA</w:t>
            </w:r>
          </w:p>
        </w:tc>
      </w:tr>
      <w:tr>
        <w:trPr>
          <w:trHeight w:val="597" w:hRule="atLeast"/>
        </w:trPr>
        <w:tc>
          <w:tcPr>
            <w:tcW w:w="1274" w:type="dxa"/>
            <w:tcBorders>
              <w:left w:val="single" w:sz="4" w:space="0" w:color="FFFFFF"/>
              <w:right w:val="single" w:sz="4" w:space="0" w:color="FFFFFF"/>
            </w:tcBorders>
            <w:shd w:val="clear" w:color="auto" w:fill="C8E9E6"/>
          </w:tcPr>
          <w:p>
            <w:pPr>
              <w:pStyle w:val="TableParagraph"/>
              <w:spacing w:before="9"/>
              <w:rPr>
                <w:sz w:val="17"/>
              </w:rPr>
            </w:pPr>
          </w:p>
          <w:p>
            <w:pPr>
              <w:pStyle w:val="TableParagraph"/>
              <w:ind w:left="107"/>
              <w:rPr>
                <w:b/>
                <w:sz w:val="15"/>
              </w:rPr>
            </w:pPr>
            <w:r>
              <w:rPr>
                <w:b/>
                <w:sz w:val="15"/>
              </w:rPr>
              <w:t>DATATYPE</w:t>
            </w:r>
          </w:p>
        </w:tc>
        <w:tc>
          <w:tcPr>
            <w:tcW w:w="1277" w:type="dxa"/>
            <w:tcBorders>
              <w:top w:val="single" w:sz="4" w:space="0" w:color="FFFFFF"/>
              <w:left w:val="single" w:sz="4" w:space="0" w:color="FFFFFF"/>
              <w:bottom w:val="single" w:sz="6" w:space="0" w:color="FFFFFF"/>
            </w:tcBorders>
            <w:shd w:val="clear" w:color="auto" w:fill="C8E9E6"/>
          </w:tcPr>
          <w:p>
            <w:pPr>
              <w:pStyle w:val="TableParagraph"/>
              <w:spacing w:before="9"/>
              <w:rPr>
                <w:sz w:val="17"/>
              </w:rPr>
            </w:pPr>
          </w:p>
          <w:p>
            <w:pPr>
              <w:pStyle w:val="TableParagraph"/>
              <w:ind w:left="108"/>
              <w:rPr>
                <w:b/>
                <w:sz w:val="15"/>
              </w:rPr>
            </w:pPr>
            <w:r>
              <w:rPr>
                <w:b/>
                <w:sz w:val="15"/>
              </w:rPr>
              <w:t>DATAKILDE</w:t>
            </w:r>
          </w:p>
        </w:tc>
        <w:tc>
          <w:tcPr>
            <w:tcW w:w="2553" w:type="dxa"/>
            <w:shd w:val="clear" w:color="auto" w:fill="C8E9E6"/>
          </w:tcPr>
          <w:p>
            <w:pPr>
              <w:pStyle w:val="TableParagraph"/>
              <w:spacing w:before="9"/>
              <w:rPr>
                <w:sz w:val="17"/>
              </w:rPr>
            </w:pPr>
          </w:p>
          <w:p>
            <w:pPr>
              <w:pStyle w:val="TableParagraph"/>
              <w:ind w:left="113"/>
              <w:rPr>
                <w:b/>
                <w:sz w:val="15"/>
              </w:rPr>
            </w:pPr>
            <w:r>
              <w:rPr>
                <w:b/>
                <w:sz w:val="15"/>
              </w:rPr>
              <w:t>BESKRIVELSE</w:t>
            </w:r>
          </w:p>
        </w:tc>
        <w:tc>
          <w:tcPr>
            <w:tcW w:w="3403" w:type="dxa"/>
            <w:shd w:val="clear" w:color="auto" w:fill="C8E9E6"/>
          </w:tcPr>
          <w:p>
            <w:pPr>
              <w:pStyle w:val="TableParagraph"/>
              <w:spacing w:line="200" w:lineRule="atLeast"/>
              <w:ind w:left="112" w:right="193"/>
              <w:rPr>
                <w:b/>
                <w:sz w:val="15"/>
              </w:rPr>
            </w:pPr>
            <w:r>
              <w:rPr>
                <w:b/>
                <w:sz w:val="15"/>
              </w:rPr>
              <w:t>ANVENDELSESMULIGHED VED REFE- RENCE TIL INDENDØRS NATIONALE STEDDATABASE</w:t>
            </w:r>
          </w:p>
        </w:tc>
        <w:tc>
          <w:tcPr>
            <w:tcW w:w="1556" w:type="dxa"/>
            <w:shd w:val="clear" w:color="auto" w:fill="C8E9E6"/>
          </w:tcPr>
          <w:p>
            <w:pPr>
              <w:pStyle w:val="TableParagraph"/>
              <w:spacing w:line="266" w:lineRule="auto" w:before="115"/>
              <w:ind w:left="112" w:right="126"/>
              <w:rPr>
                <w:b/>
                <w:sz w:val="15"/>
              </w:rPr>
            </w:pPr>
            <w:r>
              <w:rPr>
                <w:b/>
                <w:sz w:val="15"/>
              </w:rPr>
              <w:t>ANVENDELSES- POTENTIALE</w:t>
            </w:r>
          </w:p>
        </w:tc>
      </w:tr>
      <w:tr>
        <w:trPr>
          <w:trHeight w:val="853" w:hRule="atLeast"/>
        </w:trPr>
        <w:tc>
          <w:tcPr>
            <w:tcW w:w="1274" w:type="dxa"/>
            <w:tcBorders>
              <w:left w:val="single" w:sz="4" w:space="0" w:color="FFFFFF"/>
              <w:right w:val="single" w:sz="4" w:space="0" w:color="FFFFFF"/>
            </w:tcBorders>
            <w:shd w:val="clear" w:color="auto" w:fill="E2F3F0"/>
          </w:tcPr>
          <w:p>
            <w:pPr>
              <w:pStyle w:val="TableParagraph"/>
              <w:spacing w:before="11"/>
              <w:rPr>
                <w:sz w:val="19"/>
              </w:rPr>
            </w:pPr>
          </w:p>
          <w:p>
            <w:pPr>
              <w:pStyle w:val="TableParagraph"/>
              <w:spacing w:line="261" w:lineRule="auto"/>
              <w:ind w:left="151" w:right="257"/>
              <w:rPr>
                <w:sz w:val="15"/>
              </w:rPr>
            </w:pPr>
            <w:r>
              <w:rPr>
                <w:sz w:val="15"/>
              </w:rPr>
              <w:t>Elforbrugs- data</w:t>
            </w:r>
          </w:p>
        </w:tc>
        <w:tc>
          <w:tcPr>
            <w:tcW w:w="1277" w:type="dxa"/>
            <w:tcBorders>
              <w:top w:val="single" w:sz="6" w:space="0" w:color="FFFFFF"/>
              <w:left w:val="single" w:sz="4" w:space="0" w:color="FFFFFF"/>
              <w:bottom w:val="single" w:sz="4" w:space="0" w:color="FFFFFF"/>
            </w:tcBorders>
            <w:shd w:val="clear" w:color="auto" w:fill="E2F3F0"/>
          </w:tcPr>
          <w:p>
            <w:pPr>
              <w:pStyle w:val="TableParagraph"/>
              <w:spacing w:before="11"/>
              <w:rPr>
                <w:sz w:val="19"/>
              </w:rPr>
            </w:pPr>
          </w:p>
          <w:p>
            <w:pPr>
              <w:pStyle w:val="TableParagraph"/>
              <w:spacing w:line="261" w:lineRule="auto"/>
              <w:ind w:left="108" w:right="174"/>
              <w:rPr>
                <w:sz w:val="15"/>
              </w:rPr>
            </w:pPr>
            <w:r>
              <w:rPr>
                <w:sz w:val="15"/>
              </w:rPr>
              <w:t>Elselskaber / DataHub</w:t>
            </w:r>
          </w:p>
        </w:tc>
        <w:tc>
          <w:tcPr>
            <w:tcW w:w="2553" w:type="dxa"/>
            <w:shd w:val="clear" w:color="auto" w:fill="E2F3F0"/>
          </w:tcPr>
          <w:p>
            <w:pPr>
              <w:pStyle w:val="TableParagraph"/>
              <w:numPr>
                <w:ilvl w:val="0"/>
                <w:numId w:val="34"/>
              </w:numPr>
              <w:tabs>
                <w:tab w:pos="284" w:val="left" w:leader="none"/>
              </w:tabs>
              <w:spacing w:line="240" w:lineRule="auto" w:before="41" w:after="0"/>
              <w:ind w:left="283" w:right="0" w:hanging="170"/>
              <w:jc w:val="left"/>
              <w:rPr>
                <w:sz w:val="15"/>
              </w:rPr>
            </w:pPr>
            <w:r>
              <w:rPr>
                <w:sz w:val="15"/>
              </w:rPr>
              <w:t>Data på</w:t>
            </w:r>
            <w:r>
              <w:rPr>
                <w:spacing w:val="-3"/>
                <w:sz w:val="15"/>
              </w:rPr>
              <w:t> </w:t>
            </w:r>
            <w:r>
              <w:rPr>
                <w:sz w:val="15"/>
              </w:rPr>
              <w:t>hovedmålerniveau</w:t>
            </w:r>
          </w:p>
          <w:p>
            <w:pPr>
              <w:pStyle w:val="TableParagraph"/>
              <w:numPr>
                <w:ilvl w:val="0"/>
                <w:numId w:val="34"/>
              </w:numPr>
              <w:tabs>
                <w:tab w:pos="284" w:val="left" w:leader="none"/>
              </w:tabs>
              <w:spacing w:line="261" w:lineRule="auto" w:before="19" w:after="0"/>
              <w:ind w:left="283" w:right="235" w:hanging="170"/>
              <w:jc w:val="left"/>
              <w:rPr>
                <w:sz w:val="15"/>
              </w:rPr>
            </w:pPr>
            <w:r>
              <w:rPr>
                <w:sz w:val="15"/>
              </w:rPr>
              <w:t>Tilgås via DataHub eller de enkelte</w:t>
            </w:r>
            <w:r>
              <w:rPr>
                <w:spacing w:val="-3"/>
                <w:sz w:val="15"/>
              </w:rPr>
              <w:t> </w:t>
            </w:r>
            <w:r>
              <w:rPr>
                <w:sz w:val="15"/>
              </w:rPr>
              <w:t>elselskaber</w:t>
            </w:r>
          </w:p>
          <w:p>
            <w:pPr>
              <w:pStyle w:val="TableParagraph"/>
              <w:numPr>
                <w:ilvl w:val="0"/>
                <w:numId w:val="34"/>
              </w:numPr>
              <w:tabs>
                <w:tab w:pos="284" w:val="left" w:leader="none"/>
              </w:tabs>
              <w:spacing w:line="240" w:lineRule="auto" w:before="1" w:after="0"/>
              <w:ind w:left="283" w:right="0" w:hanging="170"/>
              <w:jc w:val="left"/>
              <w:rPr>
                <w:sz w:val="15"/>
              </w:rPr>
            </w:pPr>
            <w:r>
              <w:rPr>
                <w:sz w:val="15"/>
              </w:rPr>
              <w:t>Forskellige vilkår for</w:t>
            </w:r>
            <w:r>
              <w:rPr>
                <w:spacing w:val="-6"/>
                <w:sz w:val="15"/>
              </w:rPr>
              <w:t> </w:t>
            </w:r>
            <w:r>
              <w:rPr>
                <w:sz w:val="15"/>
              </w:rPr>
              <w:t>adgang</w:t>
            </w:r>
          </w:p>
        </w:tc>
        <w:tc>
          <w:tcPr>
            <w:tcW w:w="3403" w:type="dxa"/>
            <w:shd w:val="clear" w:color="auto" w:fill="E2F3F0"/>
          </w:tcPr>
          <w:p>
            <w:pPr>
              <w:pStyle w:val="TableParagraph"/>
              <w:spacing w:line="266" w:lineRule="auto" w:before="12"/>
              <w:ind w:left="112" w:right="185"/>
              <w:rPr>
                <w:sz w:val="15"/>
              </w:rPr>
            </w:pPr>
            <w:r>
              <w:rPr>
                <w:sz w:val="15"/>
              </w:rPr>
              <w:t>Ofte kun en hovedmåler pr. ejendom og derfor begrænsede anvendelsesmulighe- der</w:t>
            </w:r>
          </w:p>
        </w:tc>
        <w:tc>
          <w:tcPr>
            <w:tcW w:w="1556" w:type="dxa"/>
            <w:shd w:val="clear" w:color="auto" w:fill="E2F3F0"/>
          </w:tcPr>
          <w:p>
            <w:pPr>
              <w:pStyle w:val="TableParagraph"/>
              <w:rPr>
                <w:sz w:val="18"/>
              </w:rPr>
            </w:pPr>
          </w:p>
          <w:p>
            <w:pPr>
              <w:pStyle w:val="TableParagraph"/>
              <w:spacing w:before="122"/>
              <w:ind w:left="112"/>
              <w:rPr>
                <w:sz w:val="15"/>
              </w:rPr>
            </w:pPr>
            <w:r>
              <w:rPr>
                <w:sz w:val="15"/>
              </w:rPr>
              <w:t>Lille</w:t>
            </w:r>
          </w:p>
        </w:tc>
      </w:tr>
      <w:tr>
        <w:trPr>
          <w:trHeight w:val="861" w:hRule="atLeast"/>
        </w:trPr>
        <w:tc>
          <w:tcPr>
            <w:tcW w:w="1274" w:type="dxa"/>
            <w:tcBorders>
              <w:left w:val="single" w:sz="4" w:space="0" w:color="FFFFFF"/>
              <w:right w:val="single" w:sz="4" w:space="0" w:color="FFFFFF"/>
            </w:tcBorders>
            <w:shd w:val="clear" w:color="auto" w:fill="C8E9E6"/>
          </w:tcPr>
          <w:p>
            <w:pPr>
              <w:pStyle w:val="TableParagraph"/>
              <w:spacing w:before="4"/>
              <w:rPr>
                <w:sz w:val="20"/>
              </w:rPr>
            </w:pPr>
          </w:p>
          <w:p>
            <w:pPr>
              <w:pStyle w:val="TableParagraph"/>
              <w:spacing w:line="266" w:lineRule="auto"/>
              <w:ind w:left="107" w:right="369"/>
              <w:rPr>
                <w:sz w:val="15"/>
              </w:rPr>
            </w:pPr>
            <w:r>
              <w:rPr>
                <w:sz w:val="15"/>
              </w:rPr>
              <w:t>Varmefor- brugsdata</w:t>
            </w:r>
          </w:p>
        </w:tc>
        <w:tc>
          <w:tcPr>
            <w:tcW w:w="1277" w:type="dxa"/>
            <w:tcBorders>
              <w:top w:val="single" w:sz="4" w:space="0" w:color="FFFFFF"/>
              <w:left w:val="single" w:sz="4" w:space="0" w:color="FFFFFF"/>
              <w:bottom w:val="single" w:sz="4" w:space="0" w:color="FFFFFF"/>
            </w:tcBorders>
            <w:shd w:val="clear" w:color="auto" w:fill="C8E9E6"/>
          </w:tcPr>
          <w:p>
            <w:pPr>
              <w:pStyle w:val="TableParagraph"/>
              <w:spacing w:before="4"/>
              <w:rPr>
                <w:sz w:val="20"/>
              </w:rPr>
            </w:pPr>
          </w:p>
          <w:p>
            <w:pPr>
              <w:pStyle w:val="TableParagraph"/>
              <w:spacing w:line="266" w:lineRule="auto"/>
              <w:ind w:left="108" w:right="431"/>
              <w:rPr>
                <w:sz w:val="15"/>
              </w:rPr>
            </w:pPr>
            <w:r>
              <w:rPr>
                <w:sz w:val="15"/>
              </w:rPr>
              <w:t>Varme- selskaber</w:t>
            </w:r>
          </w:p>
        </w:tc>
        <w:tc>
          <w:tcPr>
            <w:tcW w:w="2553" w:type="dxa"/>
            <w:shd w:val="clear" w:color="auto" w:fill="C8E9E6"/>
          </w:tcPr>
          <w:p>
            <w:pPr>
              <w:pStyle w:val="TableParagraph"/>
              <w:numPr>
                <w:ilvl w:val="0"/>
                <w:numId w:val="35"/>
              </w:numPr>
              <w:tabs>
                <w:tab w:pos="284" w:val="left" w:leader="none"/>
              </w:tabs>
              <w:spacing w:line="240" w:lineRule="auto" w:before="149" w:after="0"/>
              <w:ind w:left="283" w:right="0" w:hanging="170"/>
              <w:jc w:val="left"/>
              <w:rPr>
                <w:sz w:val="15"/>
              </w:rPr>
            </w:pPr>
            <w:r>
              <w:rPr>
                <w:sz w:val="15"/>
              </w:rPr>
              <w:t>Data på</w:t>
            </w:r>
            <w:r>
              <w:rPr>
                <w:spacing w:val="-12"/>
                <w:sz w:val="15"/>
              </w:rPr>
              <w:t> </w:t>
            </w:r>
            <w:r>
              <w:rPr>
                <w:sz w:val="15"/>
              </w:rPr>
              <w:t>hovedmålerniveau</w:t>
            </w:r>
          </w:p>
          <w:p>
            <w:pPr>
              <w:pStyle w:val="TableParagraph"/>
              <w:numPr>
                <w:ilvl w:val="0"/>
                <w:numId w:val="35"/>
              </w:numPr>
              <w:tabs>
                <w:tab w:pos="284" w:val="left" w:leader="none"/>
              </w:tabs>
              <w:spacing w:line="240" w:lineRule="auto" w:before="17" w:after="0"/>
              <w:ind w:left="283" w:right="0" w:hanging="170"/>
              <w:jc w:val="left"/>
              <w:rPr>
                <w:sz w:val="15"/>
              </w:rPr>
            </w:pPr>
            <w:r>
              <w:rPr>
                <w:sz w:val="15"/>
              </w:rPr>
              <w:t>Tilgås via</w:t>
            </w:r>
            <w:r>
              <w:rPr>
                <w:spacing w:val="-12"/>
                <w:sz w:val="15"/>
              </w:rPr>
              <w:t> </w:t>
            </w:r>
            <w:r>
              <w:rPr>
                <w:sz w:val="15"/>
              </w:rPr>
              <w:t>varmeselskaberne</w:t>
            </w:r>
          </w:p>
          <w:p>
            <w:pPr>
              <w:pStyle w:val="TableParagraph"/>
              <w:numPr>
                <w:ilvl w:val="0"/>
                <w:numId w:val="35"/>
              </w:numPr>
              <w:tabs>
                <w:tab w:pos="284" w:val="left" w:leader="none"/>
              </w:tabs>
              <w:spacing w:line="240" w:lineRule="auto" w:before="16" w:after="0"/>
              <w:ind w:left="283" w:right="0" w:hanging="170"/>
              <w:jc w:val="left"/>
              <w:rPr>
                <w:sz w:val="15"/>
              </w:rPr>
            </w:pPr>
            <w:r>
              <w:rPr>
                <w:sz w:val="15"/>
              </w:rPr>
              <w:t>Forskellige vilkår for</w:t>
            </w:r>
            <w:r>
              <w:rPr>
                <w:spacing w:val="-6"/>
                <w:sz w:val="15"/>
              </w:rPr>
              <w:t> </w:t>
            </w:r>
            <w:r>
              <w:rPr>
                <w:sz w:val="15"/>
              </w:rPr>
              <w:t>adgang</w:t>
            </w:r>
          </w:p>
        </w:tc>
        <w:tc>
          <w:tcPr>
            <w:tcW w:w="3403" w:type="dxa"/>
            <w:shd w:val="clear" w:color="auto" w:fill="C8E9E6"/>
          </w:tcPr>
          <w:p>
            <w:pPr>
              <w:pStyle w:val="TableParagraph"/>
              <w:spacing w:line="266" w:lineRule="auto" w:before="17"/>
              <w:ind w:left="112" w:right="185"/>
              <w:rPr>
                <w:sz w:val="15"/>
              </w:rPr>
            </w:pPr>
            <w:r>
              <w:rPr>
                <w:sz w:val="15"/>
              </w:rPr>
              <w:t>Ofte kun en hovedmåler pr. ejendom og derfor begrænsede anvendelsesmulighe- der</w:t>
            </w:r>
          </w:p>
        </w:tc>
        <w:tc>
          <w:tcPr>
            <w:tcW w:w="1556" w:type="dxa"/>
            <w:shd w:val="clear" w:color="auto" w:fill="C8E9E6"/>
          </w:tcPr>
          <w:p>
            <w:pPr>
              <w:pStyle w:val="TableParagraph"/>
              <w:spacing w:before="2"/>
              <w:rPr>
                <w:sz w:val="18"/>
              </w:rPr>
            </w:pPr>
          </w:p>
          <w:p>
            <w:pPr>
              <w:pStyle w:val="TableParagraph"/>
              <w:ind w:left="112"/>
              <w:rPr>
                <w:sz w:val="15"/>
              </w:rPr>
            </w:pPr>
            <w:r>
              <w:rPr>
                <w:sz w:val="15"/>
              </w:rPr>
              <w:t>Lille</w:t>
            </w:r>
          </w:p>
        </w:tc>
      </w:tr>
      <w:tr>
        <w:trPr>
          <w:trHeight w:val="858" w:hRule="atLeast"/>
        </w:trPr>
        <w:tc>
          <w:tcPr>
            <w:tcW w:w="1274" w:type="dxa"/>
            <w:tcBorders>
              <w:left w:val="single" w:sz="4" w:space="0" w:color="FFFFFF"/>
              <w:bottom w:val="single" w:sz="4" w:space="0" w:color="FFFFFF"/>
              <w:right w:val="single" w:sz="4" w:space="0" w:color="FFFFFF"/>
            </w:tcBorders>
            <w:shd w:val="clear" w:color="auto" w:fill="E2F3F0"/>
          </w:tcPr>
          <w:p>
            <w:pPr>
              <w:pStyle w:val="TableParagraph"/>
              <w:spacing w:before="4"/>
              <w:rPr>
                <w:sz w:val="20"/>
              </w:rPr>
            </w:pPr>
          </w:p>
          <w:p>
            <w:pPr>
              <w:pStyle w:val="TableParagraph"/>
              <w:spacing w:line="261" w:lineRule="auto"/>
              <w:ind w:left="107" w:right="380"/>
              <w:rPr>
                <w:sz w:val="15"/>
              </w:rPr>
            </w:pPr>
            <w:r>
              <w:rPr>
                <w:sz w:val="15"/>
              </w:rPr>
              <w:t>Vandfor- brugsdata</w:t>
            </w:r>
          </w:p>
        </w:tc>
        <w:tc>
          <w:tcPr>
            <w:tcW w:w="1277" w:type="dxa"/>
            <w:tcBorders>
              <w:top w:val="single" w:sz="4" w:space="0" w:color="FFFFFF"/>
              <w:left w:val="single" w:sz="4" w:space="0" w:color="FFFFFF"/>
              <w:bottom w:val="single" w:sz="4" w:space="0" w:color="FFFFFF"/>
            </w:tcBorders>
            <w:shd w:val="clear" w:color="auto" w:fill="E2F3F0"/>
          </w:tcPr>
          <w:p>
            <w:pPr>
              <w:pStyle w:val="TableParagraph"/>
              <w:spacing w:before="4"/>
              <w:rPr>
                <w:sz w:val="20"/>
              </w:rPr>
            </w:pPr>
          </w:p>
          <w:p>
            <w:pPr>
              <w:pStyle w:val="TableParagraph"/>
              <w:spacing w:line="261" w:lineRule="auto"/>
              <w:ind w:left="108" w:right="229"/>
              <w:rPr>
                <w:sz w:val="15"/>
              </w:rPr>
            </w:pPr>
            <w:r>
              <w:rPr>
                <w:sz w:val="15"/>
              </w:rPr>
              <w:t>Vandselska- ber</w:t>
            </w:r>
          </w:p>
        </w:tc>
        <w:tc>
          <w:tcPr>
            <w:tcW w:w="2553" w:type="dxa"/>
            <w:tcBorders>
              <w:bottom w:val="single" w:sz="4" w:space="0" w:color="FFFFFF"/>
            </w:tcBorders>
            <w:shd w:val="clear" w:color="auto" w:fill="E2F3F0"/>
          </w:tcPr>
          <w:p>
            <w:pPr>
              <w:pStyle w:val="TableParagraph"/>
              <w:numPr>
                <w:ilvl w:val="0"/>
                <w:numId w:val="36"/>
              </w:numPr>
              <w:tabs>
                <w:tab w:pos="284" w:val="left" w:leader="none"/>
              </w:tabs>
              <w:spacing w:line="240" w:lineRule="auto" w:before="146" w:after="0"/>
              <w:ind w:left="283" w:right="0" w:hanging="170"/>
              <w:jc w:val="left"/>
              <w:rPr>
                <w:sz w:val="15"/>
              </w:rPr>
            </w:pPr>
            <w:r>
              <w:rPr>
                <w:sz w:val="15"/>
              </w:rPr>
              <w:t>Data på</w:t>
            </w:r>
            <w:r>
              <w:rPr>
                <w:spacing w:val="-3"/>
                <w:sz w:val="15"/>
              </w:rPr>
              <w:t> </w:t>
            </w:r>
            <w:r>
              <w:rPr>
                <w:sz w:val="15"/>
              </w:rPr>
              <w:t>hovedmålerniveau</w:t>
            </w:r>
          </w:p>
          <w:p>
            <w:pPr>
              <w:pStyle w:val="TableParagraph"/>
              <w:numPr>
                <w:ilvl w:val="0"/>
                <w:numId w:val="36"/>
              </w:numPr>
              <w:tabs>
                <w:tab w:pos="284" w:val="left" w:leader="none"/>
              </w:tabs>
              <w:spacing w:line="240" w:lineRule="auto" w:before="17" w:after="0"/>
              <w:ind w:left="283" w:right="0" w:hanging="170"/>
              <w:jc w:val="left"/>
              <w:rPr>
                <w:sz w:val="15"/>
              </w:rPr>
            </w:pPr>
            <w:r>
              <w:rPr>
                <w:sz w:val="15"/>
              </w:rPr>
              <w:t>Tilgås via</w:t>
            </w:r>
            <w:r>
              <w:rPr>
                <w:spacing w:val="-4"/>
                <w:sz w:val="15"/>
              </w:rPr>
              <w:t> </w:t>
            </w:r>
            <w:r>
              <w:rPr>
                <w:sz w:val="15"/>
              </w:rPr>
              <w:t>vandselskaberne</w:t>
            </w:r>
          </w:p>
          <w:p>
            <w:pPr>
              <w:pStyle w:val="TableParagraph"/>
              <w:numPr>
                <w:ilvl w:val="0"/>
                <w:numId w:val="36"/>
              </w:numPr>
              <w:tabs>
                <w:tab w:pos="284" w:val="left" w:leader="none"/>
              </w:tabs>
              <w:spacing w:line="240" w:lineRule="auto" w:before="19" w:after="0"/>
              <w:ind w:left="283" w:right="0" w:hanging="170"/>
              <w:jc w:val="left"/>
              <w:rPr>
                <w:sz w:val="15"/>
              </w:rPr>
            </w:pPr>
            <w:r>
              <w:rPr>
                <w:sz w:val="15"/>
              </w:rPr>
              <w:t>Forskellige vilkår for</w:t>
            </w:r>
            <w:r>
              <w:rPr>
                <w:spacing w:val="-6"/>
                <w:sz w:val="15"/>
              </w:rPr>
              <w:t> </w:t>
            </w:r>
            <w:r>
              <w:rPr>
                <w:sz w:val="15"/>
              </w:rPr>
              <w:t>adgang</w:t>
            </w:r>
          </w:p>
        </w:tc>
        <w:tc>
          <w:tcPr>
            <w:tcW w:w="3403" w:type="dxa"/>
            <w:tcBorders>
              <w:bottom w:val="single" w:sz="4" w:space="0" w:color="FFFFFF"/>
            </w:tcBorders>
            <w:shd w:val="clear" w:color="auto" w:fill="E2F3F0"/>
          </w:tcPr>
          <w:p>
            <w:pPr>
              <w:pStyle w:val="TableParagraph"/>
              <w:spacing w:line="266" w:lineRule="auto" w:before="17"/>
              <w:ind w:left="112" w:right="185"/>
              <w:rPr>
                <w:sz w:val="15"/>
              </w:rPr>
            </w:pPr>
            <w:r>
              <w:rPr>
                <w:sz w:val="15"/>
              </w:rPr>
              <w:t>Ofte kun en hovedmåler pr. ejendom og derfor begrænsede anvendelsesmulighe- der</w:t>
            </w:r>
          </w:p>
        </w:tc>
        <w:tc>
          <w:tcPr>
            <w:tcW w:w="1556" w:type="dxa"/>
            <w:tcBorders>
              <w:bottom w:val="single" w:sz="4" w:space="0" w:color="FFFFFF"/>
            </w:tcBorders>
            <w:shd w:val="clear" w:color="auto" w:fill="E2F3F0"/>
          </w:tcPr>
          <w:p>
            <w:pPr>
              <w:pStyle w:val="TableParagraph"/>
              <w:spacing w:before="11"/>
              <w:rPr>
                <w:sz w:val="17"/>
              </w:rPr>
            </w:pPr>
          </w:p>
          <w:p>
            <w:pPr>
              <w:pStyle w:val="TableParagraph"/>
              <w:spacing w:before="1"/>
              <w:ind w:left="112"/>
              <w:rPr>
                <w:sz w:val="15"/>
              </w:rPr>
            </w:pPr>
            <w:r>
              <w:rPr>
                <w:sz w:val="15"/>
              </w:rPr>
              <w:t>Lille</w:t>
            </w:r>
          </w:p>
        </w:tc>
      </w:tr>
      <w:tr>
        <w:trPr>
          <w:trHeight w:val="400" w:hRule="atLeast"/>
        </w:trPr>
        <w:tc>
          <w:tcPr>
            <w:tcW w:w="10063" w:type="dxa"/>
            <w:gridSpan w:val="5"/>
            <w:tcBorders>
              <w:top w:val="single" w:sz="4" w:space="0" w:color="FFFFFF"/>
              <w:bottom w:val="single" w:sz="4" w:space="0" w:color="FFFFFF"/>
            </w:tcBorders>
          </w:tcPr>
          <w:p>
            <w:pPr>
              <w:pStyle w:val="TableParagraph"/>
              <w:ind w:left="-1" w:right="-72"/>
              <w:rPr>
                <w:sz w:val="20"/>
              </w:rPr>
            </w:pPr>
            <w:r>
              <w:rPr>
                <w:sz w:val="20"/>
              </w:rPr>
              <w:pict>
                <v:group style="width:503.4pt;height:20.05pt;mso-position-horizontal-relative:char;mso-position-vertical-relative:line" coordorigin="0,0" coordsize="10068,401">
                  <v:rect style="position:absolute;left:9;top:0;width:10058;height:401" filled="true" fillcolor="#ffffff" stroked="false">
                    <v:fill type="solid"/>
                  </v:rect>
                  <v:rect style="position:absolute;left:112;top:0;width:9852;height:202" filled="true" fillcolor="#ffffff" stroked="false">
                    <v:fill type="solid"/>
                  </v:rect>
                  <v:rect style="position:absolute;left:112;top:201;width:9852;height:200" filled="true" fillcolor="#ffffff" stroked="false">
                    <v:fill type="solid"/>
                  </v:rect>
                  <v:line style="position:absolute" from="5,0" to="5,401" stroked="true" strokeweight=".48pt" strokecolor="#ffffff">
                    <v:stroke dashstyle="solid"/>
                  </v:line>
                </v:group>
              </w:pict>
            </w:r>
            <w:r>
              <w:rPr>
                <w:sz w:val="20"/>
              </w:rPr>
            </w:r>
          </w:p>
        </w:tc>
      </w:tr>
      <w:tr>
        <w:trPr>
          <w:trHeight w:val="173" w:hRule="atLeast"/>
        </w:trPr>
        <w:tc>
          <w:tcPr>
            <w:tcW w:w="10063" w:type="dxa"/>
            <w:gridSpan w:val="5"/>
            <w:tcBorders>
              <w:top w:val="single" w:sz="4" w:space="0" w:color="FFFFFF"/>
              <w:left w:val="single" w:sz="4" w:space="0" w:color="FFFFFF"/>
            </w:tcBorders>
            <w:shd w:val="clear" w:color="auto" w:fill="2C647C"/>
          </w:tcPr>
          <w:p>
            <w:pPr>
              <w:pStyle w:val="TableParagraph"/>
              <w:spacing w:line="153" w:lineRule="exact"/>
              <w:ind w:left="4058" w:right="4055"/>
              <w:jc w:val="center"/>
              <w:rPr>
                <w:b/>
                <w:sz w:val="18"/>
              </w:rPr>
            </w:pPr>
            <w:r>
              <w:rPr>
                <w:b/>
                <w:color w:val="FFFFFF"/>
                <w:sz w:val="18"/>
              </w:rPr>
              <w:t>DYNAMISKE DATA</w:t>
            </w:r>
          </w:p>
        </w:tc>
      </w:tr>
      <w:tr>
        <w:trPr>
          <w:trHeight w:val="602" w:hRule="atLeast"/>
        </w:trPr>
        <w:tc>
          <w:tcPr>
            <w:tcW w:w="1274" w:type="dxa"/>
            <w:tcBorders>
              <w:left w:val="single" w:sz="4" w:space="0" w:color="FFFFFF"/>
              <w:right w:val="single" w:sz="4" w:space="0" w:color="FFFFFF"/>
            </w:tcBorders>
            <w:shd w:val="clear" w:color="auto" w:fill="C8E9E6"/>
          </w:tcPr>
          <w:p>
            <w:pPr>
              <w:pStyle w:val="TableParagraph"/>
              <w:rPr>
                <w:sz w:val="18"/>
              </w:rPr>
            </w:pPr>
          </w:p>
          <w:p>
            <w:pPr>
              <w:pStyle w:val="TableParagraph"/>
              <w:ind w:left="107"/>
              <w:rPr>
                <w:b/>
                <w:sz w:val="15"/>
              </w:rPr>
            </w:pPr>
            <w:r>
              <w:rPr>
                <w:b/>
                <w:sz w:val="15"/>
              </w:rPr>
              <w:t>DATATYPE</w:t>
            </w:r>
          </w:p>
        </w:tc>
        <w:tc>
          <w:tcPr>
            <w:tcW w:w="1277" w:type="dxa"/>
            <w:tcBorders>
              <w:top w:val="single" w:sz="4" w:space="0" w:color="FFFFFF"/>
              <w:left w:val="single" w:sz="4" w:space="0" w:color="FFFFFF"/>
              <w:bottom w:val="single" w:sz="4" w:space="0" w:color="FFFFFF"/>
            </w:tcBorders>
            <w:shd w:val="clear" w:color="auto" w:fill="C8E9E6"/>
          </w:tcPr>
          <w:p>
            <w:pPr>
              <w:pStyle w:val="TableParagraph"/>
              <w:rPr>
                <w:sz w:val="18"/>
              </w:rPr>
            </w:pPr>
          </w:p>
          <w:p>
            <w:pPr>
              <w:pStyle w:val="TableParagraph"/>
              <w:ind w:left="108"/>
              <w:rPr>
                <w:b/>
                <w:sz w:val="15"/>
              </w:rPr>
            </w:pPr>
            <w:r>
              <w:rPr>
                <w:b/>
                <w:sz w:val="15"/>
              </w:rPr>
              <w:t>DATAKILDE</w:t>
            </w:r>
          </w:p>
        </w:tc>
        <w:tc>
          <w:tcPr>
            <w:tcW w:w="2553" w:type="dxa"/>
            <w:shd w:val="clear" w:color="auto" w:fill="C8E9E6"/>
          </w:tcPr>
          <w:p>
            <w:pPr>
              <w:pStyle w:val="TableParagraph"/>
              <w:rPr>
                <w:sz w:val="18"/>
              </w:rPr>
            </w:pPr>
          </w:p>
          <w:p>
            <w:pPr>
              <w:pStyle w:val="TableParagraph"/>
              <w:ind w:left="113"/>
              <w:rPr>
                <w:b/>
                <w:sz w:val="15"/>
              </w:rPr>
            </w:pPr>
            <w:r>
              <w:rPr>
                <w:b/>
                <w:sz w:val="15"/>
              </w:rPr>
              <w:t>BESKRIVELSE</w:t>
            </w:r>
          </w:p>
        </w:tc>
        <w:tc>
          <w:tcPr>
            <w:tcW w:w="3403" w:type="dxa"/>
            <w:shd w:val="clear" w:color="auto" w:fill="C8E9E6"/>
          </w:tcPr>
          <w:p>
            <w:pPr>
              <w:pStyle w:val="TableParagraph"/>
              <w:spacing w:line="200" w:lineRule="atLeast" w:before="2"/>
              <w:ind w:left="112" w:right="193"/>
              <w:rPr>
                <w:b/>
                <w:sz w:val="15"/>
              </w:rPr>
            </w:pPr>
            <w:r>
              <w:rPr>
                <w:b/>
                <w:sz w:val="15"/>
              </w:rPr>
              <w:t>ANVENDELSESMULIGHED VED REFE- RENCE TIL INDENDØRS NATIONALE STEDDATABASE</w:t>
            </w:r>
          </w:p>
        </w:tc>
        <w:tc>
          <w:tcPr>
            <w:tcW w:w="1556" w:type="dxa"/>
            <w:shd w:val="clear" w:color="auto" w:fill="C8E9E6"/>
          </w:tcPr>
          <w:p>
            <w:pPr>
              <w:pStyle w:val="TableParagraph"/>
              <w:spacing w:line="266" w:lineRule="auto" w:before="118"/>
              <w:ind w:left="112" w:right="126"/>
              <w:rPr>
                <w:b/>
                <w:sz w:val="15"/>
              </w:rPr>
            </w:pPr>
            <w:r>
              <w:rPr>
                <w:b/>
                <w:sz w:val="15"/>
              </w:rPr>
              <w:t>ANVENDELSES- POTENTIALE</w:t>
            </w:r>
          </w:p>
        </w:tc>
      </w:tr>
      <w:tr>
        <w:trPr>
          <w:trHeight w:val="1398" w:hRule="atLeast"/>
        </w:trPr>
        <w:tc>
          <w:tcPr>
            <w:tcW w:w="1274" w:type="dxa"/>
            <w:tcBorders>
              <w:left w:val="single" w:sz="4" w:space="0" w:color="FFFFFF"/>
              <w:right w:val="single" w:sz="4" w:space="0" w:color="FFFFFF"/>
            </w:tcBorders>
            <w:shd w:val="clear" w:color="auto" w:fill="E2F3F0"/>
          </w:tcPr>
          <w:p>
            <w:pPr>
              <w:pStyle w:val="TableParagraph"/>
              <w:rPr>
                <w:sz w:val="18"/>
              </w:rPr>
            </w:pPr>
          </w:p>
          <w:p>
            <w:pPr>
              <w:pStyle w:val="TableParagraph"/>
              <w:spacing w:before="5"/>
              <w:rPr>
                <w:sz w:val="24"/>
              </w:rPr>
            </w:pPr>
          </w:p>
          <w:p>
            <w:pPr>
              <w:pStyle w:val="TableParagraph"/>
              <w:spacing w:line="261" w:lineRule="auto"/>
              <w:ind w:left="107" w:right="172"/>
              <w:rPr>
                <w:sz w:val="15"/>
              </w:rPr>
            </w:pPr>
            <w:r>
              <w:rPr>
                <w:sz w:val="15"/>
              </w:rPr>
              <w:t>Detaljerede forbrugsdata</w:t>
            </w:r>
          </w:p>
        </w:tc>
        <w:tc>
          <w:tcPr>
            <w:tcW w:w="1277" w:type="dxa"/>
            <w:tcBorders>
              <w:top w:val="single" w:sz="4" w:space="0" w:color="FFFFFF"/>
              <w:left w:val="single" w:sz="4" w:space="0" w:color="FFFFFF"/>
              <w:bottom w:val="single" w:sz="4" w:space="0" w:color="FFFFFF"/>
            </w:tcBorders>
            <w:shd w:val="clear" w:color="auto" w:fill="E2F3F0"/>
          </w:tcPr>
          <w:p>
            <w:pPr>
              <w:pStyle w:val="TableParagraph"/>
              <w:rPr>
                <w:sz w:val="18"/>
              </w:rPr>
            </w:pPr>
          </w:p>
          <w:p>
            <w:pPr>
              <w:pStyle w:val="TableParagraph"/>
              <w:spacing w:before="5"/>
              <w:rPr>
                <w:sz w:val="24"/>
              </w:rPr>
            </w:pPr>
          </w:p>
          <w:p>
            <w:pPr>
              <w:pStyle w:val="TableParagraph"/>
              <w:spacing w:line="261" w:lineRule="auto"/>
              <w:ind w:left="108" w:right="190"/>
              <w:rPr>
                <w:sz w:val="15"/>
              </w:rPr>
            </w:pPr>
            <w:r>
              <w:rPr>
                <w:sz w:val="15"/>
              </w:rPr>
              <w:t>Bi-målere og data-loggere</w:t>
            </w:r>
          </w:p>
        </w:tc>
        <w:tc>
          <w:tcPr>
            <w:tcW w:w="2553" w:type="dxa"/>
            <w:shd w:val="clear" w:color="auto" w:fill="E2F3F0"/>
          </w:tcPr>
          <w:p>
            <w:pPr>
              <w:pStyle w:val="TableParagraph"/>
              <w:numPr>
                <w:ilvl w:val="0"/>
                <w:numId w:val="37"/>
              </w:numPr>
              <w:tabs>
                <w:tab w:pos="284" w:val="left" w:leader="none"/>
              </w:tabs>
              <w:spacing w:line="261" w:lineRule="auto" w:before="17" w:after="0"/>
              <w:ind w:left="283" w:right="173" w:hanging="170"/>
              <w:jc w:val="both"/>
              <w:rPr>
                <w:sz w:val="15"/>
              </w:rPr>
            </w:pPr>
            <w:r>
              <w:rPr>
                <w:sz w:val="15"/>
              </w:rPr>
              <w:t>Grundlag for detaljeret, re- altids-overvågning og data- baseret</w:t>
            </w:r>
            <w:r>
              <w:rPr>
                <w:spacing w:val="-3"/>
                <w:sz w:val="15"/>
              </w:rPr>
              <w:t> </w:t>
            </w:r>
            <w:r>
              <w:rPr>
                <w:sz w:val="15"/>
              </w:rPr>
              <w:t>energiledelse</w:t>
            </w:r>
          </w:p>
          <w:p>
            <w:pPr>
              <w:pStyle w:val="TableParagraph"/>
              <w:numPr>
                <w:ilvl w:val="0"/>
                <w:numId w:val="37"/>
              </w:numPr>
              <w:tabs>
                <w:tab w:pos="284" w:val="left" w:leader="none"/>
              </w:tabs>
              <w:spacing w:line="261" w:lineRule="auto" w:before="4" w:after="0"/>
              <w:ind w:left="283" w:right="118" w:hanging="170"/>
              <w:jc w:val="both"/>
              <w:rPr>
                <w:sz w:val="15"/>
              </w:rPr>
            </w:pPr>
            <w:r>
              <w:rPr>
                <w:sz w:val="15"/>
              </w:rPr>
              <w:t>Kræver investering i</w:t>
            </w:r>
            <w:r>
              <w:rPr>
                <w:spacing w:val="-14"/>
                <w:sz w:val="15"/>
              </w:rPr>
              <w:t> </w:t>
            </w:r>
            <w:r>
              <w:rPr>
                <w:sz w:val="15"/>
              </w:rPr>
              <w:t>fjernaf- læst målerinfrastruktur</w:t>
            </w:r>
          </w:p>
          <w:p>
            <w:pPr>
              <w:pStyle w:val="TableParagraph"/>
              <w:numPr>
                <w:ilvl w:val="0"/>
                <w:numId w:val="37"/>
              </w:numPr>
              <w:tabs>
                <w:tab w:pos="284" w:val="left" w:leader="none"/>
              </w:tabs>
              <w:spacing w:line="240" w:lineRule="auto" w:before="1" w:after="0"/>
              <w:ind w:left="283" w:right="0" w:hanging="170"/>
              <w:jc w:val="left"/>
              <w:rPr>
                <w:sz w:val="15"/>
              </w:rPr>
            </w:pPr>
            <w:r>
              <w:rPr>
                <w:sz w:val="15"/>
              </w:rPr>
              <w:t>Potentielle udfordring</w:t>
            </w:r>
            <w:r>
              <w:rPr>
                <w:spacing w:val="-6"/>
                <w:sz w:val="15"/>
              </w:rPr>
              <w:t> </w:t>
            </w:r>
            <w:r>
              <w:rPr>
                <w:sz w:val="15"/>
              </w:rPr>
              <w:t>vedr.</w:t>
            </w:r>
          </w:p>
          <w:p>
            <w:pPr>
              <w:pStyle w:val="TableParagraph"/>
              <w:spacing w:line="162" w:lineRule="exact" w:before="19"/>
              <w:ind w:left="283"/>
              <w:rPr>
                <w:sz w:val="15"/>
              </w:rPr>
            </w:pPr>
            <w:r>
              <w:rPr>
                <w:sz w:val="15"/>
              </w:rPr>
              <w:t>ejerskab til data</w:t>
            </w:r>
          </w:p>
        </w:tc>
        <w:tc>
          <w:tcPr>
            <w:tcW w:w="3403" w:type="dxa"/>
            <w:shd w:val="clear" w:color="auto" w:fill="E2F3F0"/>
          </w:tcPr>
          <w:p>
            <w:pPr>
              <w:pStyle w:val="TableParagraph"/>
              <w:spacing w:before="1"/>
              <w:rPr>
                <w:sz w:val="26"/>
              </w:rPr>
            </w:pPr>
          </w:p>
          <w:p>
            <w:pPr>
              <w:pStyle w:val="TableParagraph"/>
              <w:spacing w:line="264" w:lineRule="auto"/>
              <w:ind w:left="112" w:right="89"/>
              <w:rPr>
                <w:sz w:val="15"/>
              </w:rPr>
            </w:pPr>
            <w:r>
              <w:rPr>
                <w:sz w:val="15"/>
              </w:rPr>
              <w:t>Mulighed for detaljeret energistyring og overvågning af rum og bygningszoner og dermed forbedret grundlag for energiopti- mering</w:t>
            </w:r>
          </w:p>
        </w:tc>
        <w:tc>
          <w:tcPr>
            <w:tcW w:w="1556" w:type="dxa"/>
            <w:shd w:val="clear" w:color="auto" w:fill="E2F3F0"/>
          </w:tcPr>
          <w:p>
            <w:pPr>
              <w:pStyle w:val="TableParagraph"/>
              <w:rPr>
                <w:sz w:val="18"/>
              </w:rPr>
            </w:pPr>
          </w:p>
          <w:p>
            <w:pPr>
              <w:pStyle w:val="TableParagraph"/>
              <w:rPr>
                <w:sz w:val="18"/>
              </w:rPr>
            </w:pPr>
          </w:p>
          <w:p>
            <w:pPr>
              <w:pStyle w:val="TableParagraph"/>
              <w:spacing w:before="9"/>
              <w:rPr>
                <w:sz w:val="14"/>
              </w:rPr>
            </w:pPr>
          </w:p>
          <w:p>
            <w:pPr>
              <w:pStyle w:val="TableParagraph"/>
              <w:ind w:left="112"/>
              <w:rPr>
                <w:sz w:val="15"/>
              </w:rPr>
            </w:pPr>
            <w:r>
              <w:rPr>
                <w:sz w:val="15"/>
              </w:rPr>
              <w:t>Stort</w:t>
            </w:r>
          </w:p>
        </w:tc>
      </w:tr>
      <w:tr>
        <w:trPr>
          <w:trHeight w:val="1199" w:hRule="atLeast"/>
        </w:trPr>
        <w:tc>
          <w:tcPr>
            <w:tcW w:w="1274" w:type="dxa"/>
            <w:tcBorders>
              <w:left w:val="single" w:sz="4" w:space="0" w:color="FFFFFF"/>
              <w:right w:val="single" w:sz="4" w:space="0" w:color="FFFFFF"/>
            </w:tcBorders>
            <w:shd w:val="clear" w:color="auto" w:fill="C8E9E6"/>
          </w:tcPr>
          <w:p>
            <w:pPr>
              <w:pStyle w:val="TableParagraph"/>
              <w:rPr>
                <w:sz w:val="18"/>
              </w:rPr>
            </w:pPr>
          </w:p>
          <w:p>
            <w:pPr>
              <w:pStyle w:val="TableParagraph"/>
              <w:spacing w:before="4"/>
              <w:rPr>
                <w:sz w:val="16"/>
              </w:rPr>
            </w:pPr>
          </w:p>
          <w:p>
            <w:pPr>
              <w:pStyle w:val="TableParagraph"/>
              <w:spacing w:line="261" w:lineRule="auto"/>
              <w:ind w:left="107" w:right="320"/>
              <w:rPr>
                <w:sz w:val="15"/>
              </w:rPr>
            </w:pPr>
            <w:r>
              <w:rPr>
                <w:sz w:val="15"/>
              </w:rPr>
              <w:t>Indeklima- data</w:t>
            </w:r>
          </w:p>
        </w:tc>
        <w:tc>
          <w:tcPr>
            <w:tcW w:w="1277" w:type="dxa"/>
            <w:tcBorders>
              <w:top w:val="single" w:sz="4" w:space="0" w:color="FFFFFF"/>
              <w:left w:val="single" w:sz="4" w:space="0" w:color="FFFFFF"/>
              <w:bottom w:val="single" w:sz="4" w:space="0" w:color="FFFFFF"/>
            </w:tcBorders>
            <w:shd w:val="clear" w:color="auto" w:fill="C8E9E6"/>
          </w:tcPr>
          <w:p>
            <w:pPr>
              <w:pStyle w:val="TableParagraph"/>
              <w:rPr>
                <w:sz w:val="18"/>
              </w:rPr>
            </w:pPr>
          </w:p>
          <w:p>
            <w:pPr>
              <w:pStyle w:val="TableParagraph"/>
              <w:spacing w:before="4"/>
              <w:rPr>
                <w:sz w:val="16"/>
              </w:rPr>
            </w:pPr>
          </w:p>
          <w:p>
            <w:pPr>
              <w:pStyle w:val="TableParagraph"/>
              <w:spacing w:line="261" w:lineRule="auto"/>
              <w:ind w:left="108" w:right="257"/>
              <w:rPr>
                <w:sz w:val="15"/>
              </w:rPr>
            </w:pPr>
            <w:r>
              <w:rPr>
                <w:sz w:val="15"/>
              </w:rPr>
              <w:t>CTS-anlæg og sensorer</w:t>
            </w:r>
          </w:p>
        </w:tc>
        <w:tc>
          <w:tcPr>
            <w:tcW w:w="2553" w:type="dxa"/>
            <w:shd w:val="clear" w:color="auto" w:fill="C8E9E6"/>
          </w:tcPr>
          <w:p>
            <w:pPr>
              <w:pStyle w:val="TableParagraph"/>
              <w:numPr>
                <w:ilvl w:val="0"/>
                <w:numId w:val="38"/>
              </w:numPr>
              <w:tabs>
                <w:tab w:pos="284" w:val="left" w:leader="none"/>
              </w:tabs>
              <w:spacing w:line="266" w:lineRule="auto" w:before="17" w:after="0"/>
              <w:ind w:left="283" w:right="254" w:hanging="170"/>
              <w:jc w:val="left"/>
              <w:rPr>
                <w:sz w:val="15"/>
              </w:rPr>
            </w:pPr>
            <w:r>
              <w:rPr>
                <w:sz w:val="15"/>
              </w:rPr>
              <w:t>Inde-temperatur, CO</w:t>
            </w:r>
            <w:r>
              <w:rPr>
                <w:position w:val="5"/>
                <w:sz w:val="10"/>
              </w:rPr>
              <w:t>2</w:t>
            </w:r>
            <w:r>
              <w:rPr>
                <w:sz w:val="15"/>
              </w:rPr>
              <w:t>, be- lysning</w:t>
            </w:r>
            <w:r>
              <w:rPr>
                <w:spacing w:val="-2"/>
                <w:sz w:val="15"/>
              </w:rPr>
              <w:t> </w:t>
            </w:r>
            <w:r>
              <w:rPr>
                <w:sz w:val="15"/>
              </w:rPr>
              <w:t>mv.</w:t>
            </w:r>
          </w:p>
          <w:p>
            <w:pPr>
              <w:pStyle w:val="TableParagraph"/>
              <w:numPr>
                <w:ilvl w:val="0"/>
                <w:numId w:val="38"/>
              </w:numPr>
              <w:tabs>
                <w:tab w:pos="284" w:val="left" w:leader="none"/>
              </w:tabs>
              <w:spacing w:line="261" w:lineRule="auto" w:before="0" w:after="0"/>
              <w:ind w:left="283" w:right="133" w:hanging="170"/>
              <w:jc w:val="left"/>
              <w:rPr>
                <w:sz w:val="15"/>
              </w:rPr>
            </w:pPr>
            <w:r>
              <w:rPr>
                <w:sz w:val="15"/>
              </w:rPr>
              <w:t>Godt grundlag for driftsopti- mering</w:t>
            </w:r>
          </w:p>
          <w:p>
            <w:pPr>
              <w:pStyle w:val="TableParagraph"/>
              <w:numPr>
                <w:ilvl w:val="0"/>
                <w:numId w:val="38"/>
              </w:numPr>
              <w:tabs>
                <w:tab w:pos="284" w:val="left" w:leader="none"/>
              </w:tabs>
              <w:spacing w:line="240" w:lineRule="auto" w:before="0" w:after="0"/>
              <w:ind w:left="283" w:right="0" w:hanging="170"/>
              <w:jc w:val="left"/>
              <w:rPr>
                <w:sz w:val="15"/>
              </w:rPr>
            </w:pPr>
            <w:r>
              <w:rPr>
                <w:sz w:val="15"/>
              </w:rPr>
              <w:t>Potentiel udfordring</w:t>
            </w:r>
            <w:r>
              <w:rPr>
                <w:spacing w:val="-2"/>
                <w:sz w:val="15"/>
              </w:rPr>
              <w:t> </w:t>
            </w:r>
            <w:r>
              <w:rPr>
                <w:sz w:val="15"/>
              </w:rPr>
              <w:t>med</w:t>
            </w:r>
          </w:p>
          <w:p>
            <w:pPr>
              <w:pStyle w:val="TableParagraph"/>
              <w:spacing w:line="162" w:lineRule="exact" w:before="16"/>
              <w:ind w:left="283"/>
              <w:rPr>
                <w:sz w:val="15"/>
              </w:rPr>
            </w:pPr>
            <w:r>
              <w:rPr>
                <w:sz w:val="15"/>
              </w:rPr>
              <w:t>eksport af data</w:t>
            </w:r>
          </w:p>
        </w:tc>
        <w:tc>
          <w:tcPr>
            <w:tcW w:w="3403" w:type="dxa"/>
            <w:shd w:val="clear" w:color="auto" w:fill="C8E9E6"/>
          </w:tcPr>
          <w:p>
            <w:pPr>
              <w:pStyle w:val="TableParagraph"/>
              <w:spacing w:before="11"/>
              <w:rPr>
                <w:sz w:val="17"/>
              </w:rPr>
            </w:pPr>
          </w:p>
          <w:p>
            <w:pPr>
              <w:pStyle w:val="TableParagraph"/>
              <w:spacing w:line="264" w:lineRule="auto" w:before="1"/>
              <w:ind w:left="112" w:right="89"/>
              <w:rPr>
                <w:sz w:val="15"/>
              </w:rPr>
            </w:pPr>
            <w:r>
              <w:rPr>
                <w:sz w:val="15"/>
              </w:rPr>
              <w:t>Mulighed for detaljeret energistyring og overvågning af rum og bygningszoner og dermed forbedret grundlag for energiopti- mering</w:t>
            </w:r>
          </w:p>
        </w:tc>
        <w:tc>
          <w:tcPr>
            <w:tcW w:w="1556" w:type="dxa"/>
            <w:shd w:val="clear" w:color="auto" w:fill="C8E9E6"/>
          </w:tcPr>
          <w:p>
            <w:pPr>
              <w:pStyle w:val="TableParagraph"/>
              <w:rPr>
                <w:sz w:val="18"/>
              </w:rPr>
            </w:pPr>
          </w:p>
          <w:p>
            <w:pPr>
              <w:pStyle w:val="TableParagraph"/>
              <w:spacing w:before="8"/>
              <w:rPr>
                <w:sz w:val="24"/>
              </w:rPr>
            </w:pPr>
          </w:p>
          <w:p>
            <w:pPr>
              <w:pStyle w:val="TableParagraph"/>
              <w:ind w:left="112"/>
              <w:rPr>
                <w:sz w:val="15"/>
              </w:rPr>
            </w:pPr>
            <w:r>
              <w:rPr>
                <w:sz w:val="15"/>
              </w:rPr>
              <w:t>Stort</w:t>
            </w:r>
          </w:p>
        </w:tc>
      </w:tr>
      <w:tr>
        <w:trPr>
          <w:trHeight w:val="2201" w:hRule="atLeast"/>
        </w:trPr>
        <w:tc>
          <w:tcPr>
            <w:tcW w:w="1274" w:type="dxa"/>
            <w:tcBorders>
              <w:left w:val="single" w:sz="4" w:space="0" w:color="FFFFFF"/>
              <w:bottom w:val="single" w:sz="4" w:space="0" w:color="FFFFFF"/>
              <w:right w:val="single" w:sz="4" w:space="0" w:color="FFFFFF"/>
            </w:tcBorders>
            <w:shd w:val="clear" w:color="auto" w:fill="E2F3F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3"/>
              <w:ind w:left="107"/>
              <w:rPr>
                <w:sz w:val="15"/>
              </w:rPr>
            </w:pPr>
            <w:r>
              <w:rPr>
                <w:sz w:val="15"/>
              </w:rPr>
              <w:t>Driftsdata</w:t>
            </w:r>
          </w:p>
        </w:tc>
        <w:tc>
          <w:tcPr>
            <w:tcW w:w="1277" w:type="dxa"/>
            <w:tcBorders>
              <w:top w:val="single" w:sz="4" w:space="0" w:color="FFFFFF"/>
              <w:left w:val="single" w:sz="4" w:space="0" w:color="FFFFFF"/>
              <w:bottom w:val="single" w:sz="4" w:space="0" w:color="FFFFFF"/>
            </w:tcBorders>
            <w:shd w:val="clear" w:color="auto" w:fill="E2F3F0"/>
          </w:tcPr>
          <w:p>
            <w:pPr>
              <w:pStyle w:val="TableParagraph"/>
              <w:spacing w:before="1"/>
              <w:rPr>
                <w:sz w:val="26"/>
              </w:rPr>
            </w:pPr>
          </w:p>
          <w:p>
            <w:pPr>
              <w:pStyle w:val="TableParagraph"/>
              <w:spacing w:line="264" w:lineRule="auto"/>
              <w:ind w:left="108" w:right="222"/>
              <w:rPr>
                <w:sz w:val="15"/>
              </w:rPr>
            </w:pPr>
            <w:r>
              <w:rPr>
                <w:sz w:val="15"/>
              </w:rPr>
              <w:t>CTS-anlæg, målere og sensorer, vejrstation, data fra sty- reenhed i fx ventilations- anlæg</w:t>
            </w:r>
          </w:p>
        </w:tc>
        <w:tc>
          <w:tcPr>
            <w:tcW w:w="2553" w:type="dxa"/>
            <w:shd w:val="clear" w:color="auto" w:fill="E2F3F0"/>
          </w:tcPr>
          <w:p>
            <w:pPr>
              <w:pStyle w:val="TableParagraph"/>
              <w:numPr>
                <w:ilvl w:val="0"/>
                <w:numId w:val="39"/>
              </w:numPr>
              <w:tabs>
                <w:tab w:pos="284" w:val="left" w:leader="none"/>
              </w:tabs>
              <w:spacing w:line="266" w:lineRule="auto" w:before="17" w:after="0"/>
              <w:ind w:left="283" w:right="161" w:hanging="170"/>
              <w:jc w:val="left"/>
              <w:rPr>
                <w:sz w:val="15"/>
              </w:rPr>
            </w:pPr>
            <w:r>
              <w:rPr>
                <w:sz w:val="15"/>
              </w:rPr>
              <w:t>Luftmængder til enkelte zo- ner</w:t>
            </w:r>
          </w:p>
          <w:p>
            <w:pPr>
              <w:pStyle w:val="TableParagraph"/>
              <w:numPr>
                <w:ilvl w:val="0"/>
                <w:numId w:val="39"/>
              </w:numPr>
              <w:tabs>
                <w:tab w:pos="284" w:val="left" w:leader="none"/>
              </w:tabs>
              <w:spacing w:line="261" w:lineRule="auto" w:before="0" w:after="0"/>
              <w:ind w:left="283" w:right="324" w:hanging="170"/>
              <w:jc w:val="left"/>
              <w:rPr>
                <w:sz w:val="15"/>
              </w:rPr>
            </w:pPr>
            <w:r>
              <w:rPr>
                <w:sz w:val="15"/>
              </w:rPr>
              <w:t>Temperatur i indblæsning og</w:t>
            </w:r>
            <w:r>
              <w:rPr>
                <w:spacing w:val="-1"/>
                <w:sz w:val="15"/>
              </w:rPr>
              <w:t> </w:t>
            </w:r>
            <w:r>
              <w:rPr>
                <w:sz w:val="15"/>
              </w:rPr>
              <w:t>udsugning</w:t>
            </w:r>
          </w:p>
          <w:p>
            <w:pPr>
              <w:pStyle w:val="TableParagraph"/>
              <w:numPr>
                <w:ilvl w:val="0"/>
                <w:numId w:val="39"/>
              </w:numPr>
              <w:tabs>
                <w:tab w:pos="284" w:val="left" w:leader="none"/>
              </w:tabs>
              <w:spacing w:line="240" w:lineRule="auto" w:before="0" w:after="0"/>
              <w:ind w:left="283" w:right="0" w:hanging="170"/>
              <w:jc w:val="left"/>
              <w:rPr>
                <w:sz w:val="15"/>
              </w:rPr>
            </w:pPr>
            <w:r>
              <w:rPr>
                <w:sz w:val="15"/>
              </w:rPr>
              <w:t>Varmegenvindingsgrad</w:t>
            </w:r>
          </w:p>
          <w:p>
            <w:pPr>
              <w:pStyle w:val="TableParagraph"/>
              <w:numPr>
                <w:ilvl w:val="0"/>
                <w:numId w:val="39"/>
              </w:numPr>
              <w:tabs>
                <w:tab w:pos="284" w:val="left" w:leader="none"/>
              </w:tabs>
              <w:spacing w:line="261" w:lineRule="auto" w:before="17" w:after="0"/>
              <w:ind w:left="283" w:right="148" w:hanging="170"/>
              <w:jc w:val="left"/>
              <w:rPr>
                <w:sz w:val="15"/>
              </w:rPr>
            </w:pPr>
            <w:r>
              <w:rPr>
                <w:sz w:val="15"/>
              </w:rPr>
              <w:t>Frem- og returtemperaturer i</w:t>
            </w:r>
            <w:r>
              <w:rPr>
                <w:spacing w:val="1"/>
                <w:sz w:val="15"/>
              </w:rPr>
              <w:t> </w:t>
            </w:r>
            <w:r>
              <w:rPr>
                <w:sz w:val="15"/>
              </w:rPr>
              <w:t>varmeanlæg</w:t>
            </w:r>
          </w:p>
          <w:p>
            <w:pPr>
              <w:pStyle w:val="TableParagraph"/>
              <w:numPr>
                <w:ilvl w:val="0"/>
                <w:numId w:val="39"/>
              </w:numPr>
              <w:tabs>
                <w:tab w:pos="284" w:val="left" w:leader="none"/>
              </w:tabs>
              <w:spacing w:line="261" w:lineRule="auto" w:before="3" w:after="0"/>
              <w:ind w:left="283" w:right="344" w:hanging="170"/>
              <w:jc w:val="left"/>
              <w:rPr>
                <w:sz w:val="15"/>
              </w:rPr>
            </w:pPr>
            <w:r>
              <w:rPr>
                <w:sz w:val="15"/>
              </w:rPr>
              <w:t>Temperaturer i varmt brugsvand, cirkulation og beholder</w:t>
            </w:r>
          </w:p>
          <w:p>
            <w:pPr>
              <w:pStyle w:val="TableParagraph"/>
              <w:numPr>
                <w:ilvl w:val="0"/>
                <w:numId w:val="39"/>
              </w:numPr>
              <w:tabs>
                <w:tab w:pos="284" w:val="left" w:leader="none"/>
              </w:tabs>
              <w:spacing w:line="162" w:lineRule="exact" w:before="4" w:after="0"/>
              <w:ind w:left="283" w:right="0" w:hanging="170"/>
              <w:jc w:val="left"/>
              <w:rPr>
                <w:sz w:val="15"/>
              </w:rPr>
            </w:pPr>
            <w:r>
              <w:rPr>
                <w:sz w:val="15"/>
              </w:rPr>
              <w:t>afkøling</w:t>
            </w:r>
          </w:p>
        </w:tc>
        <w:tc>
          <w:tcPr>
            <w:tcW w:w="3403" w:type="dxa"/>
            <w:shd w:val="clear" w:color="auto" w:fill="E2F3F0"/>
          </w:tcPr>
          <w:p>
            <w:pPr>
              <w:pStyle w:val="TableParagraph"/>
              <w:rPr>
                <w:sz w:val="18"/>
              </w:rPr>
            </w:pPr>
          </w:p>
          <w:p>
            <w:pPr>
              <w:pStyle w:val="TableParagraph"/>
              <w:rPr>
                <w:sz w:val="18"/>
              </w:rPr>
            </w:pPr>
          </w:p>
          <w:p>
            <w:pPr>
              <w:pStyle w:val="TableParagraph"/>
              <w:spacing w:before="1"/>
              <w:rPr>
                <w:sz w:val="23"/>
              </w:rPr>
            </w:pPr>
          </w:p>
          <w:p>
            <w:pPr>
              <w:pStyle w:val="TableParagraph"/>
              <w:spacing w:line="264" w:lineRule="auto"/>
              <w:ind w:left="112" w:right="253"/>
              <w:rPr>
                <w:sz w:val="15"/>
              </w:rPr>
            </w:pPr>
            <w:r>
              <w:rPr>
                <w:sz w:val="15"/>
              </w:rPr>
              <w:t>Mulighed for optimeret styring af bl.a. ventilations- og varmeanlæg og dermed forbedret grundlag for energioptimering og optimering af indeklimaet.</w:t>
            </w:r>
          </w:p>
        </w:tc>
        <w:tc>
          <w:tcPr>
            <w:tcW w:w="1556" w:type="dxa"/>
            <w:shd w:val="clear" w:color="auto" w:fill="E2F3F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3"/>
              <w:ind w:left="112"/>
              <w:rPr>
                <w:sz w:val="15"/>
              </w:rPr>
            </w:pPr>
            <w:r>
              <w:rPr>
                <w:sz w:val="15"/>
              </w:rPr>
              <w:t>Stort</w:t>
            </w:r>
          </w:p>
        </w:tc>
      </w:tr>
      <w:tr>
        <w:trPr>
          <w:trHeight w:val="1000" w:hRule="atLeast"/>
        </w:trPr>
        <w:tc>
          <w:tcPr>
            <w:tcW w:w="1274" w:type="dxa"/>
            <w:tcBorders>
              <w:top w:val="single" w:sz="4" w:space="0" w:color="FFFFFF"/>
              <w:left w:val="single" w:sz="4" w:space="0" w:color="FFFFFF"/>
              <w:bottom w:val="single" w:sz="4" w:space="0" w:color="FFFFFF"/>
              <w:right w:val="single" w:sz="4" w:space="0" w:color="FFFFFF"/>
            </w:tcBorders>
            <w:shd w:val="clear" w:color="auto" w:fill="C8E9E6"/>
          </w:tcPr>
          <w:p>
            <w:pPr>
              <w:pStyle w:val="TableParagraph"/>
              <w:spacing w:before="11"/>
              <w:rPr>
                <w:sz w:val="17"/>
              </w:rPr>
            </w:pPr>
          </w:p>
          <w:p>
            <w:pPr>
              <w:pStyle w:val="TableParagraph"/>
              <w:spacing w:line="261" w:lineRule="auto" w:before="1"/>
              <w:ind w:left="107" w:right="97"/>
              <w:rPr>
                <w:sz w:val="15"/>
              </w:rPr>
            </w:pPr>
            <w:r>
              <w:rPr>
                <w:sz w:val="15"/>
              </w:rPr>
              <w:t>Aktivitetsdata og anvendel- sesdata</w:t>
            </w:r>
          </w:p>
        </w:tc>
        <w:tc>
          <w:tcPr>
            <w:tcW w:w="1277" w:type="dxa"/>
            <w:tcBorders>
              <w:top w:val="single" w:sz="4" w:space="0" w:color="FFFFFF"/>
              <w:left w:val="single" w:sz="4" w:space="0" w:color="FFFFFF"/>
              <w:bottom w:val="single" w:sz="4" w:space="0" w:color="FFFFFF"/>
            </w:tcBorders>
            <w:shd w:val="clear" w:color="auto" w:fill="C8E9E6"/>
          </w:tcPr>
          <w:p>
            <w:pPr>
              <w:pStyle w:val="TableParagraph"/>
              <w:spacing w:line="264" w:lineRule="auto" w:before="117"/>
              <w:ind w:left="108" w:right="106"/>
              <w:rPr>
                <w:sz w:val="15"/>
              </w:rPr>
            </w:pPr>
            <w:r>
              <w:rPr>
                <w:sz w:val="15"/>
              </w:rPr>
              <w:t>Evt. fra med- arbejdere, sensorer, FM- systemer</w:t>
            </w:r>
          </w:p>
        </w:tc>
        <w:tc>
          <w:tcPr>
            <w:tcW w:w="2553" w:type="dxa"/>
            <w:shd w:val="clear" w:color="auto" w:fill="C8E9E6"/>
          </w:tcPr>
          <w:p>
            <w:pPr>
              <w:pStyle w:val="TableParagraph"/>
              <w:numPr>
                <w:ilvl w:val="0"/>
                <w:numId w:val="40"/>
              </w:numPr>
              <w:tabs>
                <w:tab w:pos="284" w:val="left" w:leader="none"/>
              </w:tabs>
              <w:spacing w:line="264" w:lineRule="auto" w:before="17" w:after="0"/>
              <w:ind w:left="283" w:right="137" w:hanging="170"/>
              <w:jc w:val="left"/>
              <w:rPr>
                <w:sz w:val="15"/>
              </w:rPr>
            </w:pPr>
            <w:r>
              <w:rPr>
                <w:sz w:val="15"/>
              </w:rPr>
              <w:t>Opgørelser over anvendelse og aktivitetsintensitet i byg- ningszoner, fx antal bru- gere, patienter, elever</w:t>
            </w:r>
            <w:r>
              <w:rPr>
                <w:spacing w:val="-9"/>
                <w:sz w:val="15"/>
              </w:rPr>
              <w:t> </w:t>
            </w:r>
            <w:r>
              <w:rPr>
                <w:sz w:val="15"/>
              </w:rPr>
              <w:t>mv.</w:t>
            </w:r>
          </w:p>
          <w:p>
            <w:pPr>
              <w:pStyle w:val="TableParagraph"/>
              <w:numPr>
                <w:ilvl w:val="0"/>
                <w:numId w:val="40"/>
              </w:numPr>
              <w:tabs>
                <w:tab w:pos="284" w:val="left" w:leader="none"/>
              </w:tabs>
              <w:spacing w:line="161" w:lineRule="exact" w:before="0" w:after="0"/>
              <w:ind w:left="283" w:right="0" w:hanging="170"/>
              <w:jc w:val="left"/>
              <w:rPr>
                <w:sz w:val="15"/>
              </w:rPr>
            </w:pPr>
            <w:r>
              <w:rPr>
                <w:sz w:val="15"/>
              </w:rPr>
              <w:t>Data findes ofte</w:t>
            </w:r>
            <w:r>
              <w:rPr>
                <w:spacing w:val="-3"/>
                <w:sz w:val="15"/>
              </w:rPr>
              <w:t> </w:t>
            </w:r>
            <w:r>
              <w:rPr>
                <w:sz w:val="15"/>
              </w:rPr>
              <w:t>ikke</w:t>
            </w:r>
          </w:p>
        </w:tc>
        <w:tc>
          <w:tcPr>
            <w:tcW w:w="3403" w:type="dxa"/>
            <w:shd w:val="clear" w:color="auto" w:fill="C8E9E6"/>
          </w:tcPr>
          <w:p>
            <w:pPr>
              <w:pStyle w:val="TableParagraph"/>
              <w:spacing w:line="264" w:lineRule="auto" w:before="117"/>
              <w:ind w:left="112" w:right="309"/>
              <w:rPr>
                <w:sz w:val="15"/>
              </w:rPr>
            </w:pPr>
            <w:r>
              <w:rPr>
                <w:sz w:val="15"/>
              </w:rPr>
              <w:t>Hvis der kan produceres aktivitetsdata ved samkøring af lokalitets- og sensor- data, mv. kan der etableres et data- grundlag for arealoptimering</w:t>
            </w:r>
          </w:p>
        </w:tc>
        <w:tc>
          <w:tcPr>
            <w:tcW w:w="1556" w:type="dxa"/>
            <w:shd w:val="clear" w:color="auto" w:fill="C8E9E6"/>
          </w:tcPr>
          <w:p>
            <w:pPr>
              <w:pStyle w:val="TableParagraph"/>
              <w:rPr>
                <w:sz w:val="18"/>
              </w:rPr>
            </w:pPr>
          </w:p>
          <w:p>
            <w:pPr>
              <w:pStyle w:val="TableParagraph"/>
              <w:spacing w:before="4"/>
              <w:rPr>
                <w:sz w:val="16"/>
              </w:rPr>
            </w:pPr>
          </w:p>
          <w:p>
            <w:pPr>
              <w:pStyle w:val="TableParagraph"/>
              <w:ind w:left="112"/>
              <w:rPr>
                <w:sz w:val="15"/>
              </w:rPr>
            </w:pPr>
            <w:r>
              <w:rPr>
                <w:sz w:val="15"/>
              </w:rPr>
              <w:t>Middel</w:t>
            </w:r>
          </w:p>
        </w:tc>
      </w:tr>
      <w:tr>
        <w:trPr>
          <w:trHeight w:val="801" w:hRule="atLeast"/>
        </w:trPr>
        <w:tc>
          <w:tcPr>
            <w:tcW w:w="1274" w:type="dxa"/>
            <w:tcBorders>
              <w:top w:val="single" w:sz="4" w:space="0" w:color="FFFFFF"/>
              <w:left w:val="single" w:sz="4" w:space="0" w:color="FFFFFF"/>
              <w:bottom w:val="single" w:sz="4" w:space="0" w:color="FFFFFF"/>
              <w:right w:val="single" w:sz="4" w:space="0" w:color="FFFFFF"/>
            </w:tcBorders>
            <w:shd w:val="clear" w:color="auto" w:fill="E2F3F0"/>
          </w:tcPr>
          <w:p>
            <w:pPr>
              <w:pStyle w:val="TableParagraph"/>
              <w:spacing w:before="1"/>
              <w:rPr>
                <w:sz w:val="26"/>
              </w:rPr>
            </w:pPr>
          </w:p>
          <w:p>
            <w:pPr>
              <w:pStyle w:val="TableParagraph"/>
              <w:ind w:left="107"/>
              <w:rPr>
                <w:sz w:val="15"/>
              </w:rPr>
            </w:pPr>
            <w:r>
              <w:rPr>
                <w:sz w:val="15"/>
              </w:rPr>
              <w:t>Erfaringsdata</w:t>
            </w:r>
          </w:p>
        </w:tc>
        <w:tc>
          <w:tcPr>
            <w:tcW w:w="1277" w:type="dxa"/>
            <w:tcBorders>
              <w:top w:val="single" w:sz="4" w:space="0" w:color="FFFFFF"/>
              <w:left w:val="single" w:sz="4" w:space="0" w:color="FFFFFF"/>
              <w:bottom w:val="single" w:sz="4" w:space="0" w:color="FFFFFF"/>
            </w:tcBorders>
            <w:shd w:val="clear" w:color="auto" w:fill="E2F3F0"/>
          </w:tcPr>
          <w:p>
            <w:pPr>
              <w:pStyle w:val="TableParagraph"/>
              <w:spacing w:before="1"/>
              <w:rPr>
                <w:sz w:val="26"/>
              </w:rPr>
            </w:pPr>
          </w:p>
          <w:p>
            <w:pPr>
              <w:pStyle w:val="TableParagraph"/>
              <w:ind w:left="108"/>
              <w:rPr>
                <w:sz w:val="15"/>
              </w:rPr>
            </w:pPr>
            <w:r>
              <w:rPr>
                <w:sz w:val="15"/>
              </w:rPr>
              <w:t>Medarbejdere</w:t>
            </w:r>
          </w:p>
        </w:tc>
        <w:tc>
          <w:tcPr>
            <w:tcW w:w="2553" w:type="dxa"/>
            <w:shd w:val="clear" w:color="auto" w:fill="E2F3F0"/>
          </w:tcPr>
          <w:p>
            <w:pPr>
              <w:pStyle w:val="TableParagraph"/>
              <w:spacing w:line="264" w:lineRule="auto" w:before="17"/>
              <w:ind w:left="283" w:right="99" w:hanging="171"/>
              <w:rPr>
                <w:sz w:val="15"/>
              </w:rPr>
            </w:pPr>
            <w:r>
              <w:rPr>
                <w:sz w:val="15"/>
              </w:rPr>
              <w:t>- Knowhow og lokalt kend- skab fra daglig drift, besigti- gelser, dialog med brugerne</w:t>
            </w:r>
          </w:p>
          <w:p>
            <w:pPr>
              <w:pStyle w:val="TableParagraph"/>
              <w:spacing w:line="163" w:lineRule="exact"/>
              <w:ind w:left="283"/>
              <w:rPr>
                <w:sz w:val="15"/>
              </w:rPr>
            </w:pPr>
            <w:r>
              <w:rPr>
                <w:sz w:val="15"/>
              </w:rPr>
              <w:t>mv.</w:t>
            </w:r>
          </w:p>
        </w:tc>
        <w:tc>
          <w:tcPr>
            <w:tcW w:w="3403" w:type="dxa"/>
            <w:shd w:val="clear" w:color="auto" w:fill="E2F3F0"/>
          </w:tcPr>
          <w:p>
            <w:pPr>
              <w:pStyle w:val="TableParagraph"/>
              <w:spacing w:before="9"/>
              <w:rPr>
                <w:sz w:val="17"/>
              </w:rPr>
            </w:pPr>
          </w:p>
          <w:p>
            <w:pPr>
              <w:pStyle w:val="TableParagraph"/>
              <w:spacing w:line="266" w:lineRule="auto" w:before="1"/>
              <w:ind w:left="112" w:right="208"/>
              <w:rPr>
                <w:sz w:val="15"/>
              </w:rPr>
            </w:pPr>
            <w:r>
              <w:rPr>
                <w:sz w:val="15"/>
              </w:rPr>
              <w:t>Der er mulighed for at systematisere er- faringsdata på rumniveau</w:t>
            </w:r>
          </w:p>
        </w:tc>
        <w:tc>
          <w:tcPr>
            <w:tcW w:w="1556" w:type="dxa"/>
            <w:shd w:val="clear" w:color="auto" w:fill="E2F3F0"/>
          </w:tcPr>
          <w:p>
            <w:pPr>
              <w:pStyle w:val="TableParagraph"/>
              <w:spacing w:before="1"/>
              <w:rPr>
                <w:sz w:val="26"/>
              </w:rPr>
            </w:pPr>
          </w:p>
          <w:p>
            <w:pPr>
              <w:pStyle w:val="TableParagraph"/>
              <w:ind w:left="112"/>
              <w:rPr>
                <w:sz w:val="15"/>
              </w:rPr>
            </w:pPr>
            <w:r>
              <w:rPr>
                <w:sz w:val="15"/>
              </w:rPr>
              <w:t>Middel</w:t>
            </w:r>
          </w:p>
        </w:tc>
      </w:tr>
    </w:tbl>
    <w:p>
      <w:pPr>
        <w:spacing w:after="0"/>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418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8"/>
        </w:r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5"/>
        <w:gridCol w:w="1276"/>
        <w:gridCol w:w="2552"/>
        <w:gridCol w:w="3402"/>
        <w:gridCol w:w="1555"/>
      </w:tblGrid>
      <w:tr>
        <w:trPr>
          <w:trHeight w:val="218" w:hRule="atLeast"/>
        </w:trPr>
        <w:tc>
          <w:tcPr>
            <w:tcW w:w="10060" w:type="dxa"/>
            <w:gridSpan w:val="5"/>
            <w:tcBorders>
              <w:top w:val="single" w:sz="4" w:space="0" w:color="FFFFFF"/>
              <w:left w:val="single" w:sz="4" w:space="0" w:color="FFFFFF"/>
              <w:bottom w:val="single" w:sz="4" w:space="0" w:color="FFFFFF"/>
            </w:tcBorders>
            <w:shd w:val="clear" w:color="auto" w:fill="2C647C"/>
          </w:tcPr>
          <w:p>
            <w:pPr>
              <w:pStyle w:val="TableParagraph"/>
              <w:spacing w:line="197" w:lineRule="exact" w:before="1"/>
              <w:ind w:left="4062" w:right="4052"/>
              <w:jc w:val="center"/>
              <w:rPr>
                <w:b/>
                <w:sz w:val="18"/>
              </w:rPr>
            </w:pPr>
            <w:r>
              <w:rPr>
                <w:b/>
                <w:color w:val="FFFFFF"/>
                <w:sz w:val="18"/>
              </w:rPr>
              <w:t>FORSYNINGSDATA</w:t>
            </w:r>
          </w:p>
        </w:tc>
      </w:tr>
      <w:tr>
        <w:trPr>
          <w:trHeight w:val="400" w:hRule="atLeast"/>
        </w:trPr>
        <w:tc>
          <w:tcPr>
            <w:tcW w:w="10060" w:type="dxa"/>
            <w:gridSpan w:val="5"/>
            <w:tcBorders>
              <w:top w:val="single" w:sz="4" w:space="0" w:color="FFFFFF"/>
              <w:bottom w:val="single" w:sz="4" w:space="0" w:color="FFFFFF"/>
            </w:tcBorders>
          </w:tcPr>
          <w:p>
            <w:pPr>
              <w:pStyle w:val="TableParagraph"/>
              <w:ind w:left="-1" w:right="-72"/>
              <w:rPr>
                <w:sz w:val="20"/>
              </w:rPr>
            </w:pPr>
            <w:r>
              <w:rPr>
                <w:sz w:val="20"/>
              </w:rPr>
              <w:pict>
                <v:group style="width:503.4pt;height:20.05pt;mso-position-horizontal-relative:char;mso-position-vertical-relative:line" coordorigin="0,0" coordsize="10068,401">
                  <v:rect style="position:absolute;left:9;top:0;width:10058;height:401" filled="true" fillcolor="#ffffff" stroked="false">
                    <v:fill type="solid"/>
                  </v:rect>
                  <v:rect style="position:absolute;left:112;top:0;width:9852;height:202" filled="true" fillcolor="#ffffff" stroked="false">
                    <v:fill type="solid"/>
                  </v:rect>
                  <v:rect style="position:absolute;left:112;top:201;width:9852;height:200" filled="true" fillcolor="#ffffff" stroked="false">
                    <v:fill type="solid"/>
                  </v:rect>
                  <v:line style="position:absolute" from="5,0" to="5,401" stroked="true" strokeweight=".48pt" strokecolor="#ffffff">
                    <v:stroke dashstyle="solid"/>
                  </v:line>
                </v:group>
              </w:pict>
            </w:r>
            <w:r>
              <w:rPr>
                <w:sz w:val="20"/>
              </w:rPr>
            </w:r>
          </w:p>
        </w:tc>
      </w:tr>
      <w:tr>
        <w:trPr>
          <w:trHeight w:val="172" w:hRule="atLeast"/>
        </w:trPr>
        <w:tc>
          <w:tcPr>
            <w:tcW w:w="10060" w:type="dxa"/>
            <w:gridSpan w:val="5"/>
            <w:tcBorders>
              <w:top w:val="single" w:sz="4" w:space="0" w:color="FFFFFF"/>
              <w:left w:val="single" w:sz="4" w:space="0" w:color="FFFFFF"/>
            </w:tcBorders>
            <w:shd w:val="clear" w:color="auto" w:fill="2C647C"/>
          </w:tcPr>
          <w:p>
            <w:pPr>
              <w:pStyle w:val="TableParagraph"/>
              <w:spacing w:line="153" w:lineRule="exact"/>
              <w:ind w:left="4061" w:right="4052"/>
              <w:jc w:val="center"/>
              <w:rPr>
                <w:b/>
                <w:sz w:val="18"/>
              </w:rPr>
            </w:pPr>
            <w:r>
              <w:rPr>
                <w:b/>
                <w:color w:val="FFFFFF"/>
                <w:sz w:val="18"/>
              </w:rPr>
              <w:t>FASTE DATA</w:t>
            </w:r>
          </w:p>
        </w:tc>
      </w:tr>
      <w:tr>
        <w:trPr>
          <w:trHeight w:val="602" w:hRule="atLeast"/>
        </w:trPr>
        <w:tc>
          <w:tcPr>
            <w:tcW w:w="1275" w:type="dxa"/>
            <w:tcBorders>
              <w:top w:val="single" w:sz="4" w:space="0" w:color="FFFFFF"/>
              <w:left w:val="single" w:sz="4" w:space="0" w:color="FFFFFF"/>
              <w:right w:val="single" w:sz="4" w:space="0" w:color="FFFFFF"/>
            </w:tcBorders>
            <w:shd w:val="clear" w:color="auto" w:fill="C8E9E6"/>
          </w:tcPr>
          <w:p>
            <w:pPr>
              <w:pStyle w:val="TableParagraph"/>
              <w:spacing w:before="11"/>
              <w:rPr>
                <w:sz w:val="17"/>
              </w:rPr>
            </w:pPr>
          </w:p>
          <w:p>
            <w:pPr>
              <w:pStyle w:val="TableParagraph"/>
              <w:spacing w:before="1"/>
              <w:ind w:left="107"/>
              <w:rPr>
                <w:b/>
                <w:sz w:val="15"/>
              </w:rPr>
            </w:pPr>
            <w:r>
              <w:rPr>
                <w:b/>
                <w:sz w:val="15"/>
              </w:rPr>
              <w:t>DATATYPE</w:t>
            </w:r>
          </w:p>
        </w:tc>
        <w:tc>
          <w:tcPr>
            <w:tcW w:w="1276" w:type="dxa"/>
            <w:tcBorders>
              <w:top w:val="single" w:sz="4" w:space="0" w:color="FFFFFF"/>
              <w:left w:val="single" w:sz="4" w:space="0" w:color="FFFFFF"/>
              <w:bottom w:val="single" w:sz="4" w:space="0" w:color="FFFFFF"/>
            </w:tcBorders>
            <w:shd w:val="clear" w:color="auto" w:fill="C8E9E6"/>
          </w:tcPr>
          <w:p>
            <w:pPr>
              <w:pStyle w:val="TableParagraph"/>
              <w:spacing w:before="11"/>
              <w:rPr>
                <w:sz w:val="17"/>
              </w:rPr>
            </w:pPr>
          </w:p>
          <w:p>
            <w:pPr>
              <w:pStyle w:val="TableParagraph"/>
              <w:spacing w:before="1"/>
              <w:ind w:left="107"/>
              <w:rPr>
                <w:b/>
                <w:sz w:val="15"/>
              </w:rPr>
            </w:pPr>
            <w:r>
              <w:rPr>
                <w:b/>
                <w:sz w:val="15"/>
              </w:rPr>
              <w:t>DATAKILDE</w:t>
            </w:r>
          </w:p>
        </w:tc>
        <w:tc>
          <w:tcPr>
            <w:tcW w:w="2552" w:type="dxa"/>
            <w:shd w:val="clear" w:color="auto" w:fill="C8E9E6"/>
          </w:tcPr>
          <w:p>
            <w:pPr>
              <w:pStyle w:val="TableParagraph"/>
              <w:spacing w:before="11"/>
              <w:rPr>
                <w:sz w:val="17"/>
              </w:rPr>
            </w:pPr>
          </w:p>
          <w:p>
            <w:pPr>
              <w:pStyle w:val="TableParagraph"/>
              <w:spacing w:before="1"/>
              <w:ind w:left="113"/>
              <w:rPr>
                <w:b/>
                <w:sz w:val="15"/>
              </w:rPr>
            </w:pPr>
            <w:r>
              <w:rPr>
                <w:b/>
                <w:sz w:val="15"/>
              </w:rPr>
              <w:t>BESKRIVELSE</w:t>
            </w:r>
          </w:p>
        </w:tc>
        <w:tc>
          <w:tcPr>
            <w:tcW w:w="3402" w:type="dxa"/>
            <w:shd w:val="clear" w:color="auto" w:fill="C8E9E6"/>
          </w:tcPr>
          <w:p>
            <w:pPr>
              <w:pStyle w:val="TableParagraph"/>
              <w:spacing w:line="200" w:lineRule="atLeast" w:before="1"/>
              <w:ind w:left="113" w:right="191"/>
              <w:rPr>
                <w:b/>
                <w:sz w:val="15"/>
              </w:rPr>
            </w:pPr>
            <w:r>
              <w:rPr>
                <w:b/>
                <w:sz w:val="15"/>
              </w:rPr>
              <w:t>ANVENDELSESMULIGHED VED REFE- RENCE TIL INDENDØRS NATIONALE STEDDATABASE</w:t>
            </w:r>
          </w:p>
        </w:tc>
        <w:tc>
          <w:tcPr>
            <w:tcW w:w="1555" w:type="dxa"/>
            <w:shd w:val="clear" w:color="auto" w:fill="C8E9E6"/>
          </w:tcPr>
          <w:p>
            <w:pPr>
              <w:pStyle w:val="TableParagraph"/>
              <w:spacing w:line="266" w:lineRule="auto" w:before="117"/>
              <w:ind w:left="114" w:right="123"/>
              <w:rPr>
                <w:b/>
                <w:sz w:val="15"/>
              </w:rPr>
            </w:pPr>
            <w:r>
              <w:rPr>
                <w:b/>
                <w:sz w:val="15"/>
              </w:rPr>
              <w:t>ANVENDELSES- POTENTIALE</w:t>
            </w:r>
          </w:p>
        </w:tc>
      </w:tr>
      <w:tr>
        <w:trPr>
          <w:trHeight w:val="1199" w:hRule="atLeast"/>
        </w:trPr>
        <w:tc>
          <w:tcPr>
            <w:tcW w:w="1275" w:type="dxa"/>
            <w:vMerge w:val="restart"/>
            <w:tcBorders>
              <w:left w:val="single" w:sz="4" w:space="0" w:color="FFFFFF"/>
              <w:right w:val="single" w:sz="4" w:space="0" w:color="FFFFFF"/>
            </w:tcBorders>
            <w:shd w:val="clear" w:color="auto" w:fill="E2F3F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20"/>
              </w:rPr>
            </w:pPr>
          </w:p>
          <w:p>
            <w:pPr>
              <w:pStyle w:val="TableParagraph"/>
              <w:spacing w:before="1"/>
              <w:ind w:left="107"/>
              <w:rPr>
                <w:sz w:val="15"/>
              </w:rPr>
            </w:pPr>
            <w:r>
              <w:rPr>
                <w:sz w:val="15"/>
              </w:rPr>
              <w:t>Bygningsdata</w:t>
            </w:r>
          </w:p>
        </w:tc>
        <w:tc>
          <w:tcPr>
            <w:tcW w:w="1276" w:type="dxa"/>
            <w:tcBorders>
              <w:top w:val="single" w:sz="4" w:space="0" w:color="FFFFFF"/>
              <w:left w:val="single" w:sz="4" w:space="0" w:color="FFFFFF"/>
              <w:bottom w:val="single" w:sz="4" w:space="0" w:color="FFFFFF"/>
            </w:tcBorders>
            <w:shd w:val="clear" w:color="auto" w:fill="E2F3F0"/>
          </w:tcPr>
          <w:p>
            <w:pPr>
              <w:pStyle w:val="TableParagraph"/>
              <w:rPr>
                <w:sz w:val="18"/>
              </w:rPr>
            </w:pPr>
          </w:p>
          <w:p>
            <w:pPr>
              <w:pStyle w:val="TableParagraph"/>
              <w:spacing w:before="5"/>
              <w:rPr>
                <w:sz w:val="24"/>
              </w:rPr>
            </w:pPr>
          </w:p>
          <w:p>
            <w:pPr>
              <w:pStyle w:val="TableParagraph"/>
              <w:ind w:left="107"/>
              <w:rPr>
                <w:sz w:val="15"/>
              </w:rPr>
            </w:pPr>
            <w:r>
              <w:rPr>
                <w:sz w:val="15"/>
              </w:rPr>
              <w:t>BBR</w:t>
            </w:r>
          </w:p>
        </w:tc>
        <w:tc>
          <w:tcPr>
            <w:tcW w:w="2552" w:type="dxa"/>
            <w:shd w:val="clear" w:color="auto" w:fill="E2F3F0"/>
          </w:tcPr>
          <w:p>
            <w:pPr>
              <w:pStyle w:val="TableParagraph"/>
              <w:numPr>
                <w:ilvl w:val="0"/>
                <w:numId w:val="41"/>
              </w:numPr>
              <w:tabs>
                <w:tab w:pos="284" w:val="left" w:leader="none"/>
              </w:tabs>
              <w:spacing w:line="264" w:lineRule="auto" w:before="17" w:after="0"/>
              <w:ind w:left="283" w:right="140" w:hanging="170"/>
              <w:jc w:val="left"/>
              <w:rPr>
                <w:sz w:val="15"/>
              </w:rPr>
            </w:pPr>
            <w:r>
              <w:rPr>
                <w:sz w:val="15"/>
              </w:rPr>
              <w:t>Opførelses år, ejerforhold, bygningstype, areal, anven- delse, energikilder, for- brugsdata</w:t>
            </w:r>
            <w:r>
              <w:rPr>
                <w:spacing w:val="-1"/>
                <w:sz w:val="15"/>
              </w:rPr>
              <w:t> </w:t>
            </w:r>
            <w:r>
              <w:rPr>
                <w:sz w:val="15"/>
              </w:rPr>
              <w:t>mv.</w:t>
            </w:r>
          </w:p>
          <w:p>
            <w:pPr>
              <w:pStyle w:val="TableParagraph"/>
              <w:numPr>
                <w:ilvl w:val="0"/>
                <w:numId w:val="41"/>
              </w:numPr>
              <w:tabs>
                <w:tab w:pos="284" w:val="left" w:leader="none"/>
              </w:tabs>
              <w:spacing w:line="179" w:lineRule="exact" w:before="0" w:after="0"/>
              <w:ind w:left="283" w:right="0" w:hanging="170"/>
              <w:jc w:val="left"/>
              <w:rPr>
                <w:sz w:val="15"/>
              </w:rPr>
            </w:pPr>
            <w:r>
              <w:rPr>
                <w:sz w:val="15"/>
              </w:rPr>
              <w:t>Potentielle udfordringer</w:t>
            </w:r>
            <w:r>
              <w:rPr>
                <w:spacing w:val="-9"/>
                <w:sz w:val="15"/>
              </w:rPr>
              <w:t> </w:t>
            </w:r>
            <w:r>
              <w:rPr>
                <w:sz w:val="15"/>
              </w:rPr>
              <w:t>med</w:t>
            </w:r>
          </w:p>
          <w:p>
            <w:pPr>
              <w:pStyle w:val="TableParagraph"/>
              <w:spacing w:line="164" w:lineRule="exact" w:before="17"/>
              <w:ind w:left="283"/>
              <w:rPr>
                <w:sz w:val="15"/>
              </w:rPr>
            </w:pPr>
            <w:r>
              <w:rPr>
                <w:sz w:val="15"/>
              </w:rPr>
              <w:t>datakvalitet</w:t>
            </w:r>
          </w:p>
        </w:tc>
        <w:tc>
          <w:tcPr>
            <w:tcW w:w="3402" w:type="dxa"/>
            <w:shd w:val="clear" w:color="auto" w:fill="E2F3F0"/>
          </w:tcPr>
          <w:p>
            <w:pPr>
              <w:pStyle w:val="TableParagraph"/>
              <w:spacing w:line="264" w:lineRule="auto" w:before="115"/>
              <w:ind w:left="113" w:right="281"/>
              <w:rPr>
                <w:sz w:val="15"/>
              </w:rPr>
            </w:pPr>
            <w:r>
              <w:rPr>
                <w:sz w:val="15"/>
              </w:rPr>
              <w:t>Mulighed for at sammenstille BBR-data vedr. arealer og egenskaber for rum og bygningszoner med forbrugsdata. Der- med er der grundlag for beregning af præcise lokale nøgletal mv.</w:t>
            </w:r>
          </w:p>
        </w:tc>
        <w:tc>
          <w:tcPr>
            <w:tcW w:w="1555" w:type="dxa"/>
            <w:shd w:val="clear" w:color="auto" w:fill="E2F3F0"/>
          </w:tcPr>
          <w:p>
            <w:pPr>
              <w:pStyle w:val="TableParagraph"/>
              <w:rPr>
                <w:sz w:val="18"/>
              </w:rPr>
            </w:pPr>
          </w:p>
          <w:p>
            <w:pPr>
              <w:pStyle w:val="TableParagraph"/>
              <w:spacing w:before="5"/>
              <w:rPr>
                <w:sz w:val="24"/>
              </w:rPr>
            </w:pPr>
          </w:p>
          <w:p>
            <w:pPr>
              <w:pStyle w:val="TableParagraph"/>
              <w:ind w:left="114"/>
              <w:rPr>
                <w:sz w:val="15"/>
              </w:rPr>
            </w:pPr>
            <w:r>
              <w:rPr>
                <w:sz w:val="15"/>
              </w:rPr>
              <w:t>Middel til stort</w:t>
            </w:r>
          </w:p>
        </w:tc>
      </w:tr>
      <w:tr>
        <w:trPr>
          <w:trHeight w:val="1200" w:hRule="atLeast"/>
        </w:trPr>
        <w:tc>
          <w:tcPr>
            <w:tcW w:w="1275" w:type="dxa"/>
            <w:vMerge/>
            <w:tcBorders>
              <w:top w:val="nil"/>
              <w:left w:val="single" w:sz="4" w:space="0" w:color="FFFFFF"/>
              <w:right w:val="single" w:sz="4" w:space="0" w:color="FFFFFF"/>
            </w:tcBorders>
            <w:shd w:val="clear" w:color="auto" w:fill="E2F3F0"/>
          </w:tcPr>
          <w:p>
            <w:pPr>
              <w:rPr>
                <w:sz w:val="2"/>
                <w:szCs w:val="2"/>
              </w:rPr>
            </w:pPr>
          </w:p>
        </w:tc>
        <w:tc>
          <w:tcPr>
            <w:tcW w:w="1276" w:type="dxa"/>
            <w:tcBorders>
              <w:top w:val="single" w:sz="4" w:space="0" w:color="FFFFFF"/>
              <w:left w:val="single" w:sz="4" w:space="0" w:color="FFFFFF"/>
              <w:bottom w:val="single" w:sz="4" w:space="0" w:color="FFFFFF"/>
            </w:tcBorders>
            <w:shd w:val="clear" w:color="auto" w:fill="C8E9E6"/>
          </w:tcPr>
          <w:p>
            <w:pPr>
              <w:pStyle w:val="TableParagraph"/>
              <w:rPr>
                <w:sz w:val="18"/>
              </w:rPr>
            </w:pPr>
          </w:p>
          <w:p>
            <w:pPr>
              <w:pStyle w:val="TableParagraph"/>
              <w:spacing w:before="5"/>
              <w:rPr>
                <w:sz w:val="16"/>
              </w:rPr>
            </w:pPr>
          </w:p>
          <w:p>
            <w:pPr>
              <w:pStyle w:val="TableParagraph"/>
              <w:spacing w:line="261" w:lineRule="auto"/>
              <w:ind w:left="107" w:right="162"/>
              <w:rPr>
                <w:sz w:val="15"/>
              </w:rPr>
            </w:pPr>
            <w:r>
              <w:rPr>
                <w:sz w:val="15"/>
              </w:rPr>
              <w:t>Kommunen / regionen</w:t>
            </w:r>
          </w:p>
        </w:tc>
        <w:tc>
          <w:tcPr>
            <w:tcW w:w="2552" w:type="dxa"/>
            <w:shd w:val="clear" w:color="auto" w:fill="C8E9E6"/>
          </w:tcPr>
          <w:p>
            <w:pPr>
              <w:pStyle w:val="TableParagraph"/>
              <w:numPr>
                <w:ilvl w:val="0"/>
                <w:numId w:val="42"/>
              </w:numPr>
              <w:tabs>
                <w:tab w:pos="284" w:val="left" w:leader="none"/>
              </w:tabs>
              <w:spacing w:line="264" w:lineRule="auto" w:before="17" w:after="0"/>
              <w:ind w:left="283" w:right="261" w:hanging="170"/>
              <w:jc w:val="left"/>
              <w:rPr>
                <w:sz w:val="15"/>
              </w:rPr>
            </w:pPr>
            <w:r>
              <w:rPr>
                <w:sz w:val="15"/>
              </w:rPr>
              <w:t>Egne opgørelser over byg- ninger og</w:t>
            </w:r>
            <w:r>
              <w:rPr>
                <w:spacing w:val="-2"/>
                <w:sz w:val="15"/>
              </w:rPr>
              <w:t> </w:t>
            </w:r>
            <w:r>
              <w:rPr>
                <w:sz w:val="15"/>
              </w:rPr>
              <w:t>drift</w:t>
            </w:r>
          </w:p>
          <w:p>
            <w:pPr>
              <w:pStyle w:val="TableParagraph"/>
              <w:numPr>
                <w:ilvl w:val="0"/>
                <w:numId w:val="42"/>
              </w:numPr>
              <w:tabs>
                <w:tab w:pos="284" w:val="left" w:leader="none"/>
              </w:tabs>
              <w:spacing w:line="261" w:lineRule="auto" w:before="0" w:after="0"/>
              <w:ind w:left="283" w:right="242" w:hanging="170"/>
              <w:jc w:val="left"/>
              <w:rPr>
                <w:sz w:val="15"/>
              </w:rPr>
            </w:pPr>
            <w:r>
              <w:rPr>
                <w:sz w:val="15"/>
              </w:rPr>
              <w:t>Stor variation i format og systematisering: Ringbind, Excel-ark,</w:t>
            </w:r>
            <w:r>
              <w:rPr>
                <w:spacing w:val="-3"/>
                <w:sz w:val="15"/>
              </w:rPr>
              <w:t> </w:t>
            </w:r>
            <w:r>
              <w:rPr>
                <w:sz w:val="15"/>
              </w:rPr>
              <w:t>FM-systemer,</w:t>
            </w:r>
          </w:p>
          <w:p>
            <w:pPr>
              <w:pStyle w:val="TableParagraph"/>
              <w:spacing w:line="162" w:lineRule="exact" w:before="4"/>
              <w:ind w:left="283"/>
              <w:rPr>
                <w:sz w:val="15"/>
              </w:rPr>
            </w:pPr>
            <w:r>
              <w:rPr>
                <w:sz w:val="15"/>
              </w:rPr>
              <w:t>mv.</w:t>
            </w:r>
          </w:p>
        </w:tc>
        <w:tc>
          <w:tcPr>
            <w:tcW w:w="3402" w:type="dxa"/>
            <w:shd w:val="clear" w:color="auto" w:fill="C8E9E6"/>
          </w:tcPr>
          <w:p>
            <w:pPr>
              <w:pStyle w:val="TableParagraph"/>
              <w:spacing w:before="1"/>
              <w:rPr>
                <w:sz w:val="26"/>
              </w:rPr>
            </w:pPr>
          </w:p>
          <w:p>
            <w:pPr>
              <w:pStyle w:val="TableParagraph"/>
              <w:spacing w:line="264" w:lineRule="auto"/>
              <w:ind w:left="113" w:right="84"/>
              <w:rPr>
                <w:sz w:val="15"/>
              </w:rPr>
            </w:pPr>
            <w:r>
              <w:rPr>
                <w:sz w:val="15"/>
              </w:rPr>
              <w:t>Der er mulighed for at bruge referencerne til at standardisering og ensarte de eksi- sterende bygningsdata</w:t>
            </w:r>
          </w:p>
        </w:tc>
        <w:tc>
          <w:tcPr>
            <w:tcW w:w="1555" w:type="dxa"/>
            <w:shd w:val="clear" w:color="auto" w:fill="C8E9E6"/>
          </w:tcPr>
          <w:p>
            <w:pPr>
              <w:pStyle w:val="TableParagraph"/>
              <w:rPr>
                <w:sz w:val="18"/>
              </w:rPr>
            </w:pPr>
          </w:p>
          <w:p>
            <w:pPr>
              <w:pStyle w:val="TableParagraph"/>
              <w:spacing w:before="6"/>
              <w:rPr>
                <w:sz w:val="24"/>
              </w:rPr>
            </w:pPr>
          </w:p>
          <w:p>
            <w:pPr>
              <w:pStyle w:val="TableParagraph"/>
              <w:ind w:left="114"/>
              <w:rPr>
                <w:sz w:val="15"/>
              </w:rPr>
            </w:pPr>
            <w:r>
              <w:rPr>
                <w:sz w:val="15"/>
              </w:rPr>
              <w:t>Middel</w:t>
            </w:r>
          </w:p>
        </w:tc>
      </w:tr>
      <w:tr>
        <w:trPr>
          <w:trHeight w:val="1398" w:hRule="atLeast"/>
        </w:trPr>
        <w:tc>
          <w:tcPr>
            <w:tcW w:w="1275" w:type="dxa"/>
            <w:tcBorders>
              <w:left w:val="single" w:sz="4" w:space="0" w:color="FFFFFF"/>
              <w:right w:val="single" w:sz="4" w:space="0" w:color="FFFFFF"/>
            </w:tcBorders>
            <w:shd w:val="clear" w:color="auto" w:fill="E2F3F0"/>
          </w:tcPr>
          <w:p>
            <w:pPr>
              <w:pStyle w:val="TableParagraph"/>
              <w:rPr>
                <w:sz w:val="18"/>
              </w:rPr>
            </w:pPr>
          </w:p>
          <w:p>
            <w:pPr>
              <w:pStyle w:val="TableParagraph"/>
              <w:spacing w:before="5"/>
              <w:rPr>
                <w:sz w:val="24"/>
              </w:rPr>
            </w:pPr>
          </w:p>
          <w:p>
            <w:pPr>
              <w:pStyle w:val="TableParagraph"/>
              <w:spacing w:line="266" w:lineRule="auto"/>
              <w:ind w:left="107" w:right="144"/>
              <w:rPr>
                <w:sz w:val="15"/>
              </w:rPr>
            </w:pPr>
            <w:r>
              <w:rPr>
                <w:sz w:val="15"/>
              </w:rPr>
              <w:t>Bygnings- og energidata</w:t>
            </w:r>
          </w:p>
        </w:tc>
        <w:tc>
          <w:tcPr>
            <w:tcW w:w="1276" w:type="dxa"/>
            <w:tcBorders>
              <w:top w:val="single" w:sz="4" w:space="0" w:color="FFFFFF"/>
              <w:left w:val="single" w:sz="4" w:space="0" w:color="FFFFFF"/>
              <w:bottom w:val="single" w:sz="4" w:space="0" w:color="FFFFFF"/>
            </w:tcBorders>
            <w:shd w:val="clear" w:color="auto" w:fill="E2F3F0"/>
          </w:tcPr>
          <w:p>
            <w:pPr>
              <w:pStyle w:val="TableParagraph"/>
              <w:rPr>
                <w:sz w:val="18"/>
              </w:rPr>
            </w:pPr>
          </w:p>
          <w:p>
            <w:pPr>
              <w:pStyle w:val="TableParagraph"/>
              <w:spacing w:before="5"/>
              <w:rPr>
                <w:sz w:val="24"/>
              </w:rPr>
            </w:pPr>
          </w:p>
          <w:p>
            <w:pPr>
              <w:pStyle w:val="TableParagraph"/>
              <w:spacing w:line="266" w:lineRule="auto"/>
              <w:ind w:left="107" w:right="548"/>
              <w:rPr>
                <w:sz w:val="15"/>
              </w:rPr>
            </w:pPr>
            <w:r>
              <w:rPr>
                <w:sz w:val="15"/>
              </w:rPr>
              <w:t>Energi- mærker</w:t>
            </w:r>
          </w:p>
        </w:tc>
        <w:tc>
          <w:tcPr>
            <w:tcW w:w="2552" w:type="dxa"/>
            <w:shd w:val="clear" w:color="auto" w:fill="E2F3F0"/>
          </w:tcPr>
          <w:p>
            <w:pPr>
              <w:pStyle w:val="TableParagraph"/>
              <w:numPr>
                <w:ilvl w:val="0"/>
                <w:numId w:val="43"/>
              </w:numPr>
              <w:tabs>
                <w:tab w:pos="284" w:val="left" w:leader="none"/>
              </w:tabs>
              <w:spacing w:line="264" w:lineRule="auto" w:before="117" w:after="0"/>
              <w:ind w:left="283" w:right="134" w:hanging="170"/>
              <w:jc w:val="left"/>
              <w:rPr>
                <w:sz w:val="15"/>
              </w:rPr>
            </w:pPr>
            <w:r>
              <w:rPr>
                <w:sz w:val="15"/>
              </w:rPr>
              <w:t>Data om bygningers energi- mæssige tilstand: Varmekil- der, forbrug, klimaskærm, mv.</w:t>
            </w:r>
          </w:p>
          <w:p>
            <w:pPr>
              <w:pStyle w:val="TableParagraph"/>
              <w:numPr>
                <w:ilvl w:val="0"/>
                <w:numId w:val="43"/>
              </w:numPr>
              <w:tabs>
                <w:tab w:pos="284" w:val="left" w:leader="none"/>
              </w:tabs>
              <w:spacing w:line="179" w:lineRule="exact" w:before="0" w:after="0"/>
              <w:ind w:left="283" w:right="0" w:hanging="170"/>
              <w:jc w:val="left"/>
              <w:rPr>
                <w:sz w:val="15"/>
              </w:rPr>
            </w:pPr>
            <w:r>
              <w:rPr>
                <w:sz w:val="15"/>
              </w:rPr>
              <w:t>Ofte pdf-format</w:t>
            </w:r>
          </w:p>
          <w:p>
            <w:pPr>
              <w:pStyle w:val="TableParagraph"/>
              <w:numPr>
                <w:ilvl w:val="0"/>
                <w:numId w:val="43"/>
              </w:numPr>
              <w:tabs>
                <w:tab w:pos="284" w:val="left" w:leader="none"/>
              </w:tabs>
              <w:spacing w:line="240" w:lineRule="auto" w:before="17" w:after="0"/>
              <w:ind w:left="283" w:right="0" w:hanging="170"/>
              <w:jc w:val="left"/>
              <w:rPr>
                <w:sz w:val="15"/>
              </w:rPr>
            </w:pPr>
            <w:r>
              <w:rPr>
                <w:sz w:val="15"/>
              </w:rPr>
              <w:t>Begrænset</w:t>
            </w:r>
            <w:r>
              <w:rPr>
                <w:spacing w:val="-3"/>
                <w:sz w:val="15"/>
              </w:rPr>
              <w:t> </w:t>
            </w:r>
            <w:r>
              <w:rPr>
                <w:sz w:val="15"/>
              </w:rPr>
              <w:t>detaljeringsgrad</w:t>
            </w:r>
          </w:p>
        </w:tc>
        <w:tc>
          <w:tcPr>
            <w:tcW w:w="3402" w:type="dxa"/>
            <w:shd w:val="clear" w:color="auto" w:fill="E2F3F0"/>
          </w:tcPr>
          <w:p>
            <w:pPr>
              <w:pStyle w:val="TableParagraph"/>
              <w:spacing w:line="264" w:lineRule="auto" w:before="17"/>
              <w:ind w:left="113" w:right="93"/>
              <w:rPr>
                <w:sz w:val="15"/>
              </w:rPr>
            </w:pPr>
            <w:r>
              <w:rPr>
                <w:sz w:val="15"/>
              </w:rPr>
              <w:t>Energimærkningen retter sig som ud- gangspunkt mod hele bygninger. Ændring i kravene til energimærkning så den i hø- jere skal forholde sig bygningens enkelte lokationer ville give mulighed for at detal- jere energimærket, fx ved at kortlægge</w:t>
            </w:r>
          </w:p>
          <w:p>
            <w:pPr>
              <w:pStyle w:val="TableParagraph"/>
              <w:spacing w:line="159" w:lineRule="exact"/>
              <w:ind w:left="113"/>
              <w:rPr>
                <w:sz w:val="15"/>
              </w:rPr>
            </w:pPr>
            <w:r>
              <w:rPr>
                <w:sz w:val="15"/>
              </w:rPr>
              <w:t>repræsentative rum.</w:t>
            </w:r>
          </w:p>
        </w:tc>
        <w:tc>
          <w:tcPr>
            <w:tcW w:w="1555" w:type="dxa"/>
            <w:shd w:val="clear" w:color="auto" w:fill="E2F3F0"/>
          </w:tcPr>
          <w:p>
            <w:pPr>
              <w:pStyle w:val="TableParagraph"/>
              <w:rPr>
                <w:sz w:val="18"/>
              </w:rPr>
            </w:pPr>
          </w:p>
          <w:p>
            <w:pPr>
              <w:pStyle w:val="TableParagraph"/>
              <w:rPr>
                <w:sz w:val="18"/>
              </w:rPr>
            </w:pPr>
          </w:p>
          <w:p>
            <w:pPr>
              <w:pStyle w:val="TableParagraph"/>
              <w:spacing w:before="9"/>
              <w:rPr>
                <w:sz w:val="14"/>
              </w:rPr>
            </w:pPr>
          </w:p>
          <w:p>
            <w:pPr>
              <w:pStyle w:val="TableParagraph"/>
              <w:ind w:left="114"/>
              <w:rPr>
                <w:sz w:val="15"/>
              </w:rPr>
            </w:pPr>
            <w:r>
              <w:rPr>
                <w:sz w:val="15"/>
              </w:rPr>
              <w:t>Lille til middel</w:t>
            </w:r>
          </w:p>
        </w:tc>
      </w:tr>
      <w:tr>
        <w:trPr>
          <w:trHeight w:val="1000" w:hRule="atLeast"/>
        </w:trPr>
        <w:tc>
          <w:tcPr>
            <w:tcW w:w="1275" w:type="dxa"/>
            <w:tcBorders>
              <w:left w:val="single" w:sz="4" w:space="0" w:color="FFFFFF"/>
              <w:right w:val="single" w:sz="4" w:space="0" w:color="FFFFFF"/>
            </w:tcBorders>
            <w:shd w:val="clear" w:color="auto" w:fill="C8E9E6"/>
          </w:tcPr>
          <w:p>
            <w:pPr>
              <w:pStyle w:val="TableParagraph"/>
              <w:spacing w:before="3"/>
              <w:rPr>
                <w:sz w:val="26"/>
              </w:rPr>
            </w:pPr>
          </w:p>
          <w:p>
            <w:pPr>
              <w:pStyle w:val="TableParagraph"/>
              <w:spacing w:line="261" w:lineRule="auto"/>
              <w:ind w:left="107" w:right="382"/>
              <w:rPr>
                <w:sz w:val="15"/>
              </w:rPr>
            </w:pPr>
            <w:r>
              <w:rPr>
                <w:sz w:val="15"/>
              </w:rPr>
              <w:t>Standard- nøgletal</w:t>
            </w:r>
          </w:p>
        </w:tc>
        <w:tc>
          <w:tcPr>
            <w:tcW w:w="1276" w:type="dxa"/>
            <w:tcBorders>
              <w:top w:val="single" w:sz="4" w:space="0" w:color="FFFFFF"/>
              <w:left w:val="single" w:sz="4" w:space="0" w:color="FFFFFF"/>
              <w:bottom w:val="single" w:sz="4" w:space="0" w:color="FFFFFF"/>
            </w:tcBorders>
            <w:shd w:val="clear" w:color="auto" w:fill="C8E9E6"/>
          </w:tcPr>
          <w:p>
            <w:pPr>
              <w:pStyle w:val="TableParagraph"/>
              <w:spacing w:before="11"/>
              <w:rPr>
                <w:sz w:val="17"/>
              </w:rPr>
            </w:pPr>
          </w:p>
          <w:p>
            <w:pPr>
              <w:pStyle w:val="TableParagraph"/>
              <w:spacing w:line="261" w:lineRule="auto" w:before="1"/>
              <w:ind w:left="107" w:right="597"/>
              <w:rPr>
                <w:sz w:val="15"/>
              </w:rPr>
            </w:pPr>
            <w:r>
              <w:rPr>
                <w:sz w:val="15"/>
              </w:rPr>
              <w:t>ENS og SBI</w:t>
            </w:r>
          </w:p>
        </w:tc>
        <w:tc>
          <w:tcPr>
            <w:tcW w:w="2552" w:type="dxa"/>
            <w:shd w:val="clear" w:color="auto" w:fill="C8E9E6"/>
          </w:tcPr>
          <w:p>
            <w:pPr>
              <w:pStyle w:val="TableParagraph"/>
              <w:numPr>
                <w:ilvl w:val="0"/>
                <w:numId w:val="44"/>
              </w:numPr>
              <w:tabs>
                <w:tab w:pos="284" w:val="left" w:leader="none"/>
              </w:tabs>
              <w:spacing w:line="261" w:lineRule="auto" w:before="19" w:after="0"/>
              <w:ind w:left="283" w:right="151" w:hanging="170"/>
              <w:jc w:val="left"/>
              <w:rPr>
                <w:sz w:val="15"/>
              </w:rPr>
            </w:pPr>
            <w:r>
              <w:rPr>
                <w:sz w:val="15"/>
              </w:rPr>
              <w:t>Energiforbrug for forskellige bygningstyper</w:t>
            </w:r>
          </w:p>
          <w:p>
            <w:pPr>
              <w:pStyle w:val="TableParagraph"/>
              <w:numPr>
                <w:ilvl w:val="0"/>
                <w:numId w:val="44"/>
              </w:numPr>
              <w:tabs>
                <w:tab w:pos="284" w:val="left" w:leader="none"/>
              </w:tabs>
              <w:spacing w:line="266" w:lineRule="auto" w:before="1" w:after="0"/>
              <w:ind w:left="283" w:right="118" w:hanging="170"/>
              <w:jc w:val="left"/>
              <w:rPr>
                <w:sz w:val="15"/>
              </w:rPr>
            </w:pPr>
            <w:r>
              <w:rPr>
                <w:sz w:val="15"/>
              </w:rPr>
              <w:t>Grundlag for sammenligning og</w:t>
            </w:r>
            <w:r>
              <w:rPr>
                <w:spacing w:val="-2"/>
                <w:sz w:val="15"/>
              </w:rPr>
              <w:t> </w:t>
            </w:r>
            <w:r>
              <w:rPr>
                <w:sz w:val="15"/>
              </w:rPr>
              <w:t>benchmarking</w:t>
            </w:r>
          </w:p>
          <w:p>
            <w:pPr>
              <w:pStyle w:val="TableParagraph"/>
              <w:numPr>
                <w:ilvl w:val="0"/>
                <w:numId w:val="44"/>
              </w:numPr>
              <w:tabs>
                <w:tab w:pos="284" w:val="left" w:leader="none"/>
              </w:tabs>
              <w:spacing w:line="158" w:lineRule="exact" w:before="0" w:after="0"/>
              <w:ind w:left="283" w:right="0" w:hanging="170"/>
              <w:jc w:val="left"/>
              <w:rPr>
                <w:sz w:val="15"/>
              </w:rPr>
            </w:pPr>
            <w:r>
              <w:rPr>
                <w:sz w:val="15"/>
              </w:rPr>
              <w:t>Manglende opdatering</w:t>
            </w:r>
          </w:p>
        </w:tc>
        <w:tc>
          <w:tcPr>
            <w:tcW w:w="3402" w:type="dxa"/>
            <w:shd w:val="clear" w:color="auto" w:fill="C8E9E6"/>
          </w:tcPr>
          <w:p>
            <w:pPr>
              <w:pStyle w:val="TableParagraph"/>
              <w:spacing w:before="11"/>
              <w:rPr>
                <w:sz w:val="17"/>
              </w:rPr>
            </w:pPr>
          </w:p>
          <w:p>
            <w:pPr>
              <w:pStyle w:val="TableParagraph"/>
              <w:spacing w:line="264" w:lineRule="auto" w:before="1"/>
              <w:ind w:left="113" w:right="131"/>
              <w:rPr>
                <w:sz w:val="15"/>
              </w:rPr>
            </w:pPr>
            <w:r>
              <w:rPr>
                <w:sz w:val="15"/>
              </w:rPr>
              <w:t>Mulighed for at udarbejde nøgletal for re- præsentative rum som grundlag for driftsoptimering og overvågning</w:t>
            </w:r>
          </w:p>
        </w:tc>
        <w:tc>
          <w:tcPr>
            <w:tcW w:w="1555" w:type="dxa"/>
            <w:shd w:val="clear" w:color="auto" w:fill="C8E9E6"/>
          </w:tcPr>
          <w:p>
            <w:pPr>
              <w:pStyle w:val="TableParagraph"/>
              <w:rPr>
                <w:sz w:val="18"/>
              </w:rPr>
            </w:pPr>
          </w:p>
          <w:p>
            <w:pPr>
              <w:pStyle w:val="TableParagraph"/>
              <w:spacing w:before="4"/>
              <w:rPr>
                <w:sz w:val="16"/>
              </w:rPr>
            </w:pPr>
          </w:p>
          <w:p>
            <w:pPr>
              <w:pStyle w:val="TableParagraph"/>
              <w:ind w:left="114"/>
              <w:rPr>
                <w:sz w:val="15"/>
              </w:rPr>
            </w:pPr>
            <w:r>
              <w:rPr>
                <w:sz w:val="15"/>
              </w:rPr>
              <w:t>Middel</w:t>
            </w:r>
          </w:p>
        </w:tc>
      </w:tr>
      <w:tr>
        <w:trPr>
          <w:trHeight w:val="1404" w:hRule="atLeast"/>
        </w:trPr>
        <w:tc>
          <w:tcPr>
            <w:tcW w:w="1275" w:type="dxa"/>
            <w:tcBorders>
              <w:left w:val="single" w:sz="4" w:space="0" w:color="FFFFFF"/>
              <w:right w:val="single" w:sz="4" w:space="0" w:color="FFFFFF"/>
            </w:tcBorders>
            <w:shd w:val="clear" w:color="auto" w:fill="E2F3F0"/>
          </w:tcPr>
          <w:p>
            <w:pPr>
              <w:pStyle w:val="TableParagraph"/>
              <w:rPr>
                <w:sz w:val="18"/>
              </w:rPr>
            </w:pPr>
          </w:p>
          <w:p>
            <w:pPr>
              <w:pStyle w:val="TableParagraph"/>
              <w:spacing w:before="8"/>
              <w:rPr>
                <w:sz w:val="24"/>
              </w:rPr>
            </w:pPr>
          </w:p>
          <w:p>
            <w:pPr>
              <w:pStyle w:val="TableParagraph"/>
              <w:spacing w:line="261" w:lineRule="auto"/>
              <w:ind w:left="107" w:right="537"/>
              <w:rPr>
                <w:sz w:val="15"/>
              </w:rPr>
            </w:pPr>
            <w:r>
              <w:rPr>
                <w:sz w:val="15"/>
              </w:rPr>
              <w:t>Lokale nøgletal</w:t>
            </w:r>
          </w:p>
        </w:tc>
        <w:tc>
          <w:tcPr>
            <w:tcW w:w="1276" w:type="dxa"/>
            <w:tcBorders>
              <w:top w:val="single" w:sz="4" w:space="0" w:color="FFFFFF"/>
              <w:left w:val="single" w:sz="4" w:space="0" w:color="FFFFFF"/>
              <w:bottom w:val="single" w:sz="4" w:space="0" w:color="FFFFFF"/>
            </w:tcBorders>
            <w:shd w:val="clear" w:color="auto" w:fill="E2F3F0"/>
          </w:tcPr>
          <w:p>
            <w:pPr>
              <w:pStyle w:val="TableParagraph"/>
              <w:rPr>
                <w:sz w:val="18"/>
              </w:rPr>
            </w:pPr>
          </w:p>
          <w:p>
            <w:pPr>
              <w:pStyle w:val="TableParagraph"/>
              <w:spacing w:before="8"/>
              <w:rPr>
                <w:sz w:val="24"/>
              </w:rPr>
            </w:pPr>
          </w:p>
          <w:p>
            <w:pPr>
              <w:pStyle w:val="TableParagraph"/>
              <w:spacing w:line="261" w:lineRule="auto"/>
              <w:ind w:left="107" w:right="215"/>
              <w:rPr>
                <w:sz w:val="15"/>
              </w:rPr>
            </w:pPr>
            <w:r>
              <w:rPr>
                <w:sz w:val="15"/>
              </w:rPr>
              <w:t>Kommunen/ regionen</w:t>
            </w:r>
          </w:p>
        </w:tc>
        <w:tc>
          <w:tcPr>
            <w:tcW w:w="2552" w:type="dxa"/>
            <w:shd w:val="clear" w:color="auto" w:fill="E2F3F0"/>
          </w:tcPr>
          <w:p>
            <w:pPr>
              <w:pStyle w:val="TableParagraph"/>
              <w:numPr>
                <w:ilvl w:val="0"/>
                <w:numId w:val="45"/>
              </w:numPr>
              <w:tabs>
                <w:tab w:pos="284" w:val="left" w:leader="none"/>
              </w:tabs>
              <w:spacing w:line="264" w:lineRule="auto" w:before="17" w:after="0"/>
              <w:ind w:left="283" w:right="119" w:hanging="170"/>
              <w:jc w:val="left"/>
              <w:rPr>
                <w:sz w:val="15"/>
              </w:rPr>
            </w:pPr>
            <w:r>
              <w:rPr>
                <w:sz w:val="15"/>
              </w:rPr>
              <w:t>Præcist energiforbrug, fx pr. bygning, elev, m</w:t>
            </w:r>
            <w:r>
              <w:rPr>
                <w:position w:val="5"/>
                <w:sz w:val="10"/>
              </w:rPr>
              <w:t>2</w:t>
            </w:r>
            <w:r>
              <w:rPr>
                <w:sz w:val="15"/>
              </w:rPr>
              <w:t>, ansat mv.</w:t>
            </w:r>
          </w:p>
          <w:p>
            <w:pPr>
              <w:pStyle w:val="TableParagraph"/>
              <w:numPr>
                <w:ilvl w:val="0"/>
                <w:numId w:val="45"/>
              </w:numPr>
              <w:tabs>
                <w:tab w:pos="284" w:val="left" w:leader="none"/>
              </w:tabs>
              <w:spacing w:line="266" w:lineRule="auto" w:before="0" w:after="0"/>
              <w:ind w:left="283" w:right="471" w:hanging="170"/>
              <w:jc w:val="left"/>
              <w:rPr>
                <w:sz w:val="15"/>
              </w:rPr>
            </w:pPr>
            <w:r>
              <w:rPr>
                <w:sz w:val="15"/>
              </w:rPr>
              <w:t>Forudsætter valide for- brugs- og</w:t>
            </w:r>
            <w:r>
              <w:rPr>
                <w:spacing w:val="-6"/>
                <w:sz w:val="15"/>
              </w:rPr>
              <w:t> </w:t>
            </w:r>
            <w:r>
              <w:rPr>
                <w:sz w:val="15"/>
              </w:rPr>
              <w:t>bygningsdata</w:t>
            </w:r>
          </w:p>
          <w:p>
            <w:pPr>
              <w:pStyle w:val="TableParagraph"/>
              <w:numPr>
                <w:ilvl w:val="0"/>
                <w:numId w:val="45"/>
              </w:numPr>
              <w:tabs>
                <w:tab w:pos="284" w:val="left" w:leader="none"/>
              </w:tabs>
              <w:spacing w:line="178" w:lineRule="exact" w:before="0" w:after="0"/>
              <w:ind w:left="283" w:right="0" w:hanging="170"/>
              <w:jc w:val="left"/>
              <w:rPr>
                <w:sz w:val="15"/>
              </w:rPr>
            </w:pPr>
            <w:r>
              <w:rPr>
                <w:sz w:val="15"/>
              </w:rPr>
              <w:t>Grundlag for overvågning</w:t>
            </w:r>
            <w:r>
              <w:rPr>
                <w:spacing w:val="-7"/>
                <w:sz w:val="15"/>
              </w:rPr>
              <w:t> </w:t>
            </w:r>
            <w:r>
              <w:rPr>
                <w:sz w:val="15"/>
              </w:rPr>
              <w:t>af</w:t>
            </w:r>
          </w:p>
          <w:p>
            <w:pPr>
              <w:pStyle w:val="TableParagraph"/>
              <w:spacing w:line="164" w:lineRule="exact" w:before="15"/>
              <w:ind w:left="283"/>
              <w:rPr>
                <w:sz w:val="15"/>
              </w:rPr>
            </w:pPr>
            <w:r>
              <w:rPr>
                <w:sz w:val="15"/>
              </w:rPr>
              <w:t>drift og energiforbrug</w:t>
            </w:r>
          </w:p>
        </w:tc>
        <w:tc>
          <w:tcPr>
            <w:tcW w:w="3402" w:type="dxa"/>
            <w:shd w:val="clear" w:color="auto" w:fill="E2F3F0"/>
          </w:tcPr>
          <w:p>
            <w:pPr>
              <w:pStyle w:val="TableParagraph"/>
              <w:rPr>
                <w:sz w:val="18"/>
              </w:rPr>
            </w:pPr>
          </w:p>
          <w:p>
            <w:pPr>
              <w:pStyle w:val="TableParagraph"/>
              <w:spacing w:before="4"/>
              <w:rPr>
                <w:sz w:val="16"/>
              </w:rPr>
            </w:pPr>
          </w:p>
          <w:p>
            <w:pPr>
              <w:pStyle w:val="TableParagraph"/>
              <w:spacing w:line="264" w:lineRule="auto" w:before="1"/>
              <w:ind w:left="113" w:right="127"/>
              <w:rPr>
                <w:sz w:val="15"/>
              </w:rPr>
            </w:pPr>
            <w:r>
              <w:rPr>
                <w:sz w:val="15"/>
              </w:rPr>
              <w:t>Lokale nøgletal for rum og bygningszoner som grundlag for driftsoptimering og overvågning</w:t>
            </w:r>
          </w:p>
        </w:tc>
        <w:tc>
          <w:tcPr>
            <w:tcW w:w="1555" w:type="dxa"/>
            <w:shd w:val="clear" w:color="auto" w:fill="E2F3F0"/>
          </w:tcPr>
          <w:p>
            <w:pPr>
              <w:pStyle w:val="TableParagraph"/>
              <w:rPr>
                <w:sz w:val="18"/>
              </w:rPr>
            </w:pPr>
          </w:p>
          <w:p>
            <w:pPr>
              <w:pStyle w:val="TableParagraph"/>
              <w:rPr>
                <w:sz w:val="18"/>
              </w:rPr>
            </w:pPr>
          </w:p>
          <w:p>
            <w:pPr>
              <w:pStyle w:val="TableParagraph"/>
              <w:spacing w:before="9"/>
              <w:rPr>
                <w:sz w:val="14"/>
              </w:rPr>
            </w:pPr>
          </w:p>
          <w:p>
            <w:pPr>
              <w:pStyle w:val="TableParagraph"/>
              <w:ind w:left="114"/>
              <w:rPr>
                <w:sz w:val="15"/>
              </w:rPr>
            </w:pPr>
            <w:r>
              <w:rPr>
                <w:sz w:val="15"/>
              </w:rPr>
              <w:t>Middel til stort</w:t>
            </w:r>
          </w:p>
        </w:tc>
      </w:tr>
    </w:tbl>
    <w:p>
      <w:pPr>
        <w:spacing w:after="0"/>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447.249969pt;width:133.65pt;height:393.2pt;mso-position-horizontal-relative:page;mso-position-vertical-relative:page;z-index:-173992" coordorigin="0,8945" coordsize="2673,7864"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e" filled="false" stroked="true" strokeweight=".498863pt" strokecolor="#f0f0f0">
            <v:path arrowok="t"/>
            <v:stroke dashstyle="solid"/>
            <w10:wrap type="none"/>
          </v:shape>
        </w:pict>
      </w:r>
      <w:r>
        <w:rPr/>
        <w:pict>
          <v:group style="position:absolute;margin-left:56.465145pt;margin-top:-.222301pt;width:399.55pt;height:755.45pt;mso-position-horizontal-relative:page;mso-position-vertical-relative:page;z-index:-173968" coordorigin="1129,-4" coordsize="7991,15109">
            <v:shape style="position:absolute;left:0;top:-3144;width:2673;height:17920" coordorigin="0,-3144" coordsize="2673,17920" path="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147;top:3924;width:7951;height:389" coordorigin="1148,3924" coordsize="7951,389" path="m2537,3924l2477,3924,1217,3924,1148,3924,1148,4313,1217,4313,2477,4313,2537,4313,2537,3924m5197,3924l2547,3924,2547,4313,5197,4313,5197,3924m9098,3924l5209,3924,5209,4313,9098,4313,9098,3924e" filled="true" fillcolor="#2c647c" stroked="false">
              <v:path arrowok="t"/>
              <v:fill type="solid"/>
            </v:shape>
            <v:line style="position:absolute" from="9110,3922" to="9110,4313" stroked="true" strokeweight=".96002pt" strokecolor="#ffffff">
              <v:stroke dashstyle="solid"/>
            </v:line>
            <w10:wrap type="none"/>
          </v:group>
        </w:pict>
      </w:r>
    </w:p>
    <w:p>
      <w:pPr>
        <w:pStyle w:val="BodyText"/>
        <w:rPr>
          <w:sz w:val="20"/>
        </w:rPr>
      </w:pPr>
    </w:p>
    <w:p>
      <w:pPr>
        <w:pStyle w:val="BodyText"/>
        <w:spacing w:before="6"/>
        <w:rPr>
          <w:sz w:val="21"/>
        </w:rPr>
      </w:pPr>
    </w:p>
    <w:p>
      <w:pPr>
        <w:pStyle w:val="Heading1"/>
        <w:ind w:firstLine="0"/>
      </w:pPr>
      <w:bookmarkStart w:name="_bookmark118" w:id="119"/>
      <w:bookmarkEnd w:id="119"/>
      <w:r>
        <w:rPr>
          <w:b w:val="0"/>
        </w:rPr>
      </w:r>
      <w:r>
        <w:rPr/>
        <w:t>Appendix 3: Niveauer for stedfæstelse</w:t>
      </w:r>
    </w:p>
    <w:p>
      <w:pPr>
        <w:pStyle w:val="BodyText"/>
        <w:spacing w:before="6"/>
        <w:rPr>
          <w:b/>
          <w:sz w:val="42"/>
        </w:rPr>
      </w:pPr>
    </w:p>
    <w:p>
      <w:pPr>
        <w:pStyle w:val="BodyText"/>
        <w:spacing w:line="278" w:lineRule="auto"/>
        <w:ind w:left="2649" w:right="1038"/>
      </w:pPr>
      <w:r>
        <w:rPr/>
        <w:t>Liste over forskellige energi-relevante datatyper om energiforbrug, samt deres for- ventede stedfæstede niveau i relation til niveauerne for stedfæstelse angivet i </w:t>
      </w:r>
      <w:hyperlink w:history="true" w:anchor="_bookmark54">
        <w:r>
          <w:rPr/>
          <w:t>Fi-</w:t>
        </w:r>
      </w:hyperlink>
      <w:r>
        <w:rPr/>
        <w:t> </w:t>
      </w:r>
      <w:hyperlink w:history="true" w:anchor="_bookmark54">
        <w:r>
          <w:rPr/>
          <w:t>gur 3.5 </w:t>
        </w:r>
      </w:hyperlink>
      <w:r>
        <w:rPr/>
        <w:t>(Orange prikker har et højt forventet niveau af stedfæstelse, blå i mindre grad)</w:t>
      </w:r>
    </w:p>
    <w:p>
      <w:pPr>
        <w:pStyle w:val="BodyText"/>
        <w:spacing w:before="3"/>
        <w:rPr>
          <w:sz w:val="15"/>
        </w:rPr>
      </w:pPr>
      <w:r>
        <w:rPr/>
        <w:pict>
          <v:shape style="position:absolute;margin-left:60.863998pt;margin-top:12.438103pt;width:59.4pt;height:19.5pt;mso-position-horizontal-relative:page;mso-position-vertical-relative:paragraph;z-index:6536;mso-wrap-distance-left:0;mso-wrap-distance-right:0" type="#_x0000_t202" filled="false" stroked="false">
            <v:textbox inset="0,0,0,0">
              <w:txbxContent>
                <w:p>
                  <w:pPr>
                    <w:spacing w:before="1"/>
                    <w:ind w:left="0" w:right="0" w:firstLine="0"/>
                    <w:jc w:val="left"/>
                    <w:rPr>
                      <w:b/>
                      <w:sz w:val="16"/>
                    </w:rPr>
                  </w:pPr>
                  <w:r>
                    <w:rPr>
                      <w:b/>
                      <w:color w:val="FFFFFF"/>
                      <w:sz w:val="16"/>
                    </w:rPr>
                    <w:t>Konstruktion komponent</w:t>
                  </w:r>
                </w:p>
              </w:txbxContent>
            </v:textbox>
            <w10:wrap type="topAndBottom"/>
          </v:shape>
        </w:pict>
      </w:r>
      <w:r>
        <w:rPr/>
        <w:pict>
          <v:shape style="position:absolute;margin-left:127.339996pt;margin-top:11.761282pt;width:133.15pt;height:20.55pt;mso-position-horizontal-relative:page;mso-position-vertical-relative:paragraph;z-index:6560;mso-wrap-distance-left:0;mso-wrap-distance-right:0" type="#_x0000_t202" filled="false" stroked="true" strokeweight=".96002pt" strokecolor="#ffffff">
            <v:textbox inset="0,0,0,0">
              <w:txbxContent>
                <w:p>
                  <w:pPr>
                    <w:spacing w:before="100"/>
                    <w:ind w:left="59" w:right="0" w:firstLine="0"/>
                    <w:jc w:val="left"/>
                    <w:rPr>
                      <w:b/>
                      <w:sz w:val="16"/>
                    </w:rPr>
                  </w:pPr>
                  <w:r>
                    <w:rPr>
                      <w:b/>
                      <w:color w:val="FFFFFF"/>
                      <w:sz w:val="16"/>
                    </w:rPr>
                    <w:t>Datakilde</w:t>
                  </w:r>
                </w:p>
              </w:txbxContent>
            </v:textbox>
            <v:stroke dashstyle="solid"/>
            <w10:wrap type="topAndBottom"/>
          </v:shape>
        </w:pict>
      </w:r>
      <w:r>
        <w:rPr/>
        <w:pict>
          <v:shape style="position:absolute;margin-left:263.929993pt;margin-top:17.238104pt;width:22.1pt;height:9.8pt;mso-position-horizontal-relative:page;mso-position-vertical-relative:paragraph;z-index:6584;mso-wrap-distance-left:0;mso-wrap-distance-right:0" type="#_x0000_t202" filled="false" stroked="false">
            <v:textbox inset="0,0,0,0">
              <w:txbxContent>
                <w:p>
                  <w:pPr>
                    <w:spacing w:before="1"/>
                    <w:ind w:left="0" w:right="0" w:firstLine="0"/>
                    <w:jc w:val="left"/>
                    <w:rPr>
                      <w:b/>
                      <w:sz w:val="16"/>
                    </w:rPr>
                  </w:pPr>
                  <w:r>
                    <w:rPr>
                      <w:b/>
                      <w:color w:val="FFFFFF"/>
                      <w:sz w:val="16"/>
                    </w:rPr>
                    <w:t>Data</w:t>
                  </w:r>
                </w:p>
              </w:txbxContent>
            </v:textbox>
            <w10:wrap type="topAndBottom"/>
          </v:shape>
        </w:pict>
      </w:r>
      <w:r>
        <w:rPr/>
        <w:pict>
          <v:shape style="position:absolute;margin-left:455.980011pt;margin-top:11.281277pt;width:94.95pt;height:20.55pt;mso-position-horizontal-relative:page;mso-position-vertical-relative:paragraph;z-index:6608;mso-wrap-distance-left:0;mso-wrap-distance-right:0" type="#_x0000_t202" filled="true" fillcolor="#2c647c" stroked="false">
            <v:textbox inset="0,0,0,0">
              <w:txbxContent>
                <w:p>
                  <w:pPr>
                    <w:spacing w:before="24"/>
                    <w:ind w:left="679" w:right="95" w:hanging="576"/>
                    <w:jc w:val="left"/>
                    <w:rPr>
                      <w:b/>
                      <w:sz w:val="16"/>
                    </w:rPr>
                  </w:pPr>
                  <w:r>
                    <w:rPr>
                      <w:b/>
                      <w:color w:val="FFFFFF"/>
                      <w:sz w:val="16"/>
                    </w:rPr>
                    <w:t>Niveau for stedfæ- stelse</w:t>
                  </w:r>
                </w:p>
              </w:txbxContent>
            </v:textbox>
            <v:fill type="solid"/>
            <w10:wrap type="topAndBottom"/>
          </v:shape>
        </w:pict>
      </w:r>
    </w:p>
    <w:p>
      <w:pPr>
        <w:tabs>
          <w:tab w:pos="8199" w:val="left" w:leader="none"/>
        </w:tabs>
        <w:spacing w:before="25"/>
        <w:ind w:left="237" w:right="0" w:firstLine="0"/>
        <w:jc w:val="left"/>
        <w:rPr>
          <w:sz w:val="16"/>
        </w:rPr>
      </w:pPr>
      <w:r>
        <w:rPr>
          <w:rFonts w:ascii="Calibri"/>
          <w:b/>
          <w:position w:val="-3"/>
          <w:sz w:val="16"/>
        </w:rPr>
        <w:t>Dynamiske</w:t>
      </w:r>
      <w:r>
        <w:rPr>
          <w:rFonts w:ascii="Calibri"/>
          <w:b/>
          <w:spacing w:val="-1"/>
          <w:position w:val="-3"/>
          <w:sz w:val="16"/>
        </w:rPr>
        <w:t> </w:t>
      </w:r>
      <w:r>
        <w:rPr>
          <w:rFonts w:ascii="Calibri"/>
          <w:b/>
          <w:position w:val="-3"/>
          <w:sz w:val="16"/>
        </w:rPr>
        <w:t>Data</w:t>
        <w:tab/>
      </w:r>
      <w:r>
        <w:rPr>
          <w:sz w:val="16"/>
        </w:rPr>
        <w:t>Bygning Zone</w:t>
      </w:r>
      <w:r>
        <w:rPr>
          <w:spacing w:val="4"/>
          <w:sz w:val="16"/>
        </w:rPr>
        <w:t> </w:t>
      </w:r>
      <w:r>
        <w:rPr>
          <w:sz w:val="16"/>
        </w:rPr>
        <w:t>Rum</w:t>
      </w:r>
    </w:p>
    <w:tbl>
      <w:tblPr>
        <w:tblW w:w="0" w:type="auto"/>
        <w:jc w:val="left"/>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399"/>
        <w:gridCol w:w="2662"/>
        <w:gridCol w:w="3901"/>
        <w:gridCol w:w="1908"/>
      </w:tblGrid>
      <w:tr>
        <w:trPr>
          <w:trHeight w:val="371" w:hRule="atLeast"/>
        </w:trPr>
        <w:tc>
          <w:tcPr>
            <w:tcW w:w="1399" w:type="dxa"/>
            <w:tcBorders>
              <w:top w:val="nil"/>
              <w:bottom w:val="nil"/>
            </w:tcBorders>
            <w:shd w:val="clear" w:color="auto" w:fill="C8E9E6"/>
          </w:tcPr>
          <w:p>
            <w:pPr>
              <w:pStyle w:val="TableParagraph"/>
              <w:spacing w:before="102"/>
              <w:ind w:left="69"/>
              <w:rPr>
                <w:sz w:val="14"/>
              </w:rPr>
            </w:pPr>
            <w:r>
              <w:rPr>
                <w:sz w:val="14"/>
              </w:rPr>
              <w:t>Ventilationsanlæg</w:t>
            </w:r>
          </w:p>
        </w:tc>
        <w:tc>
          <w:tcPr>
            <w:tcW w:w="2662" w:type="dxa"/>
            <w:shd w:val="clear" w:color="auto" w:fill="C8E9E6"/>
          </w:tcPr>
          <w:p>
            <w:pPr>
              <w:pStyle w:val="TableParagraph"/>
              <w:spacing w:before="102"/>
              <w:ind w:left="69"/>
              <w:rPr>
                <w:sz w:val="14"/>
              </w:rPr>
            </w:pPr>
            <w:r>
              <w:rPr>
                <w:sz w:val="14"/>
              </w:rPr>
              <w:t>El-måler (bi-måler)</w:t>
            </w:r>
          </w:p>
        </w:tc>
        <w:tc>
          <w:tcPr>
            <w:tcW w:w="3901" w:type="dxa"/>
            <w:tcBorders>
              <w:top w:val="nil"/>
              <w:bottom w:val="nil"/>
            </w:tcBorders>
            <w:shd w:val="clear" w:color="auto" w:fill="C8E9E6"/>
          </w:tcPr>
          <w:p>
            <w:pPr>
              <w:pStyle w:val="TableParagraph"/>
              <w:spacing w:before="102"/>
              <w:ind w:left="69"/>
              <w:rPr>
                <w:sz w:val="14"/>
              </w:rPr>
            </w:pPr>
            <w:r>
              <w:rPr>
                <w:sz w:val="14"/>
              </w:rPr>
              <w:t>Effekt (aktuelt elforbrug) [W]</w:t>
            </w:r>
          </w:p>
        </w:tc>
        <w:tc>
          <w:tcPr>
            <w:tcW w:w="1908" w:type="dxa"/>
            <w:tcBorders>
              <w:top w:val="nil"/>
              <w:bottom w:val="nil"/>
              <w:right w:val="nil"/>
            </w:tcBorders>
            <w:shd w:val="clear" w:color="auto" w:fill="C8E9E6"/>
          </w:tcPr>
          <w:p>
            <w:pPr>
              <w:pStyle w:val="TableParagraph"/>
              <w:spacing w:line="246" w:lineRule="exact" w:before="106"/>
              <w:ind w:left="1000"/>
              <w:rPr>
                <w:rFonts w:ascii="Wingdings" w:hAnsi="Wingdings"/>
                <w:sz w:val="24"/>
              </w:rPr>
            </w:pPr>
            <w:r>
              <w:rPr>
                <w:rFonts w:ascii="Wingdings" w:hAnsi="Wingdings"/>
                <w:color w:val="F89A01"/>
                <w:sz w:val="24"/>
              </w:rPr>
              <w:t></w:t>
            </w:r>
          </w:p>
        </w:tc>
      </w:tr>
      <w:tr>
        <w:trPr>
          <w:trHeight w:val="325"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9"/>
              <w:ind w:left="69"/>
              <w:rPr>
                <w:sz w:val="14"/>
              </w:rPr>
            </w:pPr>
            <w:r>
              <w:rPr>
                <w:sz w:val="14"/>
              </w:rPr>
              <w:t>El-måler (bi-måler)</w:t>
            </w:r>
          </w:p>
        </w:tc>
        <w:tc>
          <w:tcPr>
            <w:tcW w:w="3901" w:type="dxa"/>
            <w:tcBorders>
              <w:top w:val="nil"/>
              <w:bottom w:val="nil"/>
            </w:tcBorders>
            <w:shd w:val="clear" w:color="auto" w:fill="C8E9E6"/>
          </w:tcPr>
          <w:p>
            <w:pPr>
              <w:pStyle w:val="TableParagraph"/>
              <w:spacing w:before="79"/>
              <w:ind w:left="69"/>
              <w:rPr>
                <w:sz w:val="14"/>
              </w:rPr>
            </w:pPr>
            <w:r>
              <w:rPr>
                <w:sz w:val="14"/>
              </w:rPr>
              <w:t>Elforbrug, år/måned/time etc. [kWh],</w:t>
            </w:r>
          </w:p>
        </w:tc>
        <w:tc>
          <w:tcPr>
            <w:tcW w:w="1908" w:type="dxa"/>
            <w:tcBorders>
              <w:top w:val="nil"/>
              <w:bottom w:val="nil"/>
              <w:right w:val="nil"/>
            </w:tcBorders>
            <w:shd w:val="clear" w:color="auto" w:fill="C8E9E6"/>
          </w:tcPr>
          <w:p>
            <w:pPr>
              <w:pStyle w:val="TableParagraph"/>
              <w:spacing w:line="246" w:lineRule="exact" w:before="60"/>
              <w:ind w:left="1000"/>
              <w:rPr>
                <w:rFonts w:ascii="Wingdings" w:hAnsi="Wingdings"/>
                <w:sz w:val="24"/>
              </w:rPr>
            </w:pPr>
            <w:r>
              <w:rPr>
                <w:rFonts w:ascii="Wingdings" w:hAnsi="Wingdings"/>
                <w:color w:val="F89A01"/>
                <w:sz w:val="24"/>
              </w:rPr>
              <w:t></w:t>
            </w:r>
          </w:p>
        </w:tc>
      </w:tr>
      <w:tr>
        <w:trPr>
          <w:trHeight w:val="323"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Temperaturfølere (via CTS)</w:t>
            </w:r>
          </w:p>
        </w:tc>
        <w:tc>
          <w:tcPr>
            <w:tcW w:w="3901" w:type="dxa"/>
            <w:tcBorders>
              <w:top w:val="nil"/>
              <w:bottom w:val="nil"/>
            </w:tcBorders>
            <w:shd w:val="clear" w:color="auto" w:fill="C8E9E6"/>
          </w:tcPr>
          <w:p>
            <w:pPr>
              <w:pStyle w:val="TableParagraph"/>
              <w:spacing w:before="77"/>
              <w:ind w:left="69"/>
              <w:rPr>
                <w:sz w:val="14"/>
              </w:rPr>
            </w:pPr>
            <w:r>
              <w:rPr>
                <w:sz w:val="14"/>
              </w:rPr>
              <w:t>Temperaturer i kanaler [°C].</w:t>
            </w:r>
          </w:p>
        </w:tc>
        <w:tc>
          <w:tcPr>
            <w:tcW w:w="1908" w:type="dxa"/>
            <w:tcBorders>
              <w:top w:val="nil"/>
              <w:bottom w:val="nil"/>
              <w:right w:val="nil"/>
            </w:tcBorders>
            <w:shd w:val="clear" w:color="auto" w:fill="C8E9E6"/>
          </w:tcPr>
          <w:p>
            <w:pPr>
              <w:pStyle w:val="TableParagraph"/>
              <w:numPr>
                <w:ilvl w:val="0"/>
                <w:numId w:val="46"/>
              </w:numPr>
              <w:tabs>
                <w:tab w:pos="527" w:val="left" w:leader="none"/>
                <w:tab w:pos="1546" w:val="left" w:leader="none"/>
              </w:tabs>
              <w:spacing w:line="246" w:lineRule="exact" w:before="57" w:after="0"/>
              <w:ind w:left="1545" w:right="136" w:hanging="528"/>
              <w:jc w:val="right"/>
              <w:rPr>
                <w:rFonts w:ascii="Wingdings" w:hAnsi="Wingdings"/>
                <w:sz w:val="24"/>
              </w:rPr>
            </w:pPr>
            <w:r>
              <w:rPr>
                <w:rFonts w:ascii="Wingdings" w:hAnsi="Wingdings"/>
                <w:color w:val="F89A01"/>
                <w:sz w:val="24"/>
              </w:rPr>
              <w:t></w:t>
            </w:r>
            <w:r>
              <w:rPr>
                <w:rFonts w:ascii="Wingdings" w:hAnsi="Wingdings"/>
                <w:sz w:val="24"/>
              </w:rPr>
            </w:r>
          </w:p>
        </w:tc>
      </w:tr>
      <w:tr>
        <w:trPr>
          <w:trHeight w:val="323"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CO2 måler (via CTS)</w:t>
            </w:r>
          </w:p>
        </w:tc>
        <w:tc>
          <w:tcPr>
            <w:tcW w:w="3901" w:type="dxa"/>
            <w:tcBorders>
              <w:top w:val="nil"/>
              <w:bottom w:val="nil"/>
            </w:tcBorders>
            <w:shd w:val="clear" w:color="auto" w:fill="C8E9E6"/>
          </w:tcPr>
          <w:p>
            <w:pPr>
              <w:pStyle w:val="TableParagraph"/>
              <w:spacing w:before="77"/>
              <w:ind w:left="69"/>
              <w:rPr>
                <w:sz w:val="14"/>
              </w:rPr>
            </w:pPr>
            <w:r>
              <w:rPr>
                <w:sz w:val="14"/>
              </w:rPr>
              <w:t>CO2 [ppm]</w:t>
            </w:r>
          </w:p>
        </w:tc>
        <w:tc>
          <w:tcPr>
            <w:tcW w:w="1908" w:type="dxa"/>
            <w:tcBorders>
              <w:top w:val="nil"/>
              <w:bottom w:val="nil"/>
              <w:right w:val="nil"/>
            </w:tcBorders>
            <w:shd w:val="clear" w:color="auto" w:fill="C8E9E6"/>
          </w:tcPr>
          <w:p>
            <w:pPr>
              <w:pStyle w:val="TableParagraph"/>
              <w:tabs>
                <w:tab w:pos="544" w:val="left" w:leader="none"/>
              </w:tabs>
              <w:spacing w:line="246" w:lineRule="exact" w:before="57"/>
              <w:ind w:right="154"/>
              <w:jc w:val="right"/>
              <w:rPr>
                <w:rFonts w:ascii="Wingdings" w:hAnsi="Wingdings"/>
                <w:sz w:val="24"/>
              </w:rPr>
            </w:pPr>
            <w:r>
              <w:rPr>
                <w:rFonts w:ascii="Wingdings" w:hAnsi="Wingdings"/>
                <w:color w:val="69ACC8"/>
                <w:sz w:val="24"/>
              </w:rPr>
              <w:t></w:t>
            </w:r>
            <w:r>
              <w:rPr>
                <w:rFonts w:ascii="Times New Roman" w:hAnsi="Times New Roman"/>
                <w:color w:val="69ACC8"/>
                <w:sz w:val="24"/>
              </w:rPr>
              <w:tab/>
            </w:r>
            <w:r>
              <w:rPr>
                <w:rFonts w:ascii="Wingdings" w:hAnsi="Wingdings"/>
                <w:color w:val="69ACC8"/>
                <w:sz w:val="24"/>
              </w:rPr>
              <w:t></w:t>
            </w:r>
          </w:p>
        </w:tc>
      </w:tr>
      <w:tr>
        <w:trPr>
          <w:trHeight w:val="325"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9"/>
              <w:ind w:left="69"/>
              <w:rPr>
                <w:sz w:val="14"/>
              </w:rPr>
            </w:pPr>
            <w:r>
              <w:rPr>
                <w:sz w:val="14"/>
              </w:rPr>
              <w:t>Volumenstrømsmåler</w:t>
            </w:r>
          </w:p>
        </w:tc>
        <w:tc>
          <w:tcPr>
            <w:tcW w:w="3901" w:type="dxa"/>
            <w:tcBorders>
              <w:top w:val="nil"/>
              <w:bottom w:val="nil"/>
            </w:tcBorders>
            <w:shd w:val="clear" w:color="auto" w:fill="C8E9E6"/>
          </w:tcPr>
          <w:p>
            <w:pPr>
              <w:pStyle w:val="TableParagraph"/>
              <w:spacing w:before="79"/>
              <w:ind w:left="69"/>
              <w:rPr>
                <w:sz w:val="14"/>
              </w:rPr>
            </w:pPr>
            <w:r>
              <w:rPr>
                <w:sz w:val="14"/>
              </w:rPr>
              <w:t>Luftmængde/volumenstrøm, [m3/h]</w:t>
            </w:r>
          </w:p>
        </w:tc>
        <w:tc>
          <w:tcPr>
            <w:tcW w:w="1908" w:type="dxa"/>
            <w:tcBorders>
              <w:top w:val="nil"/>
              <w:bottom w:val="nil"/>
              <w:right w:val="nil"/>
            </w:tcBorders>
            <w:shd w:val="clear" w:color="auto" w:fill="C8E9E6"/>
          </w:tcPr>
          <w:p>
            <w:pPr>
              <w:pStyle w:val="TableParagraph"/>
              <w:numPr>
                <w:ilvl w:val="0"/>
                <w:numId w:val="47"/>
              </w:numPr>
              <w:tabs>
                <w:tab w:pos="527" w:val="left" w:leader="none"/>
                <w:tab w:pos="1546" w:val="left" w:leader="none"/>
              </w:tabs>
              <w:spacing w:line="246" w:lineRule="exact" w:before="60" w:after="0"/>
              <w:ind w:left="1545" w:right="136" w:hanging="528"/>
              <w:jc w:val="right"/>
              <w:rPr>
                <w:rFonts w:ascii="Wingdings" w:hAnsi="Wingdings"/>
                <w:sz w:val="24"/>
              </w:rPr>
            </w:pPr>
            <w:r>
              <w:rPr>
                <w:rFonts w:ascii="Wingdings" w:hAnsi="Wingdings"/>
                <w:color w:val="F89A01"/>
                <w:sz w:val="24"/>
              </w:rPr>
              <w:t></w:t>
            </w:r>
            <w:r>
              <w:rPr>
                <w:rFonts w:ascii="Wingdings" w:hAnsi="Wingdings"/>
                <w:sz w:val="24"/>
              </w:rPr>
            </w:r>
          </w:p>
        </w:tc>
      </w:tr>
      <w:tr>
        <w:trPr>
          <w:trHeight w:val="371"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101"/>
              <w:ind w:left="69"/>
              <w:rPr>
                <w:sz w:val="14"/>
              </w:rPr>
            </w:pPr>
            <w:r>
              <w:rPr>
                <w:sz w:val="14"/>
              </w:rPr>
              <w:t>Temperaturfølere og CTS</w:t>
            </w:r>
          </w:p>
        </w:tc>
        <w:tc>
          <w:tcPr>
            <w:tcW w:w="3901" w:type="dxa"/>
            <w:tcBorders>
              <w:top w:val="nil"/>
              <w:bottom w:val="nil"/>
            </w:tcBorders>
            <w:shd w:val="clear" w:color="auto" w:fill="C8E9E6"/>
          </w:tcPr>
          <w:p>
            <w:pPr>
              <w:pStyle w:val="TableParagraph"/>
              <w:spacing w:line="170" w:lineRule="atLeast" w:before="15"/>
              <w:ind w:left="69"/>
              <w:rPr>
                <w:sz w:val="14"/>
              </w:rPr>
            </w:pPr>
            <w:r>
              <w:rPr>
                <w:sz w:val="14"/>
              </w:rPr>
              <w:t>Varmegenvinding, (beregnes ud fra temperaturer) [%]</w:t>
            </w:r>
          </w:p>
        </w:tc>
        <w:tc>
          <w:tcPr>
            <w:tcW w:w="1908" w:type="dxa"/>
            <w:tcBorders>
              <w:top w:val="nil"/>
              <w:bottom w:val="nil"/>
              <w:right w:val="nil"/>
            </w:tcBorders>
            <w:shd w:val="clear" w:color="auto" w:fill="C8E9E6"/>
          </w:tcPr>
          <w:p>
            <w:pPr>
              <w:pStyle w:val="TableParagraph"/>
              <w:spacing w:line="246" w:lineRule="exact" w:before="105"/>
              <w:ind w:left="1000"/>
              <w:rPr>
                <w:rFonts w:ascii="Wingdings" w:hAnsi="Wingdings"/>
                <w:sz w:val="24"/>
              </w:rPr>
            </w:pPr>
            <w:r>
              <w:rPr>
                <w:rFonts w:ascii="Wingdings" w:hAnsi="Wingdings"/>
                <w:color w:val="F89A01"/>
                <w:sz w:val="24"/>
              </w:rPr>
              <w:t></w:t>
            </w:r>
          </w:p>
        </w:tc>
      </w:tr>
      <w:tr>
        <w:trPr>
          <w:trHeight w:val="371"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101"/>
              <w:ind w:left="69"/>
              <w:rPr>
                <w:sz w:val="14"/>
              </w:rPr>
            </w:pPr>
            <w:r>
              <w:rPr>
                <w:sz w:val="14"/>
              </w:rPr>
              <w:t>Temp og vol.måler</w:t>
            </w:r>
          </w:p>
        </w:tc>
        <w:tc>
          <w:tcPr>
            <w:tcW w:w="3901" w:type="dxa"/>
            <w:tcBorders>
              <w:top w:val="nil"/>
              <w:bottom w:val="nil"/>
            </w:tcBorders>
            <w:shd w:val="clear" w:color="auto" w:fill="C8E9E6"/>
          </w:tcPr>
          <w:p>
            <w:pPr>
              <w:pStyle w:val="TableParagraph"/>
              <w:spacing w:line="170" w:lineRule="atLeast" w:before="17"/>
              <w:ind w:left="69"/>
              <w:rPr>
                <w:sz w:val="14"/>
              </w:rPr>
            </w:pPr>
            <w:r>
              <w:rPr>
                <w:sz w:val="14"/>
              </w:rPr>
              <w:t>SEL (beregnes ud fra elforbrug og luftmængde) [J/m3].</w:t>
            </w:r>
          </w:p>
        </w:tc>
        <w:tc>
          <w:tcPr>
            <w:tcW w:w="1908" w:type="dxa"/>
            <w:tcBorders>
              <w:top w:val="nil"/>
              <w:bottom w:val="nil"/>
              <w:right w:val="nil"/>
            </w:tcBorders>
            <w:shd w:val="clear" w:color="auto" w:fill="C8E9E6"/>
          </w:tcPr>
          <w:p>
            <w:pPr>
              <w:pStyle w:val="TableParagraph"/>
              <w:spacing w:line="246" w:lineRule="exact" w:before="105"/>
              <w:ind w:left="1000"/>
              <w:rPr>
                <w:rFonts w:ascii="Wingdings" w:hAnsi="Wingdings"/>
                <w:sz w:val="24"/>
              </w:rPr>
            </w:pPr>
            <w:r>
              <w:rPr>
                <w:rFonts w:ascii="Wingdings" w:hAnsi="Wingdings"/>
                <w:color w:val="F89A01"/>
                <w:sz w:val="24"/>
              </w:rPr>
              <w:t></w:t>
            </w:r>
          </w:p>
        </w:tc>
      </w:tr>
      <w:tr>
        <w:trPr>
          <w:trHeight w:val="325"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9"/>
              <w:ind w:left="69"/>
              <w:rPr>
                <w:sz w:val="14"/>
              </w:rPr>
            </w:pPr>
            <w:r>
              <w:rPr>
                <w:sz w:val="14"/>
              </w:rPr>
              <w:t>Trykfølere</w:t>
            </w:r>
          </w:p>
        </w:tc>
        <w:tc>
          <w:tcPr>
            <w:tcW w:w="3901" w:type="dxa"/>
            <w:tcBorders>
              <w:top w:val="nil"/>
              <w:bottom w:val="nil"/>
            </w:tcBorders>
            <w:shd w:val="clear" w:color="auto" w:fill="C8E9E6"/>
          </w:tcPr>
          <w:p>
            <w:pPr>
              <w:pStyle w:val="TableParagraph"/>
              <w:spacing w:before="79"/>
              <w:ind w:left="69"/>
              <w:rPr>
                <w:sz w:val="14"/>
              </w:rPr>
            </w:pPr>
            <w:r>
              <w:rPr>
                <w:sz w:val="14"/>
              </w:rPr>
              <w:t>Driftstryk i kanal (Pa)</w:t>
            </w:r>
          </w:p>
        </w:tc>
        <w:tc>
          <w:tcPr>
            <w:tcW w:w="1908" w:type="dxa"/>
            <w:tcBorders>
              <w:top w:val="nil"/>
              <w:bottom w:val="nil"/>
              <w:right w:val="nil"/>
            </w:tcBorders>
            <w:shd w:val="clear" w:color="auto" w:fill="C8E9E6"/>
          </w:tcPr>
          <w:p>
            <w:pPr>
              <w:pStyle w:val="TableParagraph"/>
              <w:tabs>
                <w:tab w:pos="544" w:val="left" w:leader="none"/>
              </w:tabs>
              <w:spacing w:line="246" w:lineRule="exact" w:before="60"/>
              <w:ind w:right="154"/>
              <w:jc w:val="right"/>
              <w:rPr>
                <w:rFonts w:ascii="Wingdings" w:hAnsi="Wingdings"/>
                <w:sz w:val="24"/>
              </w:rPr>
            </w:pPr>
            <w:r>
              <w:rPr>
                <w:rFonts w:ascii="Wingdings" w:hAnsi="Wingdings"/>
                <w:color w:val="69ACC8"/>
                <w:sz w:val="24"/>
              </w:rPr>
              <w:t></w:t>
            </w:r>
            <w:r>
              <w:rPr>
                <w:rFonts w:ascii="Times New Roman" w:hAnsi="Times New Roman"/>
                <w:color w:val="69ACC8"/>
                <w:sz w:val="24"/>
              </w:rPr>
              <w:tab/>
            </w:r>
            <w:r>
              <w:rPr>
                <w:rFonts w:ascii="Wingdings" w:hAnsi="Wingdings"/>
                <w:color w:val="69ACC8"/>
                <w:sz w:val="24"/>
              </w:rPr>
              <w:t></w:t>
            </w:r>
          </w:p>
        </w:tc>
      </w:tr>
      <w:tr>
        <w:trPr>
          <w:trHeight w:val="323"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Frekvensomformer</w:t>
            </w:r>
          </w:p>
        </w:tc>
        <w:tc>
          <w:tcPr>
            <w:tcW w:w="3901" w:type="dxa"/>
            <w:tcBorders>
              <w:top w:val="nil"/>
              <w:bottom w:val="nil"/>
            </w:tcBorders>
            <w:shd w:val="clear" w:color="auto" w:fill="C8E9E6"/>
          </w:tcPr>
          <w:p>
            <w:pPr>
              <w:pStyle w:val="TableParagraph"/>
              <w:spacing w:before="77"/>
              <w:ind w:left="69"/>
              <w:rPr>
                <w:sz w:val="14"/>
              </w:rPr>
            </w:pPr>
            <w:r>
              <w:rPr>
                <w:sz w:val="14"/>
              </w:rPr>
              <w:t>Motorhastighed (frekvensomformer)</w:t>
            </w:r>
          </w:p>
        </w:tc>
        <w:tc>
          <w:tcPr>
            <w:tcW w:w="1908" w:type="dxa"/>
            <w:tcBorders>
              <w:top w:val="nil"/>
              <w:bottom w:val="nil"/>
              <w:right w:val="nil"/>
            </w:tcBorders>
            <w:shd w:val="clear" w:color="auto" w:fill="C8E9E6"/>
          </w:tcPr>
          <w:p>
            <w:pPr>
              <w:pStyle w:val="TableParagraph"/>
              <w:spacing w:line="246" w:lineRule="exact" w:before="57"/>
              <w:ind w:left="1017"/>
              <w:rPr>
                <w:rFonts w:ascii="Wingdings" w:hAnsi="Wingdings"/>
                <w:sz w:val="24"/>
              </w:rPr>
            </w:pPr>
            <w:r>
              <w:rPr>
                <w:rFonts w:ascii="Wingdings" w:hAnsi="Wingdings"/>
                <w:color w:val="69ACC8"/>
                <w:sz w:val="24"/>
              </w:rPr>
              <w:t></w:t>
            </w:r>
          </w:p>
        </w:tc>
      </w:tr>
      <w:tr>
        <w:trPr>
          <w:trHeight w:val="323"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CTS, 0-10V signal fra komponent</w:t>
            </w:r>
          </w:p>
        </w:tc>
        <w:tc>
          <w:tcPr>
            <w:tcW w:w="3901" w:type="dxa"/>
            <w:tcBorders>
              <w:top w:val="nil"/>
              <w:bottom w:val="nil"/>
            </w:tcBorders>
            <w:shd w:val="clear" w:color="auto" w:fill="C8E9E6"/>
          </w:tcPr>
          <w:p>
            <w:pPr>
              <w:pStyle w:val="TableParagraph"/>
              <w:spacing w:before="77"/>
              <w:ind w:left="69"/>
              <w:rPr>
                <w:sz w:val="14"/>
              </w:rPr>
            </w:pPr>
            <w:r>
              <w:rPr>
                <w:sz w:val="14"/>
              </w:rPr>
              <w:t>Spjældposition i kanaler [%]</w:t>
            </w:r>
          </w:p>
        </w:tc>
        <w:tc>
          <w:tcPr>
            <w:tcW w:w="1908" w:type="dxa"/>
            <w:tcBorders>
              <w:top w:val="nil"/>
              <w:bottom w:val="nil"/>
              <w:right w:val="nil"/>
            </w:tcBorders>
            <w:shd w:val="clear" w:color="auto" w:fill="C8E9E6"/>
          </w:tcPr>
          <w:p>
            <w:pPr>
              <w:pStyle w:val="TableParagraph"/>
              <w:spacing w:line="246" w:lineRule="exact" w:before="57"/>
              <w:ind w:left="1017"/>
              <w:rPr>
                <w:rFonts w:ascii="Wingdings" w:hAnsi="Wingdings"/>
                <w:sz w:val="24"/>
              </w:rPr>
            </w:pPr>
            <w:r>
              <w:rPr>
                <w:rFonts w:ascii="Wingdings" w:hAnsi="Wingdings"/>
                <w:color w:val="69ACC8"/>
                <w:sz w:val="24"/>
              </w:rPr>
              <w:t></w:t>
            </w:r>
          </w:p>
        </w:tc>
      </w:tr>
      <w:tr>
        <w:trPr>
          <w:trHeight w:val="325"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9"/>
              <w:ind w:left="69"/>
              <w:rPr>
                <w:sz w:val="14"/>
              </w:rPr>
            </w:pPr>
            <w:r>
              <w:rPr>
                <w:sz w:val="14"/>
              </w:rPr>
              <w:t>CTS, 0-10V signal fra komponent</w:t>
            </w:r>
          </w:p>
        </w:tc>
        <w:tc>
          <w:tcPr>
            <w:tcW w:w="3901" w:type="dxa"/>
            <w:tcBorders>
              <w:top w:val="nil"/>
              <w:bottom w:val="nil"/>
            </w:tcBorders>
            <w:shd w:val="clear" w:color="auto" w:fill="C8E9E6"/>
          </w:tcPr>
          <w:p>
            <w:pPr>
              <w:pStyle w:val="TableParagraph"/>
              <w:spacing w:before="79"/>
              <w:ind w:left="69"/>
              <w:rPr>
                <w:sz w:val="14"/>
              </w:rPr>
            </w:pPr>
            <w:r>
              <w:rPr>
                <w:sz w:val="14"/>
              </w:rPr>
              <w:t>Spjældposition i kanaler til det enkelte rum [%]</w:t>
            </w:r>
          </w:p>
        </w:tc>
        <w:tc>
          <w:tcPr>
            <w:tcW w:w="1908" w:type="dxa"/>
            <w:tcBorders>
              <w:top w:val="nil"/>
              <w:bottom w:val="nil"/>
              <w:right w:val="nil"/>
            </w:tcBorders>
            <w:shd w:val="clear" w:color="auto" w:fill="C8E9E6"/>
          </w:tcPr>
          <w:p>
            <w:pPr>
              <w:pStyle w:val="TableParagraph"/>
              <w:numPr>
                <w:ilvl w:val="0"/>
                <w:numId w:val="48"/>
              </w:numPr>
              <w:tabs>
                <w:tab w:pos="527" w:val="left" w:leader="none"/>
                <w:tab w:pos="1546" w:val="left" w:leader="none"/>
              </w:tabs>
              <w:spacing w:line="246" w:lineRule="exact" w:before="60" w:after="0"/>
              <w:ind w:left="1545" w:right="136" w:hanging="528"/>
              <w:jc w:val="right"/>
              <w:rPr>
                <w:rFonts w:ascii="Wingdings" w:hAnsi="Wingdings"/>
                <w:sz w:val="24"/>
              </w:rPr>
            </w:pPr>
            <w:r>
              <w:rPr>
                <w:rFonts w:ascii="Wingdings" w:hAnsi="Wingdings"/>
                <w:color w:val="F89A01"/>
                <w:sz w:val="24"/>
              </w:rPr>
              <w:t></w:t>
            </w:r>
            <w:r>
              <w:rPr>
                <w:rFonts w:ascii="Wingdings" w:hAnsi="Wingdings"/>
                <w:sz w:val="24"/>
              </w:rPr>
            </w:r>
          </w:p>
        </w:tc>
      </w:tr>
      <w:tr>
        <w:trPr>
          <w:trHeight w:val="323"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CTS, 0-10V signal fra komponent</w:t>
            </w:r>
          </w:p>
        </w:tc>
        <w:tc>
          <w:tcPr>
            <w:tcW w:w="3901" w:type="dxa"/>
            <w:tcBorders>
              <w:top w:val="nil"/>
              <w:bottom w:val="nil"/>
            </w:tcBorders>
            <w:shd w:val="clear" w:color="auto" w:fill="C8E9E6"/>
          </w:tcPr>
          <w:p>
            <w:pPr>
              <w:pStyle w:val="TableParagraph"/>
              <w:spacing w:before="77"/>
              <w:ind w:left="69"/>
              <w:rPr>
                <w:sz w:val="14"/>
              </w:rPr>
            </w:pPr>
            <w:r>
              <w:rPr>
                <w:sz w:val="14"/>
              </w:rPr>
              <w:t>Position af motoriseret indblæsningsanemostat</w:t>
            </w:r>
          </w:p>
        </w:tc>
        <w:tc>
          <w:tcPr>
            <w:tcW w:w="1908" w:type="dxa"/>
            <w:tcBorders>
              <w:top w:val="nil"/>
              <w:bottom w:val="nil"/>
              <w:right w:val="nil"/>
            </w:tcBorders>
            <w:shd w:val="clear" w:color="auto" w:fill="C8E9E6"/>
          </w:tcPr>
          <w:p>
            <w:pPr>
              <w:pStyle w:val="TableParagraph"/>
              <w:numPr>
                <w:ilvl w:val="0"/>
                <w:numId w:val="49"/>
              </w:numPr>
              <w:tabs>
                <w:tab w:pos="527" w:val="left" w:leader="none"/>
                <w:tab w:pos="1546" w:val="left" w:leader="none"/>
              </w:tabs>
              <w:spacing w:line="246" w:lineRule="exact" w:before="57" w:after="0"/>
              <w:ind w:left="1545" w:right="136" w:hanging="528"/>
              <w:jc w:val="right"/>
              <w:rPr>
                <w:rFonts w:ascii="Wingdings" w:hAnsi="Wingdings"/>
                <w:sz w:val="24"/>
              </w:rPr>
            </w:pPr>
            <w:r>
              <w:rPr>
                <w:rFonts w:ascii="Wingdings" w:hAnsi="Wingdings"/>
                <w:color w:val="F89A01"/>
                <w:sz w:val="24"/>
              </w:rPr>
              <w:t></w:t>
            </w:r>
            <w:r>
              <w:rPr>
                <w:rFonts w:ascii="Wingdings" w:hAnsi="Wingdings"/>
                <w:sz w:val="24"/>
              </w:rPr>
            </w:r>
          </w:p>
        </w:tc>
      </w:tr>
      <w:tr>
        <w:trPr>
          <w:trHeight w:val="323" w:hRule="atLeast"/>
        </w:trPr>
        <w:tc>
          <w:tcPr>
            <w:tcW w:w="1399" w:type="dxa"/>
            <w:tcBorders>
              <w:top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Temperatur og 0-10V</w:t>
            </w:r>
          </w:p>
        </w:tc>
        <w:tc>
          <w:tcPr>
            <w:tcW w:w="3901" w:type="dxa"/>
            <w:tcBorders>
              <w:top w:val="nil"/>
              <w:bottom w:val="nil"/>
            </w:tcBorders>
            <w:shd w:val="clear" w:color="auto" w:fill="C8E9E6"/>
          </w:tcPr>
          <w:p>
            <w:pPr>
              <w:pStyle w:val="TableParagraph"/>
              <w:spacing w:before="77"/>
              <w:ind w:left="69"/>
              <w:rPr>
                <w:sz w:val="14"/>
              </w:rPr>
            </w:pPr>
            <w:r>
              <w:rPr>
                <w:sz w:val="14"/>
              </w:rPr>
              <w:t>Blandesløjfe: temperaturer [°C], motorventil [%]</w:t>
            </w:r>
          </w:p>
        </w:tc>
        <w:tc>
          <w:tcPr>
            <w:tcW w:w="1908" w:type="dxa"/>
            <w:tcBorders>
              <w:top w:val="nil"/>
              <w:bottom w:val="nil"/>
              <w:right w:val="nil"/>
            </w:tcBorders>
            <w:shd w:val="clear" w:color="auto" w:fill="C8E9E6"/>
          </w:tcPr>
          <w:p>
            <w:pPr>
              <w:pStyle w:val="TableParagraph"/>
              <w:spacing w:line="246" w:lineRule="exact" w:before="57"/>
              <w:ind w:left="1017"/>
              <w:rPr>
                <w:rFonts w:ascii="Wingdings" w:hAnsi="Wingdings"/>
                <w:sz w:val="24"/>
              </w:rPr>
            </w:pPr>
            <w:r>
              <w:rPr>
                <w:rFonts w:ascii="Wingdings" w:hAnsi="Wingdings"/>
                <w:color w:val="69ACC8"/>
                <w:sz w:val="24"/>
              </w:rPr>
              <w:t></w:t>
            </w:r>
          </w:p>
        </w:tc>
      </w:tr>
      <w:tr>
        <w:trPr>
          <w:trHeight w:val="325" w:hRule="atLeast"/>
        </w:trPr>
        <w:tc>
          <w:tcPr>
            <w:tcW w:w="1399" w:type="dxa"/>
            <w:tcBorders>
              <w:top w:val="nil"/>
            </w:tcBorders>
            <w:shd w:val="clear" w:color="auto" w:fill="C8E9E6"/>
          </w:tcPr>
          <w:p>
            <w:pPr>
              <w:pStyle w:val="TableParagraph"/>
              <w:rPr>
                <w:rFonts w:ascii="Times New Roman"/>
                <w:sz w:val="14"/>
              </w:rPr>
            </w:pPr>
          </w:p>
        </w:tc>
        <w:tc>
          <w:tcPr>
            <w:tcW w:w="2662" w:type="dxa"/>
            <w:tcBorders>
              <w:bottom w:val="nil"/>
            </w:tcBorders>
            <w:shd w:val="clear" w:color="auto" w:fill="C8E9E6"/>
          </w:tcPr>
          <w:p>
            <w:pPr>
              <w:pStyle w:val="TableParagraph"/>
              <w:spacing w:before="79"/>
              <w:ind w:left="69"/>
              <w:rPr>
                <w:sz w:val="14"/>
              </w:rPr>
            </w:pPr>
            <w:r>
              <w:rPr>
                <w:sz w:val="14"/>
              </w:rPr>
              <w:t>Urstyring, Ur</w:t>
            </w:r>
          </w:p>
        </w:tc>
        <w:tc>
          <w:tcPr>
            <w:tcW w:w="3901" w:type="dxa"/>
            <w:tcBorders>
              <w:top w:val="nil"/>
              <w:bottom w:val="nil"/>
            </w:tcBorders>
            <w:shd w:val="clear" w:color="auto" w:fill="C8E9E6"/>
          </w:tcPr>
          <w:p>
            <w:pPr>
              <w:pStyle w:val="TableParagraph"/>
              <w:spacing w:before="79"/>
              <w:ind w:left="69"/>
              <w:rPr>
                <w:sz w:val="14"/>
              </w:rPr>
            </w:pPr>
            <w:r>
              <w:rPr>
                <w:sz w:val="14"/>
              </w:rPr>
              <w:t>Driftstider, ur, PIR</w:t>
            </w:r>
          </w:p>
        </w:tc>
        <w:tc>
          <w:tcPr>
            <w:tcW w:w="1908" w:type="dxa"/>
            <w:tcBorders>
              <w:top w:val="nil"/>
              <w:bottom w:val="nil"/>
              <w:right w:val="nil"/>
            </w:tcBorders>
            <w:shd w:val="clear" w:color="auto" w:fill="C8E9E6"/>
          </w:tcPr>
          <w:p>
            <w:pPr>
              <w:pStyle w:val="TableParagraph"/>
              <w:tabs>
                <w:tab w:pos="544" w:val="left" w:leader="none"/>
              </w:tabs>
              <w:spacing w:line="246" w:lineRule="exact" w:before="60"/>
              <w:ind w:right="136"/>
              <w:jc w:val="right"/>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tc>
      </w:tr>
      <w:tr>
        <w:trPr>
          <w:trHeight w:val="323" w:hRule="atLeast"/>
        </w:trPr>
        <w:tc>
          <w:tcPr>
            <w:tcW w:w="1399" w:type="dxa"/>
            <w:tcBorders>
              <w:bottom w:val="nil"/>
            </w:tcBorders>
            <w:shd w:val="clear" w:color="auto" w:fill="E2F3F0"/>
          </w:tcPr>
          <w:p>
            <w:pPr>
              <w:pStyle w:val="TableParagraph"/>
              <w:spacing w:before="77"/>
              <w:ind w:left="69"/>
              <w:rPr>
                <w:sz w:val="14"/>
              </w:rPr>
            </w:pPr>
            <w:r>
              <w:rPr>
                <w:sz w:val="14"/>
              </w:rPr>
              <w:t>Varmeanlæg</w:t>
            </w:r>
          </w:p>
        </w:tc>
        <w:tc>
          <w:tcPr>
            <w:tcW w:w="2662" w:type="dxa"/>
            <w:tcBorders>
              <w:top w:val="nil"/>
            </w:tcBorders>
            <w:shd w:val="clear" w:color="auto" w:fill="E2F3F0"/>
          </w:tcPr>
          <w:p>
            <w:pPr>
              <w:pStyle w:val="TableParagraph"/>
              <w:spacing w:before="77"/>
              <w:ind w:left="69"/>
              <w:rPr>
                <w:sz w:val="14"/>
              </w:rPr>
            </w:pPr>
            <w:r>
              <w:rPr>
                <w:sz w:val="14"/>
              </w:rPr>
              <w:t>Bi-måler (varme)</w:t>
            </w:r>
          </w:p>
        </w:tc>
        <w:tc>
          <w:tcPr>
            <w:tcW w:w="3901" w:type="dxa"/>
            <w:tcBorders>
              <w:top w:val="nil"/>
              <w:bottom w:val="nil"/>
            </w:tcBorders>
            <w:shd w:val="clear" w:color="auto" w:fill="E2F3F0"/>
          </w:tcPr>
          <w:p>
            <w:pPr>
              <w:pStyle w:val="TableParagraph"/>
              <w:spacing w:before="77"/>
              <w:ind w:left="69"/>
              <w:rPr>
                <w:sz w:val="14"/>
              </w:rPr>
            </w:pPr>
            <w:r>
              <w:rPr>
                <w:sz w:val="14"/>
              </w:rPr>
              <w:t>Varmeforbrug, år/måned/time etc. [kWh]</w:t>
            </w:r>
          </w:p>
        </w:tc>
        <w:tc>
          <w:tcPr>
            <w:tcW w:w="1908" w:type="dxa"/>
            <w:tcBorders>
              <w:top w:val="nil"/>
              <w:bottom w:val="nil"/>
              <w:right w:val="nil"/>
            </w:tcBorders>
            <w:shd w:val="clear" w:color="auto" w:fill="E2F3F0"/>
          </w:tcPr>
          <w:p>
            <w:pPr>
              <w:pStyle w:val="TableParagraph"/>
              <w:spacing w:line="246" w:lineRule="exact" w:before="57"/>
              <w:ind w:left="1000"/>
              <w:rPr>
                <w:rFonts w:ascii="Wingdings" w:hAnsi="Wingdings"/>
                <w:sz w:val="24"/>
              </w:rPr>
            </w:pPr>
            <w:r>
              <w:rPr>
                <w:rFonts w:ascii="Wingdings" w:hAnsi="Wingdings"/>
                <w:color w:val="F89A01"/>
                <w:sz w:val="24"/>
              </w:rPr>
              <w:t></w:t>
            </w:r>
          </w:p>
        </w:tc>
      </w:tr>
      <w:tr>
        <w:trPr>
          <w:trHeight w:val="371"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101"/>
              <w:ind w:left="69"/>
              <w:rPr>
                <w:sz w:val="14"/>
              </w:rPr>
            </w:pPr>
            <w:r>
              <w:rPr>
                <w:sz w:val="14"/>
              </w:rPr>
              <w:t>Bi-målere (el, varme, l)</w:t>
            </w:r>
          </w:p>
        </w:tc>
        <w:tc>
          <w:tcPr>
            <w:tcW w:w="3901" w:type="dxa"/>
            <w:tcBorders>
              <w:top w:val="nil"/>
              <w:bottom w:val="nil"/>
            </w:tcBorders>
            <w:shd w:val="clear" w:color="auto" w:fill="E2F3F0"/>
          </w:tcPr>
          <w:p>
            <w:pPr>
              <w:pStyle w:val="TableParagraph"/>
              <w:spacing w:line="170" w:lineRule="atLeast" w:before="17"/>
              <w:ind w:left="69" w:right="7"/>
              <w:rPr>
                <w:sz w:val="14"/>
              </w:rPr>
            </w:pPr>
            <w:r>
              <w:rPr>
                <w:sz w:val="14"/>
              </w:rPr>
              <w:t>Temperaturer frem og retur. Primær og sekundær side [°C].</w:t>
            </w:r>
          </w:p>
        </w:tc>
        <w:tc>
          <w:tcPr>
            <w:tcW w:w="1908" w:type="dxa"/>
            <w:tcBorders>
              <w:top w:val="nil"/>
              <w:bottom w:val="nil"/>
              <w:right w:val="nil"/>
            </w:tcBorders>
            <w:shd w:val="clear" w:color="auto" w:fill="E2F3F0"/>
          </w:tcPr>
          <w:p>
            <w:pPr>
              <w:pStyle w:val="TableParagraph"/>
              <w:spacing w:line="246" w:lineRule="exact" w:before="105"/>
              <w:ind w:left="1000"/>
              <w:rPr>
                <w:rFonts w:ascii="Wingdings" w:hAnsi="Wingdings"/>
                <w:sz w:val="24"/>
              </w:rPr>
            </w:pPr>
            <w:r>
              <w:rPr>
                <w:rFonts w:ascii="Wingdings" w:hAnsi="Wingdings"/>
                <w:color w:val="F89A01"/>
                <w:sz w:val="24"/>
              </w:rPr>
              <w:t></w:t>
            </w:r>
          </w:p>
        </w:tc>
      </w:tr>
      <w:tr>
        <w:trPr>
          <w:trHeight w:val="325"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9"/>
              <w:ind w:left="69"/>
              <w:rPr>
                <w:sz w:val="14"/>
              </w:rPr>
            </w:pPr>
            <w:r>
              <w:rPr>
                <w:sz w:val="14"/>
              </w:rPr>
              <w:t>Bi-målere (el)</w:t>
            </w:r>
          </w:p>
        </w:tc>
        <w:tc>
          <w:tcPr>
            <w:tcW w:w="3901" w:type="dxa"/>
            <w:tcBorders>
              <w:top w:val="nil"/>
              <w:bottom w:val="nil"/>
            </w:tcBorders>
            <w:shd w:val="clear" w:color="auto" w:fill="E2F3F0"/>
          </w:tcPr>
          <w:p>
            <w:pPr>
              <w:pStyle w:val="TableParagraph"/>
              <w:spacing w:before="79"/>
              <w:ind w:left="69"/>
              <w:rPr>
                <w:sz w:val="14"/>
              </w:rPr>
            </w:pPr>
            <w:r>
              <w:rPr>
                <w:sz w:val="14"/>
              </w:rPr>
              <w:t>Elforbrug cirkulationspumper [kWh]</w:t>
            </w:r>
          </w:p>
        </w:tc>
        <w:tc>
          <w:tcPr>
            <w:tcW w:w="1908" w:type="dxa"/>
            <w:tcBorders>
              <w:top w:val="nil"/>
              <w:bottom w:val="nil"/>
              <w:right w:val="nil"/>
            </w:tcBorders>
            <w:shd w:val="clear" w:color="auto" w:fill="E2F3F0"/>
          </w:tcPr>
          <w:p>
            <w:pPr>
              <w:pStyle w:val="TableParagraph"/>
              <w:spacing w:line="246" w:lineRule="exact" w:before="60"/>
              <w:ind w:left="1000"/>
              <w:rPr>
                <w:rFonts w:ascii="Wingdings" w:hAnsi="Wingdings"/>
                <w:sz w:val="24"/>
              </w:rPr>
            </w:pPr>
            <w:r>
              <w:rPr>
                <w:rFonts w:ascii="Wingdings" w:hAnsi="Wingdings"/>
                <w:color w:val="F89A01"/>
                <w:sz w:val="24"/>
              </w:rPr>
              <w:t></w:t>
            </w:r>
          </w:p>
        </w:tc>
      </w:tr>
      <w:tr>
        <w:trPr>
          <w:trHeight w:val="323"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7"/>
              <w:ind w:left="69"/>
              <w:rPr>
                <w:sz w:val="14"/>
              </w:rPr>
            </w:pPr>
            <w:r>
              <w:rPr>
                <w:sz w:val="14"/>
              </w:rPr>
              <w:t>Elektronis varmemåler</w:t>
            </w:r>
          </w:p>
        </w:tc>
        <w:tc>
          <w:tcPr>
            <w:tcW w:w="3901" w:type="dxa"/>
            <w:tcBorders>
              <w:top w:val="nil"/>
              <w:bottom w:val="nil"/>
            </w:tcBorders>
            <w:shd w:val="clear" w:color="auto" w:fill="E2F3F0"/>
          </w:tcPr>
          <w:p>
            <w:pPr>
              <w:pStyle w:val="TableParagraph"/>
              <w:spacing w:before="77"/>
              <w:ind w:left="69"/>
              <w:rPr>
                <w:sz w:val="14"/>
              </w:rPr>
            </w:pPr>
            <w:r>
              <w:rPr>
                <w:sz w:val="14"/>
              </w:rPr>
              <w:t>Vandmængde/flow [l/s]</w:t>
            </w:r>
          </w:p>
        </w:tc>
        <w:tc>
          <w:tcPr>
            <w:tcW w:w="1908" w:type="dxa"/>
            <w:tcBorders>
              <w:top w:val="nil"/>
              <w:bottom w:val="nil"/>
              <w:right w:val="nil"/>
            </w:tcBorders>
            <w:shd w:val="clear" w:color="auto" w:fill="E2F3F0"/>
          </w:tcPr>
          <w:p>
            <w:pPr>
              <w:pStyle w:val="TableParagraph"/>
              <w:spacing w:line="246" w:lineRule="exact" w:before="57"/>
              <w:ind w:left="1000"/>
              <w:rPr>
                <w:rFonts w:ascii="Wingdings" w:hAnsi="Wingdings"/>
                <w:sz w:val="24"/>
              </w:rPr>
            </w:pPr>
            <w:r>
              <w:rPr>
                <w:rFonts w:ascii="Wingdings" w:hAnsi="Wingdings"/>
                <w:color w:val="F89A01"/>
                <w:sz w:val="24"/>
              </w:rPr>
              <w:t></w:t>
            </w:r>
          </w:p>
        </w:tc>
      </w:tr>
      <w:tr>
        <w:trPr>
          <w:trHeight w:val="371"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101"/>
              <w:ind w:left="69"/>
              <w:rPr>
                <w:sz w:val="14"/>
              </w:rPr>
            </w:pPr>
            <w:r>
              <w:rPr>
                <w:sz w:val="14"/>
              </w:rPr>
              <w:t>CTS, 0-10V signal fra komponent</w:t>
            </w:r>
          </w:p>
        </w:tc>
        <w:tc>
          <w:tcPr>
            <w:tcW w:w="3901" w:type="dxa"/>
            <w:tcBorders>
              <w:top w:val="nil"/>
              <w:bottom w:val="nil"/>
            </w:tcBorders>
            <w:shd w:val="clear" w:color="auto" w:fill="E2F3F0"/>
          </w:tcPr>
          <w:p>
            <w:pPr>
              <w:pStyle w:val="TableParagraph"/>
              <w:spacing w:line="170" w:lineRule="atLeast" w:before="17"/>
              <w:ind w:left="69"/>
              <w:rPr>
                <w:sz w:val="14"/>
              </w:rPr>
            </w:pPr>
            <w:r>
              <w:rPr>
                <w:sz w:val="14"/>
              </w:rPr>
              <w:t>Motorventilindstilling, blandesløjfe, zonevarmekreds (%)</w:t>
            </w:r>
          </w:p>
        </w:tc>
        <w:tc>
          <w:tcPr>
            <w:tcW w:w="1908" w:type="dxa"/>
            <w:tcBorders>
              <w:top w:val="nil"/>
              <w:bottom w:val="nil"/>
              <w:right w:val="nil"/>
            </w:tcBorders>
            <w:shd w:val="clear" w:color="auto" w:fill="E2F3F0"/>
          </w:tcPr>
          <w:p>
            <w:pPr>
              <w:pStyle w:val="TableParagraph"/>
              <w:spacing w:line="246" w:lineRule="exact" w:before="105"/>
              <w:ind w:left="1017"/>
              <w:rPr>
                <w:rFonts w:ascii="Wingdings" w:hAnsi="Wingdings"/>
                <w:sz w:val="24"/>
              </w:rPr>
            </w:pPr>
            <w:r>
              <w:rPr>
                <w:rFonts w:ascii="Wingdings" w:hAnsi="Wingdings"/>
                <w:color w:val="69ACC8"/>
                <w:sz w:val="24"/>
              </w:rPr>
              <w:t></w:t>
            </w:r>
          </w:p>
        </w:tc>
      </w:tr>
      <w:tr>
        <w:trPr>
          <w:trHeight w:val="326"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80"/>
              <w:ind w:left="69"/>
              <w:rPr>
                <w:sz w:val="14"/>
              </w:rPr>
            </w:pPr>
            <w:r>
              <w:rPr>
                <w:sz w:val="14"/>
              </w:rPr>
              <w:t>CTS, 0-10V signal fra komponent</w:t>
            </w:r>
          </w:p>
        </w:tc>
        <w:tc>
          <w:tcPr>
            <w:tcW w:w="3901" w:type="dxa"/>
            <w:tcBorders>
              <w:top w:val="nil"/>
              <w:bottom w:val="nil"/>
            </w:tcBorders>
            <w:shd w:val="clear" w:color="auto" w:fill="E2F3F0"/>
          </w:tcPr>
          <w:p>
            <w:pPr>
              <w:pStyle w:val="TableParagraph"/>
              <w:spacing w:before="80"/>
              <w:ind w:left="69"/>
              <w:rPr>
                <w:sz w:val="14"/>
              </w:rPr>
            </w:pPr>
            <w:r>
              <w:rPr>
                <w:sz w:val="14"/>
              </w:rPr>
              <w:t>Radiatorventiler (motorventil)</w:t>
            </w:r>
          </w:p>
        </w:tc>
        <w:tc>
          <w:tcPr>
            <w:tcW w:w="1908" w:type="dxa"/>
            <w:tcBorders>
              <w:top w:val="nil"/>
              <w:bottom w:val="nil"/>
              <w:right w:val="nil"/>
            </w:tcBorders>
            <w:shd w:val="clear" w:color="auto" w:fill="E2F3F0"/>
          </w:tcPr>
          <w:p>
            <w:pPr>
              <w:pStyle w:val="TableParagraph"/>
              <w:tabs>
                <w:tab w:pos="544" w:val="left" w:leader="none"/>
              </w:tabs>
              <w:spacing w:line="246" w:lineRule="exact" w:before="60"/>
              <w:ind w:right="154"/>
              <w:jc w:val="right"/>
              <w:rPr>
                <w:rFonts w:ascii="Wingdings" w:hAnsi="Wingdings"/>
                <w:sz w:val="24"/>
              </w:rPr>
            </w:pPr>
            <w:r>
              <w:rPr>
                <w:rFonts w:ascii="Wingdings" w:hAnsi="Wingdings"/>
                <w:color w:val="69ACC8"/>
                <w:sz w:val="24"/>
              </w:rPr>
              <w:t></w:t>
            </w:r>
            <w:r>
              <w:rPr>
                <w:rFonts w:ascii="Times New Roman" w:hAnsi="Times New Roman"/>
                <w:color w:val="69ACC8"/>
                <w:sz w:val="24"/>
              </w:rPr>
              <w:tab/>
            </w:r>
            <w:r>
              <w:rPr>
                <w:rFonts w:ascii="Wingdings" w:hAnsi="Wingdings"/>
                <w:color w:val="69ACC8"/>
                <w:sz w:val="24"/>
              </w:rPr>
              <w:t></w:t>
            </w:r>
          </w:p>
        </w:tc>
      </w:tr>
      <w:tr>
        <w:trPr>
          <w:trHeight w:val="323" w:hRule="atLeast"/>
        </w:trPr>
        <w:tc>
          <w:tcPr>
            <w:tcW w:w="1399" w:type="dxa"/>
            <w:tcBorders>
              <w:top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7"/>
              <w:ind w:left="69"/>
              <w:rPr>
                <w:sz w:val="14"/>
              </w:rPr>
            </w:pPr>
            <w:r>
              <w:rPr>
                <w:sz w:val="14"/>
              </w:rPr>
              <w:t>Fjernaflæst måler</w:t>
            </w:r>
          </w:p>
        </w:tc>
        <w:tc>
          <w:tcPr>
            <w:tcW w:w="3901" w:type="dxa"/>
            <w:tcBorders>
              <w:top w:val="nil"/>
              <w:bottom w:val="nil"/>
            </w:tcBorders>
            <w:shd w:val="clear" w:color="auto" w:fill="E2F3F0"/>
          </w:tcPr>
          <w:p>
            <w:pPr>
              <w:pStyle w:val="TableParagraph"/>
              <w:spacing w:before="77"/>
              <w:ind w:left="69"/>
              <w:rPr>
                <w:sz w:val="14"/>
              </w:rPr>
            </w:pPr>
            <w:r>
              <w:rPr>
                <w:sz w:val="14"/>
              </w:rPr>
              <w:t>Varmemålere på radiatorer</w:t>
            </w:r>
          </w:p>
        </w:tc>
        <w:tc>
          <w:tcPr>
            <w:tcW w:w="1908" w:type="dxa"/>
            <w:tcBorders>
              <w:top w:val="nil"/>
              <w:bottom w:val="nil"/>
              <w:right w:val="nil"/>
            </w:tcBorders>
            <w:shd w:val="clear" w:color="auto" w:fill="E2F3F0"/>
          </w:tcPr>
          <w:p>
            <w:pPr>
              <w:pStyle w:val="TableParagraph"/>
              <w:spacing w:line="246" w:lineRule="exact" w:before="57"/>
              <w:ind w:right="154"/>
              <w:jc w:val="right"/>
              <w:rPr>
                <w:rFonts w:ascii="Wingdings" w:hAnsi="Wingdings"/>
                <w:sz w:val="24"/>
              </w:rPr>
            </w:pPr>
            <w:r>
              <w:rPr>
                <w:rFonts w:ascii="Wingdings" w:hAnsi="Wingdings"/>
                <w:color w:val="69ACC8"/>
                <w:sz w:val="24"/>
              </w:rPr>
              <w:t></w:t>
            </w:r>
          </w:p>
        </w:tc>
      </w:tr>
      <w:tr>
        <w:trPr>
          <w:trHeight w:val="334" w:hRule="atLeast"/>
        </w:trPr>
        <w:tc>
          <w:tcPr>
            <w:tcW w:w="1399" w:type="dxa"/>
            <w:tcBorders>
              <w:bottom w:val="nil"/>
            </w:tcBorders>
            <w:shd w:val="clear" w:color="auto" w:fill="C8E9E6"/>
          </w:tcPr>
          <w:p>
            <w:pPr>
              <w:pStyle w:val="TableParagraph"/>
              <w:spacing w:before="72"/>
              <w:ind w:left="69"/>
              <w:rPr>
                <w:sz w:val="14"/>
              </w:rPr>
            </w:pPr>
            <w:r>
              <w:rPr>
                <w:sz w:val="14"/>
              </w:rPr>
              <w:t>Brugsvand</w:t>
            </w:r>
          </w:p>
        </w:tc>
        <w:tc>
          <w:tcPr>
            <w:tcW w:w="2662" w:type="dxa"/>
            <w:tcBorders>
              <w:bottom w:val="nil"/>
            </w:tcBorders>
            <w:shd w:val="clear" w:color="auto" w:fill="C8E9E6"/>
          </w:tcPr>
          <w:p>
            <w:pPr>
              <w:pStyle w:val="TableParagraph"/>
              <w:spacing w:before="72"/>
              <w:ind w:left="69"/>
              <w:rPr>
                <w:sz w:val="14"/>
              </w:rPr>
            </w:pPr>
            <w:r>
              <w:rPr>
                <w:sz w:val="14"/>
              </w:rPr>
              <w:t>Bi-målere</w:t>
            </w:r>
          </w:p>
        </w:tc>
        <w:tc>
          <w:tcPr>
            <w:tcW w:w="3901" w:type="dxa"/>
            <w:tcBorders>
              <w:top w:val="nil"/>
              <w:bottom w:val="nil"/>
            </w:tcBorders>
            <w:shd w:val="clear" w:color="auto" w:fill="C8E9E6"/>
          </w:tcPr>
          <w:p>
            <w:pPr>
              <w:pStyle w:val="TableParagraph"/>
              <w:spacing w:before="72"/>
              <w:ind w:left="69"/>
              <w:rPr>
                <w:sz w:val="14"/>
              </w:rPr>
            </w:pPr>
            <w:r>
              <w:rPr>
                <w:sz w:val="14"/>
              </w:rPr>
              <w:t>Varmeforbrug [kWh]</w:t>
            </w:r>
          </w:p>
        </w:tc>
        <w:tc>
          <w:tcPr>
            <w:tcW w:w="1908" w:type="dxa"/>
            <w:tcBorders>
              <w:top w:val="nil"/>
              <w:bottom w:val="nil"/>
              <w:right w:val="nil"/>
            </w:tcBorders>
            <w:shd w:val="clear" w:color="auto" w:fill="C8E9E6"/>
          </w:tcPr>
          <w:p>
            <w:pPr>
              <w:pStyle w:val="TableParagraph"/>
              <w:spacing w:before="45"/>
              <w:ind w:left="1000"/>
              <w:rPr>
                <w:rFonts w:ascii="Wingdings" w:hAnsi="Wingdings"/>
                <w:sz w:val="24"/>
              </w:rPr>
            </w:pPr>
            <w:r>
              <w:rPr>
                <w:rFonts w:ascii="Wingdings" w:hAnsi="Wingdings"/>
                <w:color w:val="F89A01"/>
                <w:sz w:val="24"/>
              </w:rPr>
              <w:t></w:t>
            </w:r>
          </w:p>
        </w:tc>
      </w:tr>
      <w:tr>
        <w:trPr>
          <w:trHeight w:val="312" w:hRule="atLeast"/>
        </w:trPr>
        <w:tc>
          <w:tcPr>
            <w:tcW w:w="1399" w:type="dxa"/>
            <w:tcBorders>
              <w:top w:val="nil"/>
              <w:left w:val="nil"/>
              <w:bottom w:val="nil"/>
            </w:tcBorders>
            <w:shd w:val="clear" w:color="auto" w:fill="C8E9E6"/>
          </w:tcPr>
          <w:p>
            <w:pPr>
              <w:pStyle w:val="TableParagraph"/>
              <w:rPr>
                <w:rFonts w:ascii="Times New Roman"/>
                <w:sz w:val="14"/>
              </w:rPr>
            </w:pPr>
          </w:p>
        </w:tc>
        <w:tc>
          <w:tcPr>
            <w:tcW w:w="2662" w:type="dxa"/>
            <w:tcBorders>
              <w:top w:val="nil"/>
              <w:bottom w:val="nil"/>
            </w:tcBorders>
            <w:shd w:val="clear" w:color="auto" w:fill="C8E9E6"/>
          </w:tcPr>
          <w:p>
            <w:pPr>
              <w:pStyle w:val="TableParagraph"/>
              <w:spacing w:before="50"/>
              <w:ind w:left="69"/>
              <w:rPr>
                <w:sz w:val="14"/>
              </w:rPr>
            </w:pPr>
            <w:r>
              <w:rPr>
                <w:sz w:val="14"/>
              </w:rPr>
              <w:t>Bi-målere</w:t>
            </w:r>
          </w:p>
        </w:tc>
        <w:tc>
          <w:tcPr>
            <w:tcW w:w="3901" w:type="dxa"/>
            <w:tcBorders>
              <w:top w:val="nil"/>
              <w:bottom w:val="nil"/>
            </w:tcBorders>
            <w:shd w:val="clear" w:color="auto" w:fill="C8E9E6"/>
          </w:tcPr>
          <w:p>
            <w:pPr>
              <w:pStyle w:val="TableParagraph"/>
              <w:spacing w:before="50"/>
              <w:ind w:left="69"/>
              <w:rPr>
                <w:sz w:val="14"/>
              </w:rPr>
            </w:pPr>
            <w:r>
              <w:rPr>
                <w:sz w:val="14"/>
              </w:rPr>
              <w:t>Elforbrug, pumper, el-patron [kWh]</w:t>
            </w:r>
          </w:p>
        </w:tc>
        <w:tc>
          <w:tcPr>
            <w:tcW w:w="1908" w:type="dxa"/>
            <w:tcBorders>
              <w:top w:val="nil"/>
              <w:bottom w:val="nil"/>
              <w:right w:val="nil"/>
            </w:tcBorders>
            <w:shd w:val="clear" w:color="auto" w:fill="C8E9E6"/>
          </w:tcPr>
          <w:p>
            <w:pPr>
              <w:pStyle w:val="TableParagraph"/>
              <w:spacing w:before="23"/>
              <w:ind w:left="1000"/>
              <w:rPr>
                <w:rFonts w:ascii="Wingdings" w:hAnsi="Wingdings"/>
                <w:sz w:val="24"/>
              </w:rPr>
            </w:pPr>
            <w:r>
              <w:rPr>
                <w:rFonts w:ascii="Wingdings" w:hAnsi="Wingdings"/>
                <w:color w:val="F89A01"/>
                <w:sz w:val="24"/>
              </w:rPr>
              <w:t></w:t>
            </w:r>
          </w:p>
        </w:tc>
      </w:tr>
      <w:tr>
        <w:trPr>
          <w:trHeight w:val="311" w:hRule="atLeast"/>
        </w:trPr>
        <w:tc>
          <w:tcPr>
            <w:tcW w:w="1399" w:type="dxa"/>
            <w:tcBorders>
              <w:top w:val="nil"/>
              <w:bottom w:val="nil"/>
            </w:tcBorders>
            <w:shd w:val="clear" w:color="auto" w:fill="C8E9E6"/>
          </w:tcPr>
          <w:p>
            <w:pPr>
              <w:pStyle w:val="TableParagraph"/>
              <w:rPr>
                <w:rFonts w:ascii="Times New Roman"/>
                <w:sz w:val="14"/>
              </w:rPr>
            </w:pPr>
          </w:p>
        </w:tc>
        <w:tc>
          <w:tcPr>
            <w:tcW w:w="2662" w:type="dxa"/>
            <w:tcBorders>
              <w:top w:val="nil"/>
              <w:bottom w:val="nil"/>
            </w:tcBorders>
            <w:shd w:val="clear" w:color="auto" w:fill="C8E9E6"/>
          </w:tcPr>
          <w:p>
            <w:pPr>
              <w:pStyle w:val="TableParagraph"/>
              <w:spacing w:before="50"/>
              <w:ind w:left="69"/>
              <w:rPr>
                <w:sz w:val="14"/>
              </w:rPr>
            </w:pPr>
            <w:r>
              <w:rPr>
                <w:sz w:val="14"/>
              </w:rPr>
              <w:t>Bi-målere</w:t>
            </w:r>
          </w:p>
        </w:tc>
        <w:tc>
          <w:tcPr>
            <w:tcW w:w="3901" w:type="dxa"/>
            <w:tcBorders>
              <w:top w:val="nil"/>
              <w:bottom w:val="nil"/>
            </w:tcBorders>
            <w:shd w:val="clear" w:color="auto" w:fill="C8E9E6"/>
          </w:tcPr>
          <w:p>
            <w:pPr>
              <w:pStyle w:val="TableParagraph"/>
              <w:spacing w:before="50"/>
              <w:ind w:left="69"/>
              <w:rPr>
                <w:sz w:val="14"/>
              </w:rPr>
            </w:pPr>
            <w:r>
              <w:rPr>
                <w:sz w:val="14"/>
              </w:rPr>
              <w:t>Vandforbrug [m</w:t>
            </w:r>
            <w:r>
              <w:rPr>
                <w:position w:val="5"/>
                <w:sz w:val="9"/>
              </w:rPr>
              <w:t>3</w:t>
            </w:r>
            <w:r>
              <w:rPr>
                <w:sz w:val="14"/>
              </w:rPr>
              <w:t>]</w:t>
            </w:r>
          </w:p>
        </w:tc>
        <w:tc>
          <w:tcPr>
            <w:tcW w:w="1908" w:type="dxa"/>
            <w:tcBorders>
              <w:top w:val="nil"/>
              <w:bottom w:val="nil"/>
              <w:right w:val="nil"/>
            </w:tcBorders>
            <w:shd w:val="clear" w:color="auto" w:fill="C8E9E6"/>
          </w:tcPr>
          <w:p>
            <w:pPr>
              <w:pStyle w:val="TableParagraph"/>
              <w:spacing w:before="23"/>
              <w:ind w:left="1000"/>
              <w:rPr>
                <w:rFonts w:ascii="Wingdings" w:hAnsi="Wingdings"/>
                <w:sz w:val="24"/>
              </w:rPr>
            </w:pPr>
            <w:r>
              <w:rPr>
                <w:rFonts w:ascii="Wingdings" w:hAnsi="Wingdings"/>
                <w:color w:val="F89A01"/>
                <w:sz w:val="24"/>
              </w:rPr>
              <w:t></w:t>
            </w:r>
          </w:p>
        </w:tc>
      </w:tr>
      <w:tr>
        <w:trPr>
          <w:trHeight w:val="318" w:hRule="atLeast"/>
        </w:trPr>
        <w:tc>
          <w:tcPr>
            <w:tcW w:w="1399" w:type="dxa"/>
            <w:tcBorders>
              <w:top w:val="nil"/>
              <w:bottom w:val="nil"/>
            </w:tcBorders>
            <w:shd w:val="clear" w:color="auto" w:fill="C8E9E6"/>
          </w:tcPr>
          <w:p>
            <w:pPr>
              <w:pStyle w:val="TableParagraph"/>
              <w:rPr>
                <w:rFonts w:ascii="Times New Roman"/>
                <w:sz w:val="14"/>
              </w:rPr>
            </w:pPr>
          </w:p>
        </w:tc>
        <w:tc>
          <w:tcPr>
            <w:tcW w:w="2662" w:type="dxa"/>
            <w:tcBorders>
              <w:top w:val="nil"/>
              <w:bottom w:val="nil"/>
            </w:tcBorders>
            <w:shd w:val="clear" w:color="auto" w:fill="C8E9E6"/>
          </w:tcPr>
          <w:p>
            <w:pPr>
              <w:pStyle w:val="TableParagraph"/>
              <w:spacing w:before="50"/>
              <w:ind w:left="69"/>
              <w:rPr>
                <w:sz w:val="14"/>
              </w:rPr>
            </w:pPr>
            <w:r>
              <w:rPr>
                <w:sz w:val="14"/>
              </w:rPr>
              <w:t>Temperaturfølere og CTS</w:t>
            </w:r>
          </w:p>
        </w:tc>
        <w:tc>
          <w:tcPr>
            <w:tcW w:w="3901" w:type="dxa"/>
            <w:tcBorders>
              <w:top w:val="nil"/>
              <w:bottom w:val="nil"/>
            </w:tcBorders>
            <w:shd w:val="clear" w:color="auto" w:fill="C8E9E6"/>
          </w:tcPr>
          <w:p>
            <w:pPr>
              <w:pStyle w:val="TableParagraph"/>
              <w:spacing w:before="50"/>
              <w:ind w:left="69"/>
              <w:rPr>
                <w:sz w:val="14"/>
              </w:rPr>
            </w:pPr>
            <w:r>
              <w:rPr>
                <w:sz w:val="14"/>
              </w:rPr>
              <w:t>Temperaturer, beholder, fremløb, cirkulation [°C]</w:t>
            </w:r>
          </w:p>
        </w:tc>
        <w:tc>
          <w:tcPr>
            <w:tcW w:w="1908" w:type="dxa"/>
            <w:tcBorders>
              <w:top w:val="nil"/>
              <w:bottom w:val="nil"/>
              <w:right w:val="nil"/>
            </w:tcBorders>
            <w:shd w:val="clear" w:color="auto" w:fill="C8E9E6"/>
          </w:tcPr>
          <w:p>
            <w:pPr>
              <w:pStyle w:val="TableParagraph"/>
              <w:spacing w:before="23"/>
              <w:ind w:left="1017"/>
              <w:rPr>
                <w:rFonts w:ascii="Wingdings" w:hAnsi="Wingdings"/>
                <w:sz w:val="24"/>
              </w:rPr>
            </w:pPr>
            <w:r>
              <w:rPr>
                <w:rFonts w:ascii="Wingdings" w:hAnsi="Wingdings"/>
                <w:color w:val="69ACC8"/>
                <w:sz w:val="24"/>
              </w:rPr>
              <w:t></w:t>
            </w:r>
          </w:p>
        </w:tc>
      </w:tr>
      <w:tr>
        <w:trPr>
          <w:trHeight w:val="294" w:hRule="atLeast"/>
        </w:trPr>
        <w:tc>
          <w:tcPr>
            <w:tcW w:w="1399" w:type="dxa"/>
            <w:tcBorders>
              <w:top w:val="nil"/>
            </w:tcBorders>
            <w:shd w:val="clear" w:color="auto" w:fill="C8E9E6"/>
          </w:tcPr>
          <w:p>
            <w:pPr>
              <w:pStyle w:val="TableParagraph"/>
              <w:rPr>
                <w:rFonts w:ascii="Times New Roman"/>
                <w:sz w:val="14"/>
              </w:rPr>
            </w:pPr>
          </w:p>
        </w:tc>
        <w:tc>
          <w:tcPr>
            <w:tcW w:w="2662" w:type="dxa"/>
            <w:tcBorders>
              <w:top w:val="nil"/>
              <w:bottom w:val="nil"/>
            </w:tcBorders>
            <w:shd w:val="clear" w:color="auto" w:fill="C8E9E6"/>
          </w:tcPr>
          <w:p>
            <w:pPr>
              <w:pStyle w:val="TableParagraph"/>
              <w:spacing w:before="48"/>
              <w:ind w:left="69"/>
              <w:rPr>
                <w:sz w:val="14"/>
              </w:rPr>
            </w:pPr>
            <w:r>
              <w:rPr>
                <w:sz w:val="14"/>
              </w:rPr>
              <w:t>CTS, 0-10V signal fra komponent</w:t>
            </w:r>
          </w:p>
        </w:tc>
        <w:tc>
          <w:tcPr>
            <w:tcW w:w="3901" w:type="dxa"/>
            <w:tcBorders>
              <w:top w:val="nil"/>
              <w:bottom w:val="nil"/>
            </w:tcBorders>
            <w:shd w:val="clear" w:color="auto" w:fill="C8E9E6"/>
          </w:tcPr>
          <w:p>
            <w:pPr>
              <w:pStyle w:val="TableParagraph"/>
              <w:spacing w:before="48"/>
              <w:ind w:left="69"/>
              <w:rPr>
                <w:sz w:val="14"/>
              </w:rPr>
            </w:pPr>
            <w:r>
              <w:rPr>
                <w:sz w:val="14"/>
              </w:rPr>
              <w:t>Motorventilindstilling</w:t>
            </w:r>
          </w:p>
        </w:tc>
        <w:tc>
          <w:tcPr>
            <w:tcW w:w="1908" w:type="dxa"/>
            <w:tcBorders>
              <w:top w:val="nil"/>
              <w:bottom w:val="nil"/>
              <w:right w:val="nil"/>
            </w:tcBorders>
            <w:shd w:val="clear" w:color="auto" w:fill="C8E9E6"/>
          </w:tcPr>
          <w:p>
            <w:pPr>
              <w:pStyle w:val="TableParagraph"/>
              <w:spacing w:line="246" w:lineRule="exact" w:before="29"/>
              <w:ind w:left="1017"/>
              <w:rPr>
                <w:rFonts w:ascii="Wingdings" w:hAnsi="Wingdings"/>
                <w:sz w:val="24"/>
              </w:rPr>
            </w:pPr>
            <w:r>
              <w:rPr>
                <w:rFonts w:ascii="Wingdings" w:hAnsi="Wingdings"/>
                <w:color w:val="69ACC8"/>
                <w:sz w:val="24"/>
              </w:rPr>
              <w:t></w:t>
            </w:r>
          </w:p>
        </w:tc>
      </w:tr>
      <w:tr>
        <w:trPr>
          <w:trHeight w:val="325" w:hRule="atLeast"/>
        </w:trPr>
        <w:tc>
          <w:tcPr>
            <w:tcW w:w="1399" w:type="dxa"/>
            <w:tcBorders>
              <w:left w:val="nil"/>
            </w:tcBorders>
            <w:shd w:val="clear" w:color="auto" w:fill="E2F3F0"/>
          </w:tcPr>
          <w:p>
            <w:pPr>
              <w:pStyle w:val="TableParagraph"/>
              <w:spacing w:before="79"/>
              <w:ind w:left="79"/>
              <w:rPr>
                <w:sz w:val="14"/>
              </w:rPr>
            </w:pPr>
            <w:r>
              <w:rPr>
                <w:sz w:val="14"/>
              </w:rPr>
              <w:t>Belysning</w:t>
            </w:r>
          </w:p>
        </w:tc>
        <w:tc>
          <w:tcPr>
            <w:tcW w:w="2662" w:type="dxa"/>
            <w:tcBorders>
              <w:top w:val="nil"/>
            </w:tcBorders>
            <w:shd w:val="clear" w:color="auto" w:fill="E2F3F0"/>
          </w:tcPr>
          <w:p>
            <w:pPr>
              <w:pStyle w:val="TableParagraph"/>
              <w:spacing w:before="79"/>
              <w:ind w:left="69"/>
              <w:rPr>
                <w:sz w:val="14"/>
              </w:rPr>
            </w:pPr>
            <w:r>
              <w:rPr>
                <w:sz w:val="14"/>
              </w:rPr>
              <w:t>Bi-målere</w:t>
            </w:r>
          </w:p>
        </w:tc>
        <w:tc>
          <w:tcPr>
            <w:tcW w:w="3901" w:type="dxa"/>
            <w:vMerge w:val="restart"/>
            <w:tcBorders>
              <w:top w:val="nil"/>
              <w:bottom w:val="nil"/>
            </w:tcBorders>
            <w:shd w:val="clear" w:color="auto" w:fill="E2F3F0"/>
          </w:tcPr>
          <w:p>
            <w:pPr>
              <w:pStyle w:val="TableParagraph"/>
              <w:spacing w:line="484" w:lineRule="auto" w:before="79"/>
              <w:ind w:left="69" w:right="1207"/>
              <w:rPr>
                <w:sz w:val="14"/>
              </w:rPr>
            </w:pPr>
            <w:r>
              <w:rPr>
                <w:sz w:val="14"/>
              </w:rPr>
              <w:t>Elforbrug [kWh] Persontilstedeværelse Dagslysstyring, zoneinddeling</w:t>
            </w:r>
          </w:p>
          <w:p>
            <w:pPr>
              <w:pStyle w:val="TableParagraph"/>
              <w:spacing w:before="2"/>
              <w:ind w:left="69"/>
              <w:rPr>
                <w:sz w:val="14"/>
              </w:rPr>
            </w:pPr>
            <w:r>
              <w:rPr>
                <w:sz w:val="14"/>
              </w:rPr>
              <w:t>Driftstider, ur, PIR</w:t>
            </w:r>
          </w:p>
        </w:tc>
        <w:tc>
          <w:tcPr>
            <w:tcW w:w="1908" w:type="dxa"/>
            <w:vMerge w:val="restart"/>
            <w:tcBorders>
              <w:top w:val="nil"/>
              <w:bottom w:val="nil"/>
              <w:right w:val="nil"/>
            </w:tcBorders>
            <w:shd w:val="clear" w:color="auto" w:fill="E2F3F0"/>
          </w:tcPr>
          <w:p>
            <w:pPr>
              <w:pStyle w:val="TableParagraph"/>
              <w:tabs>
                <w:tab w:pos="1545" w:val="left" w:leader="none"/>
              </w:tabs>
              <w:spacing w:before="60"/>
              <w:ind w:left="1000"/>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p>
            <w:pPr>
              <w:pStyle w:val="TableParagraph"/>
              <w:spacing w:before="76"/>
              <w:ind w:right="136"/>
              <w:jc w:val="right"/>
              <w:rPr>
                <w:rFonts w:ascii="Wingdings" w:hAnsi="Wingdings"/>
                <w:sz w:val="24"/>
              </w:rPr>
            </w:pPr>
            <w:r>
              <w:rPr>
                <w:rFonts w:ascii="Wingdings" w:hAnsi="Wingdings"/>
                <w:color w:val="F89A01"/>
                <w:sz w:val="24"/>
              </w:rPr>
              <w:t></w:t>
            </w:r>
          </w:p>
          <w:p>
            <w:pPr>
              <w:pStyle w:val="TableParagraph"/>
              <w:tabs>
                <w:tab w:pos="1545" w:val="left" w:leader="none"/>
              </w:tabs>
              <w:spacing w:before="77"/>
              <w:ind w:left="1000"/>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p>
            <w:pPr>
              <w:pStyle w:val="TableParagraph"/>
              <w:tabs>
                <w:tab w:pos="1545" w:val="left" w:leader="none"/>
              </w:tabs>
              <w:spacing w:line="246" w:lineRule="exact" w:before="80"/>
              <w:ind w:left="1000"/>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tc>
      </w:tr>
      <w:tr>
        <w:trPr>
          <w:trHeight w:val="323" w:hRule="atLeast"/>
        </w:trPr>
        <w:tc>
          <w:tcPr>
            <w:tcW w:w="1399" w:type="dxa"/>
            <w:tcBorders>
              <w:left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7"/>
              <w:ind w:left="69"/>
              <w:rPr>
                <w:sz w:val="14"/>
              </w:rPr>
            </w:pPr>
            <w:r>
              <w:rPr>
                <w:sz w:val="14"/>
              </w:rPr>
              <w:t>PIR og CTS</w:t>
            </w:r>
          </w:p>
        </w:tc>
        <w:tc>
          <w:tcPr>
            <w:tcW w:w="3901" w:type="dxa"/>
            <w:vMerge/>
            <w:tcBorders>
              <w:top w:val="nil"/>
              <w:bottom w:val="nil"/>
            </w:tcBorders>
            <w:shd w:val="clear" w:color="auto" w:fill="E2F3F0"/>
          </w:tcPr>
          <w:p>
            <w:pPr>
              <w:rPr>
                <w:sz w:val="2"/>
                <w:szCs w:val="2"/>
              </w:rPr>
            </w:pPr>
          </w:p>
        </w:tc>
        <w:tc>
          <w:tcPr>
            <w:tcW w:w="1908" w:type="dxa"/>
            <w:vMerge/>
            <w:tcBorders>
              <w:top w:val="nil"/>
              <w:bottom w:val="nil"/>
              <w:right w:val="nil"/>
            </w:tcBorders>
            <w:shd w:val="clear" w:color="auto" w:fill="E2F3F0"/>
          </w:tcPr>
          <w:p>
            <w:pPr>
              <w:rPr>
                <w:sz w:val="2"/>
                <w:szCs w:val="2"/>
              </w:rPr>
            </w:pPr>
          </w:p>
        </w:tc>
      </w:tr>
      <w:tr>
        <w:trPr>
          <w:trHeight w:val="323" w:hRule="atLeast"/>
        </w:trPr>
        <w:tc>
          <w:tcPr>
            <w:tcW w:w="1399" w:type="dxa"/>
            <w:tcBorders>
              <w:left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7"/>
              <w:ind w:left="69"/>
              <w:rPr>
                <w:sz w:val="14"/>
              </w:rPr>
            </w:pPr>
            <w:r>
              <w:rPr>
                <w:sz w:val="14"/>
              </w:rPr>
              <w:t>PIR</w:t>
            </w:r>
          </w:p>
        </w:tc>
        <w:tc>
          <w:tcPr>
            <w:tcW w:w="3901" w:type="dxa"/>
            <w:vMerge/>
            <w:tcBorders>
              <w:top w:val="nil"/>
              <w:bottom w:val="nil"/>
            </w:tcBorders>
            <w:shd w:val="clear" w:color="auto" w:fill="E2F3F0"/>
          </w:tcPr>
          <w:p>
            <w:pPr>
              <w:rPr>
                <w:sz w:val="2"/>
                <w:szCs w:val="2"/>
              </w:rPr>
            </w:pPr>
          </w:p>
        </w:tc>
        <w:tc>
          <w:tcPr>
            <w:tcW w:w="1908" w:type="dxa"/>
            <w:vMerge/>
            <w:tcBorders>
              <w:top w:val="nil"/>
              <w:bottom w:val="nil"/>
              <w:right w:val="nil"/>
            </w:tcBorders>
            <w:shd w:val="clear" w:color="auto" w:fill="E2F3F0"/>
          </w:tcPr>
          <w:p>
            <w:pPr>
              <w:rPr>
                <w:sz w:val="2"/>
                <w:szCs w:val="2"/>
              </w:rPr>
            </w:pPr>
          </w:p>
        </w:tc>
      </w:tr>
      <w:tr>
        <w:trPr>
          <w:trHeight w:val="325" w:hRule="atLeast"/>
        </w:trPr>
        <w:tc>
          <w:tcPr>
            <w:tcW w:w="1399" w:type="dxa"/>
            <w:tcBorders>
              <w:left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80"/>
              <w:ind w:left="69"/>
              <w:rPr>
                <w:sz w:val="14"/>
              </w:rPr>
            </w:pPr>
            <w:r>
              <w:rPr>
                <w:sz w:val="14"/>
              </w:rPr>
              <w:t>Urstyring, Ur</w:t>
            </w:r>
          </w:p>
        </w:tc>
        <w:tc>
          <w:tcPr>
            <w:tcW w:w="3901" w:type="dxa"/>
            <w:vMerge/>
            <w:tcBorders>
              <w:top w:val="nil"/>
              <w:bottom w:val="nil"/>
            </w:tcBorders>
            <w:shd w:val="clear" w:color="auto" w:fill="E2F3F0"/>
          </w:tcPr>
          <w:p>
            <w:pPr>
              <w:rPr>
                <w:sz w:val="2"/>
                <w:szCs w:val="2"/>
              </w:rPr>
            </w:pPr>
          </w:p>
        </w:tc>
        <w:tc>
          <w:tcPr>
            <w:tcW w:w="1908" w:type="dxa"/>
            <w:vMerge/>
            <w:tcBorders>
              <w:top w:val="nil"/>
              <w:bottom w:val="nil"/>
              <w:right w:val="nil"/>
            </w:tcBorders>
            <w:shd w:val="clear" w:color="auto" w:fill="E2F3F0"/>
          </w:tcPr>
          <w:p>
            <w:pPr>
              <w:rPr>
                <w:sz w:val="2"/>
                <w:szCs w:val="2"/>
              </w:rPr>
            </w:pPr>
          </w:p>
        </w:tc>
      </w:tr>
      <w:tr>
        <w:trPr>
          <w:trHeight w:val="371" w:hRule="atLeast"/>
        </w:trPr>
        <w:tc>
          <w:tcPr>
            <w:tcW w:w="1399" w:type="dxa"/>
            <w:tcBorders>
              <w:bottom w:val="nil"/>
            </w:tcBorders>
            <w:shd w:val="clear" w:color="auto" w:fill="C8E9E6"/>
          </w:tcPr>
          <w:p>
            <w:pPr>
              <w:pStyle w:val="TableParagraph"/>
              <w:spacing w:before="101"/>
              <w:ind w:left="69"/>
              <w:rPr>
                <w:sz w:val="14"/>
              </w:rPr>
            </w:pPr>
            <w:r>
              <w:rPr>
                <w:sz w:val="14"/>
              </w:rPr>
              <w:t>Solafskærmning</w:t>
            </w:r>
          </w:p>
        </w:tc>
        <w:tc>
          <w:tcPr>
            <w:tcW w:w="2662" w:type="dxa"/>
            <w:tcBorders>
              <w:bottom w:val="nil"/>
            </w:tcBorders>
            <w:shd w:val="clear" w:color="auto" w:fill="C8E9E6"/>
          </w:tcPr>
          <w:p>
            <w:pPr>
              <w:pStyle w:val="TableParagraph"/>
              <w:spacing w:before="101"/>
              <w:ind w:left="69"/>
              <w:rPr>
                <w:sz w:val="14"/>
              </w:rPr>
            </w:pPr>
            <w:r>
              <w:rPr>
                <w:sz w:val="14"/>
              </w:rPr>
              <w:t>Temperaturføler</w:t>
            </w:r>
          </w:p>
        </w:tc>
        <w:tc>
          <w:tcPr>
            <w:tcW w:w="3901" w:type="dxa"/>
            <w:tcBorders>
              <w:top w:val="nil"/>
              <w:bottom w:val="nil"/>
            </w:tcBorders>
            <w:shd w:val="clear" w:color="auto" w:fill="C8E9E6"/>
          </w:tcPr>
          <w:p>
            <w:pPr>
              <w:pStyle w:val="TableParagraph"/>
              <w:spacing w:line="170" w:lineRule="atLeast" w:before="15"/>
              <w:ind w:left="69"/>
              <w:rPr>
                <w:sz w:val="14"/>
              </w:rPr>
            </w:pPr>
            <w:r>
              <w:rPr>
                <w:sz w:val="14"/>
              </w:rPr>
              <w:t>Afskærmningens position (ved dynamisk afskærm- ning)</w:t>
            </w:r>
          </w:p>
        </w:tc>
        <w:tc>
          <w:tcPr>
            <w:tcW w:w="1908" w:type="dxa"/>
            <w:tcBorders>
              <w:top w:val="nil"/>
              <w:bottom w:val="nil"/>
              <w:right w:val="nil"/>
            </w:tcBorders>
            <w:shd w:val="clear" w:color="auto" w:fill="C8E9E6"/>
          </w:tcPr>
          <w:p>
            <w:pPr>
              <w:pStyle w:val="TableParagraph"/>
              <w:spacing w:line="246" w:lineRule="exact" w:before="105"/>
              <w:ind w:left="1017"/>
              <w:rPr>
                <w:rFonts w:ascii="Wingdings" w:hAnsi="Wingdings"/>
                <w:sz w:val="24"/>
              </w:rPr>
            </w:pPr>
            <w:r>
              <w:rPr>
                <w:rFonts w:ascii="Wingdings" w:hAnsi="Wingdings"/>
                <w:color w:val="69ACC8"/>
                <w:sz w:val="24"/>
              </w:rPr>
              <w:t></w:t>
            </w:r>
          </w:p>
        </w:tc>
      </w:tr>
    </w:tbl>
    <w:p>
      <w:pPr>
        <w:spacing w:after="0" w:line="246" w:lineRule="exact"/>
        <w:rPr>
          <w:rFonts w:ascii="Wingdings" w:hAnsi="Wingdings"/>
          <w:sz w:val="24"/>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87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8"/>
        </w:rPr>
      </w:pPr>
    </w:p>
    <w:tbl>
      <w:tblPr>
        <w:tblW w:w="0" w:type="auto"/>
        <w:jc w:val="left"/>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399"/>
        <w:gridCol w:w="2662"/>
        <w:gridCol w:w="3901"/>
        <w:gridCol w:w="1908"/>
      </w:tblGrid>
      <w:tr>
        <w:trPr>
          <w:trHeight w:val="323" w:hRule="atLeast"/>
        </w:trPr>
        <w:tc>
          <w:tcPr>
            <w:tcW w:w="1399" w:type="dxa"/>
            <w:vMerge w:val="restart"/>
            <w:tcBorders>
              <w:top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Luxmeter</w:t>
            </w:r>
          </w:p>
        </w:tc>
        <w:tc>
          <w:tcPr>
            <w:tcW w:w="3901" w:type="dxa"/>
            <w:vMerge w:val="restart"/>
            <w:tcBorders>
              <w:top w:val="nil"/>
              <w:bottom w:val="nil"/>
            </w:tcBorders>
            <w:shd w:val="clear" w:color="auto" w:fill="C8E9E6"/>
          </w:tcPr>
          <w:p>
            <w:pPr>
              <w:pStyle w:val="TableParagraph"/>
              <w:spacing w:before="77"/>
              <w:ind w:left="69"/>
              <w:rPr>
                <w:sz w:val="14"/>
              </w:rPr>
            </w:pPr>
            <w:r>
              <w:rPr>
                <w:sz w:val="14"/>
              </w:rPr>
              <w:t>Solstråling [W/m</w:t>
            </w:r>
            <w:r>
              <w:rPr>
                <w:position w:val="5"/>
                <w:sz w:val="9"/>
              </w:rPr>
              <w:t>2</w:t>
            </w:r>
            <w:r>
              <w:rPr>
                <w:sz w:val="14"/>
              </w:rPr>
              <w:t>]</w:t>
            </w:r>
          </w:p>
          <w:p>
            <w:pPr>
              <w:pStyle w:val="TableParagraph"/>
              <w:spacing w:line="340" w:lineRule="atLeast" w:before="6"/>
              <w:ind w:left="69" w:right="2347"/>
              <w:rPr>
                <w:sz w:val="14"/>
              </w:rPr>
            </w:pPr>
            <w:r>
              <w:rPr>
                <w:sz w:val="14"/>
              </w:rPr>
              <w:t>Vindhastighed [m/s] Evt. urstyring</w:t>
            </w:r>
          </w:p>
        </w:tc>
        <w:tc>
          <w:tcPr>
            <w:tcW w:w="1908" w:type="dxa"/>
            <w:vMerge w:val="restart"/>
            <w:tcBorders>
              <w:top w:val="nil"/>
              <w:bottom w:val="nil"/>
              <w:right w:val="nil"/>
            </w:tcBorders>
            <w:shd w:val="clear" w:color="auto" w:fill="C8E9E6"/>
          </w:tcPr>
          <w:p>
            <w:pPr>
              <w:pStyle w:val="TableParagraph"/>
              <w:spacing w:before="57"/>
              <w:ind w:left="316"/>
              <w:jc w:val="center"/>
              <w:rPr>
                <w:rFonts w:ascii="Wingdings" w:hAnsi="Wingdings"/>
                <w:sz w:val="24"/>
              </w:rPr>
            </w:pPr>
            <w:r>
              <w:rPr>
                <w:rFonts w:ascii="Wingdings" w:hAnsi="Wingdings"/>
                <w:color w:val="69ACC8"/>
                <w:sz w:val="24"/>
              </w:rPr>
              <w:t></w:t>
            </w:r>
          </w:p>
          <w:p>
            <w:pPr>
              <w:pStyle w:val="TableParagraph"/>
              <w:spacing w:before="79"/>
              <w:ind w:left="316"/>
              <w:jc w:val="center"/>
              <w:rPr>
                <w:rFonts w:ascii="Wingdings" w:hAnsi="Wingdings"/>
                <w:sz w:val="24"/>
              </w:rPr>
            </w:pPr>
            <w:r>
              <w:rPr>
                <w:rFonts w:ascii="Wingdings" w:hAnsi="Wingdings"/>
                <w:color w:val="69ACC8"/>
                <w:sz w:val="24"/>
              </w:rPr>
              <w:t></w:t>
            </w:r>
          </w:p>
          <w:p>
            <w:pPr>
              <w:pStyle w:val="TableParagraph"/>
              <w:spacing w:line="246" w:lineRule="exact" w:before="77"/>
              <w:ind w:left="316"/>
              <w:jc w:val="center"/>
              <w:rPr>
                <w:rFonts w:ascii="Wingdings" w:hAnsi="Wingdings"/>
                <w:sz w:val="24"/>
              </w:rPr>
            </w:pPr>
            <w:r>
              <w:rPr>
                <w:rFonts w:ascii="Wingdings" w:hAnsi="Wingdings"/>
                <w:color w:val="69ACC8"/>
                <w:sz w:val="24"/>
              </w:rPr>
              <w:t></w:t>
            </w:r>
          </w:p>
        </w:tc>
      </w:tr>
      <w:tr>
        <w:trPr>
          <w:trHeight w:val="325" w:hRule="atLeast"/>
        </w:trPr>
        <w:tc>
          <w:tcPr>
            <w:tcW w:w="1399" w:type="dxa"/>
            <w:vMerge/>
            <w:tcBorders>
              <w:top w:val="nil"/>
            </w:tcBorders>
            <w:shd w:val="clear" w:color="auto" w:fill="C8E9E6"/>
          </w:tcPr>
          <w:p>
            <w:pPr>
              <w:rPr>
                <w:sz w:val="2"/>
                <w:szCs w:val="2"/>
              </w:rPr>
            </w:pPr>
          </w:p>
        </w:tc>
        <w:tc>
          <w:tcPr>
            <w:tcW w:w="2662" w:type="dxa"/>
            <w:shd w:val="clear" w:color="auto" w:fill="C8E9E6"/>
          </w:tcPr>
          <w:p>
            <w:pPr>
              <w:pStyle w:val="TableParagraph"/>
              <w:spacing w:before="79"/>
              <w:ind w:left="69"/>
              <w:rPr>
                <w:sz w:val="14"/>
              </w:rPr>
            </w:pPr>
            <w:r>
              <w:rPr>
                <w:sz w:val="14"/>
              </w:rPr>
              <w:t>Aneometer</w:t>
            </w:r>
          </w:p>
        </w:tc>
        <w:tc>
          <w:tcPr>
            <w:tcW w:w="3901" w:type="dxa"/>
            <w:vMerge/>
            <w:tcBorders>
              <w:top w:val="nil"/>
              <w:bottom w:val="nil"/>
            </w:tcBorders>
            <w:shd w:val="clear" w:color="auto" w:fill="C8E9E6"/>
          </w:tcPr>
          <w:p>
            <w:pPr>
              <w:rPr>
                <w:sz w:val="2"/>
                <w:szCs w:val="2"/>
              </w:rPr>
            </w:pPr>
          </w:p>
        </w:tc>
        <w:tc>
          <w:tcPr>
            <w:tcW w:w="1908" w:type="dxa"/>
            <w:vMerge/>
            <w:tcBorders>
              <w:top w:val="nil"/>
              <w:bottom w:val="nil"/>
              <w:right w:val="nil"/>
            </w:tcBorders>
            <w:shd w:val="clear" w:color="auto" w:fill="C8E9E6"/>
          </w:tcPr>
          <w:p>
            <w:pPr>
              <w:rPr>
                <w:sz w:val="2"/>
                <w:szCs w:val="2"/>
              </w:rPr>
            </w:pPr>
          </w:p>
        </w:tc>
      </w:tr>
      <w:tr>
        <w:trPr>
          <w:trHeight w:val="323" w:hRule="atLeast"/>
        </w:trPr>
        <w:tc>
          <w:tcPr>
            <w:tcW w:w="1399" w:type="dxa"/>
            <w:vMerge/>
            <w:tcBorders>
              <w:top w:val="nil"/>
            </w:tcBorders>
            <w:shd w:val="clear" w:color="auto" w:fill="C8E9E6"/>
          </w:tcPr>
          <w:p>
            <w:pPr>
              <w:rPr>
                <w:sz w:val="2"/>
                <w:szCs w:val="2"/>
              </w:rPr>
            </w:pPr>
          </w:p>
        </w:tc>
        <w:tc>
          <w:tcPr>
            <w:tcW w:w="2662" w:type="dxa"/>
            <w:tcBorders>
              <w:bottom w:val="nil"/>
            </w:tcBorders>
            <w:shd w:val="clear" w:color="auto" w:fill="C8E9E6"/>
          </w:tcPr>
          <w:p>
            <w:pPr>
              <w:pStyle w:val="TableParagraph"/>
              <w:spacing w:before="77"/>
              <w:ind w:left="69"/>
              <w:rPr>
                <w:sz w:val="14"/>
              </w:rPr>
            </w:pPr>
            <w:r>
              <w:rPr>
                <w:sz w:val="14"/>
              </w:rPr>
              <w:t>Ur</w:t>
            </w:r>
          </w:p>
        </w:tc>
        <w:tc>
          <w:tcPr>
            <w:tcW w:w="3901" w:type="dxa"/>
            <w:vMerge/>
            <w:tcBorders>
              <w:top w:val="nil"/>
              <w:bottom w:val="nil"/>
            </w:tcBorders>
            <w:shd w:val="clear" w:color="auto" w:fill="C8E9E6"/>
          </w:tcPr>
          <w:p>
            <w:pPr>
              <w:rPr>
                <w:sz w:val="2"/>
                <w:szCs w:val="2"/>
              </w:rPr>
            </w:pPr>
          </w:p>
        </w:tc>
        <w:tc>
          <w:tcPr>
            <w:tcW w:w="1908" w:type="dxa"/>
            <w:vMerge/>
            <w:tcBorders>
              <w:top w:val="nil"/>
              <w:bottom w:val="nil"/>
              <w:right w:val="nil"/>
            </w:tcBorders>
            <w:shd w:val="clear" w:color="auto" w:fill="C8E9E6"/>
          </w:tcPr>
          <w:p>
            <w:pPr>
              <w:rPr>
                <w:sz w:val="2"/>
                <w:szCs w:val="2"/>
              </w:rPr>
            </w:pPr>
          </w:p>
        </w:tc>
      </w:tr>
      <w:tr>
        <w:trPr>
          <w:trHeight w:val="323" w:hRule="atLeast"/>
        </w:trPr>
        <w:tc>
          <w:tcPr>
            <w:tcW w:w="1399" w:type="dxa"/>
            <w:tcBorders>
              <w:bottom w:val="nil"/>
            </w:tcBorders>
            <w:shd w:val="clear" w:color="auto" w:fill="E2F3F0"/>
          </w:tcPr>
          <w:p>
            <w:pPr>
              <w:pStyle w:val="TableParagraph"/>
              <w:spacing w:before="77"/>
              <w:ind w:left="69"/>
              <w:rPr>
                <w:sz w:val="14"/>
              </w:rPr>
            </w:pPr>
            <w:r>
              <w:rPr>
                <w:sz w:val="14"/>
              </w:rPr>
              <w:t>Indeklima</w:t>
            </w:r>
          </w:p>
        </w:tc>
        <w:tc>
          <w:tcPr>
            <w:tcW w:w="2662" w:type="dxa"/>
            <w:tcBorders>
              <w:top w:val="nil"/>
            </w:tcBorders>
            <w:shd w:val="clear" w:color="auto" w:fill="E2F3F0"/>
          </w:tcPr>
          <w:p>
            <w:pPr>
              <w:pStyle w:val="TableParagraph"/>
              <w:spacing w:before="77"/>
              <w:ind w:left="69"/>
              <w:rPr>
                <w:sz w:val="14"/>
              </w:rPr>
            </w:pPr>
            <w:r>
              <w:rPr>
                <w:sz w:val="14"/>
              </w:rPr>
              <w:t>Termometer</w:t>
            </w:r>
          </w:p>
        </w:tc>
        <w:tc>
          <w:tcPr>
            <w:tcW w:w="3901" w:type="dxa"/>
            <w:tcBorders>
              <w:top w:val="nil"/>
              <w:bottom w:val="nil"/>
            </w:tcBorders>
            <w:shd w:val="clear" w:color="auto" w:fill="E2F3F0"/>
          </w:tcPr>
          <w:p>
            <w:pPr>
              <w:pStyle w:val="TableParagraph"/>
              <w:spacing w:before="77"/>
              <w:ind w:left="69"/>
              <w:rPr>
                <w:sz w:val="14"/>
              </w:rPr>
            </w:pPr>
            <w:r>
              <w:rPr>
                <w:sz w:val="14"/>
              </w:rPr>
              <w:t>Indetemperatur [°C]</w:t>
            </w:r>
          </w:p>
        </w:tc>
        <w:tc>
          <w:tcPr>
            <w:tcW w:w="1908" w:type="dxa"/>
            <w:tcBorders>
              <w:top w:val="nil"/>
              <w:bottom w:val="nil"/>
              <w:right w:val="nil"/>
            </w:tcBorders>
            <w:shd w:val="clear" w:color="auto" w:fill="E2F3F0"/>
          </w:tcPr>
          <w:p>
            <w:pPr>
              <w:pStyle w:val="TableParagraph"/>
              <w:spacing w:line="246" w:lineRule="exact" w:before="57"/>
              <w:ind w:right="136"/>
              <w:jc w:val="right"/>
              <w:rPr>
                <w:rFonts w:ascii="Wingdings" w:hAnsi="Wingdings"/>
                <w:sz w:val="24"/>
              </w:rPr>
            </w:pPr>
            <w:r>
              <w:rPr>
                <w:rFonts w:ascii="Wingdings" w:hAnsi="Wingdings"/>
                <w:color w:val="F89A01"/>
                <w:sz w:val="24"/>
              </w:rPr>
              <w:t></w:t>
            </w:r>
          </w:p>
        </w:tc>
      </w:tr>
      <w:tr>
        <w:trPr>
          <w:trHeight w:val="373"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line="170" w:lineRule="atLeast" w:before="17"/>
              <w:ind w:left="69"/>
              <w:rPr>
                <w:sz w:val="14"/>
              </w:rPr>
            </w:pPr>
            <w:r>
              <w:rPr>
                <w:sz w:val="14"/>
              </w:rPr>
              <w:t>PIR/bevægelsesmelder, sensorer, CTS,</w:t>
            </w:r>
          </w:p>
        </w:tc>
        <w:tc>
          <w:tcPr>
            <w:tcW w:w="3901" w:type="dxa"/>
            <w:tcBorders>
              <w:top w:val="nil"/>
              <w:bottom w:val="nil"/>
            </w:tcBorders>
            <w:shd w:val="clear" w:color="auto" w:fill="E2F3F0"/>
          </w:tcPr>
          <w:p>
            <w:pPr>
              <w:pStyle w:val="TableParagraph"/>
              <w:spacing w:before="103"/>
              <w:ind w:left="69"/>
              <w:rPr>
                <w:sz w:val="14"/>
              </w:rPr>
            </w:pPr>
            <w:r>
              <w:rPr>
                <w:sz w:val="14"/>
              </w:rPr>
              <w:t>CO2 [ppm], luftfugtighed [%]</w:t>
            </w:r>
          </w:p>
        </w:tc>
        <w:tc>
          <w:tcPr>
            <w:tcW w:w="1908" w:type="dxa"/>
            <w:tcBorders>
              <w:top w:val="nil"/>
              <w:bottom w:val="nil"/>
              <w:right w:val="nil"/>
            </w:tcBorders>
            <w:shd w:val="clear" w:color="auto" w:fill="E2F3F0"/>
          </w:tcPr>
          <w:p>
            <w:pPr>
              <w:pStyle w:val="TableParagraph"/>
              <w:numPr>
                <w:ilvl w:val="0"/>
                <w:numId w:val="50"/>
              </w:numPr>
              <w:tabs>
                <w:tab w:pos="527" w:val="left" w:leader="none"/>
                <w:tab w:pos="1546" w:val="left" w:leader="none"/>
              </w:tabs>
              <w:spacing w:line="246" w:lineRule="exact" w:before="108" w:after="0"/>
              <w:ind w:left="1545" w:right="136" w:hanging="528"/>
              <w:jc w:val="right"/>
              <w:rPr>
                <w:rFonts w:ascii="Wingdings" w:hAnsi="Wingdings"/>
                <w:sz w:val="24"/>
              </w:rPr>
            </w:pPr>
            <w:r>
              <w:rPr>
                <w:rFonts w:ascii="Wingdings" w:hAnsi="Wingdings"/>
                <w:color w:val="F89A01"/>
                <w:sz w:val="24"/>
              </w:rPr>
              <w:t></w:t>
            </w:r>
            <w:r>
              <w:rPr>
                <w:rFonts w:ascii="Wingdings" w:hAnsi="Wingdings"/>
                <w:sz w:val="24"/>
              </w:rPr>
            </w:r>
          </w:p>
        </w:tc>
      </w:tr>
      <w:tr>
        <w:trPr>
          <w:trHeight w:val="323"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7"/>
              <w:ind w:left="69"/>
              <w:rPr>
                <w:sz w:val="14"/>
              </w:rPr>
            </w:pPr>
            <w:r>
              <w:rPr>
                <w:sz w:val="14"/>
              </w:rPr>
              <w:t>Luxmeter,</w:t>
            </w:r>
          </w:p>
        </w:tc>
        <w:tc>
          <w:tcPr>
            <w:tcW w:w="3901" w:type="dxa"/>
            <w:tcBorders>
              <w:top w:val="nil"/>
              <w:bottom w:val="nil"/>
            </w:tcBorders>
            <w:shd w:val="clear" w:color="auto" w:fill="E2F3F0"/>
          </w:tcPr>
          <w:p>
            <w:pPr>
              <w:pStyle w:val="TableParagraph"/>
              <w:spacing w:before="77"/>
              <w:ind w:left="69"/>
              <w:rPr>
                <w:sz w:val="14"/>
              </w:rPr>
            </w:pPr>
            <w:r>
              <w:rPr>
                <w:sz w:val="14"/>
              </w:rPr>
              <w:t>Belysning [Lux]. Aktuel værdi, setpunkt</w:t>
            </w:r>
          </w:p>
        </w:tc>
        <w:tc>
          <w:tcPr>
            <w:tcW w:w="1908" w:type="dxa"/>
            <w:tcBorders>
              <w:top w:val="nil"/>
              <w:bottom w:val="nil"/>
              <w:right w:val="nil"/>
            </w:tcBorders>
            <w:shd w:val="clear" w:color="auto" w:fill="E2F3F0"/>
          </w:tcPr>
          <w:p>
            <w:pPr>
              <w:pStyle w:val="TableParagraph"/>
              <w:spacing w:line="246" w:lineRule="exact" w:before="57"/>
              <w:ind w:right="136"/>
              <w:jc w:val="right"/>
              <w:rPr>
                <w:rFonts w:ascii="Wingdings" w:hAnsi="Wingdings"/>
                <w:sz w:val="24"/>
              </w:rPr>
            </w:pPr>
            <w:r>
              <w:rPr>
                <w:rFonts w:ascii="Wingdings" w:hAnsi="Wingdings"/>
                <w:color w:val="F89A01"/>
                <w:sz w:val="24"/>
              </w:rPr>
              <w:t></w:t>
            </w:r>
          </w:p>
        </w:tc>
      </w:tr>
      <w:tr>
        <w:trPr>
          <w:trHeight w:val="323" w:hRule="atLeast"/>
        </w:trPr>
        <w:tc>
          <w:tcPr>
            <w:tcW w:w="1399" w:type="dxa"/>
            <w:tcBorders>
              <w:top w:val="nil"/>
              <w:bottom w:val="nil"/>
            </w:tcBorders>
            <w:shd w:val="clear" w:color="auto" w:fill="E2F3F0"/>
          </w:tcPr>
          <w:p>
            <w:pPr>
              <w:pStyle w:val="TableParagraph"/>
              <w:rPr>
                <w:rFonts w:ascii="Times New Roman"/>
                <w:sz w:val="14"/>
              </w:rPr>
            </w:pPr>
          </w:p>
        </w:tc>
        <w:tc>
          <w:tcPr>
            <w:tcW w:w="2662" w:type="dxa"/>
            <w:shd w:val="clear" w:color="auto" w:fill="E2F3F0"/>
          </w:tcPr>
          <w:p>
            <w:pPr>
              <w:pStyle w:val="TableParagraph"/>
              <w:spacing w:before="77"/>
              <w:ind w:left="69"/>
              <w:rPr>
                <w:sz w:val="14"/>
              </w:rPr>
            </w:pPr>
            <w:r>
              <w:rPr>
                <w:sz w:val="14"/>
              </w:rPr>
              <w:t>Beregnes fra lux ude og inde</w:t>
            </w:r>
          </w:p>
        </w:tc>
        <w:tc>
          <w:tcPr>
            <w:tcW w:w="3901" w:type="dxa"/>
            <w:tcBorders>
              <w:top w:val="nil"/>
              <w:bottom w:val="nil"/>
            </w:tcBorders>
            <w:shd w:val="clear" w:color="auto" w:fill="E2F3F0"/>
          </w:tcPr>
          <w:p>
            <w:pPr>
              <w:pStyle w:val="TableParagraph"/>
              <w:spacing w:before="77"/>
              <w:ind w:left="69"/>
              <w:rPr>
                <w:sz w:val="14"/>
              </w:rPr>
            </w:pPr>
            <w:r>
              <w:rPr>
                <w:sz w:val="14"/>
              </w:rPr>
              <w:t>Dagslysfaktor [%]</w:t>
            </w:r>
          </w:p>
        </w:tc>
        <w:tc>
          <w:tcPr>
            <w:tcW w:w="1908" w:type="dxa"/>
            <w:tcBorders>
              <w:top w:val="nil"/>
              <w:bottom w:val="nil"/>
              <w:right w:val="nil"/>
            </w:tcBorders>
            <w:shd w:val="clear" w:color="auto" w:fill="E2F3F0"/>
          </w:tcPr>
          <w:p>
            <w:pPr>
              <w:pStyle w:val="TableParagraph"/>
              <w:spacing w:line="246" w:lineRule="exact" w:before="57"/>
              <w:ind w:right="136"/>
              <w:jc w:val="right"/>
              <w:rPr>
                <w:rFonts w:ascii="Wingdings" w:hAnsi="Wingdings"/>
                <w:sz w:val="24"/>
              </w:rPr>
            </w:pPr>
            <w:r>
              <w:rPr>
                <w:rFonts w:ascii="Wingdings" w:hAnsi="Wingdings"/>
                <w:color w:val="F89A01"/>
                <w:sz w:val="24"/>
              </w:rPr>
              <w:t></w:t>
            </w:r>
          </w:p>
        </w:tc>
      </w:tr>
      <w:tr>
        <w:trPr>
          <w:trHeight w:val="325" w:hRule="atLeast"/>
        </w:trPr>
        <w:tc>
          <w:tcPr>
            <w:tcW w:w="1399" w:type="dxa"/>
            <w:tcBorders>
              <w:top w:val="nil"/>
              <w:left w:val="nil"/>
              <w:bottom w:val="nil"/>
            </w:tcBorders>
            <w:shd w:val="clear" w:color="auto" w:fill="C8E9E6"/>
          </w:tcPr>
          <w:p>
            <w:pPr>
              <w:pStyle w:val="TableParagraph"/>
              <w:spacing w:before="79"/>
              <w:ind w:left="79"/>
              <w:rPr>
                <w:sz w:val="14"/>
              </w:rPr>
            </w:pPr>
            <w:r>
              <w:rPr>
                <w:sz w:val="14"/>
              </w:rPr>
              <w:t>Rum og lokaler</w:t>
            </w:r>
          </w:p>
        </w:tc>
        <w:tc>
          <w:tcPr>
            <w:tcW w:w="2662" w:type="dxa"/>
            <w:shd w:val="clear" w:color="auto" w:fill="C8E9E6"/>
          </w:tcPr>
          <w:p>
            <w:pPr>
              <w:pStyle w:val="TableParagraph"/>
              <w:spacing w:before="79"/>
              <w:ind w:left="69"/>
              <w:rPr>
                <w:sz w:val="14"/>
              </w:rPr>
            </w:pPr>
            <w:r>
              <w:rPr>
                <w:sz w:val="14"/>
              </w:rPr>
              <w:t>Mødekalender, bookingsystem</w:t>
            </w:r>
          </w:p>
        </w:tc>
        <w:tc>
          <w:tcPr>
            <w:tcW w:w="3901" w:type="dxa"/>
            <w:tcBorders>
              <w:top w:val="nil"/>
              <w:bottom w:val="nil"/>
            </w:tcBorders>
            <w:shd w:val="clear" w:color="auto" w:fill="C8E9E6"/>
          </w:tcPr>
          <w:p>
            <w:pPr>
              <w:pStyle w:val="TableParagraph"/>
              <w:spacing w:before="79"/>
              <w:ind w:left="69"/>
              <w:rPr>
                <w:sz w:val="14"/>
              </w:rPr>
            </w:pPr>
            <w:r>
              <w:rPr>
                <w:sz w:val="14"/>
              </w:rPr>
              <w:t>Skemalagt Brugstid</w:t>
            </w:r>
          </w:p>
        </w:tc>
        <w:tc>
          <w:tcPr>
            <w:tcW w:w="1908" w:type="dxa"/>
            <w:vMerge w:val="restart"/>
            <w:tcBorders>
              <w:top w:val="nil"/>
              <w:bottom w:val="nil"/>
              <w:right w:val="nil"/>
            </w:tcBorders>
            <w:shd w:val="clear" w:color="auto" w:fill="C8E9E6"/>
          </w:tcPr>
          <w:p>
            <w:pPr>
              <w:pStyle w:val="TableParagraph"/>
              <w:tabs>
                <w:tab w:pos="1545" w:val="left" w:leader="none"/>
              </w:tabs>
              <w:spacing w:before="60"/>
              <w:ind w:left="1000"/>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p>
            <w:pPr>
              <w:pStyle w:val="TableParagraph"/>
              <w:spacing w:before="77"/>
              <w:ind w:right="136"/>
              <w:jc w:val="right"/>
              <w:rPr>
                <w:rFonts w:ascii="Wingdings" w:hAnsi="Wingdings"/>
                <w:sz w:val="24"/>
              </w:rPr>
            </w:pPr>
            <w:r>
              <w:rPr>
                <w:rFonts w:ascii="Wingdings" w:hAnsi="Wingdings"/>
                <w:color w:val="F89A01"/>
                <w:sz w:val="24"/>
              </w:rPr>
              <w:t></w:t>
            </w:r>
          </w:p>
          <w:p>
            <w:pPr>
              <w:pStyle w:val="TableParagraph"/>
              <w:tabs>
                <w:tab w:pos="1545" w:val="left" w:leader="none"/>
              </w:tabs>
              <w:spacing w:before="77"/>
              <w:ind w:left="1000"/>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p>
            <w:pPr>
              <w:pStyle w:val="TableParagraph"/>
              <w:tabs>
                <w:tab w:pos="1545" w:val="left" w:leader="none"/>
              </w:tabs>
              <w:spacing w:line="246" w:lineRule="exact" w:before="79"/>
              <w:ind w:left="1000"/>
              <w:rPr>
                <w:rFonts w:ascii="Wingdings" w:hAnsi="Wingdings"/>
                <w:sz w:val="24"/>
              </w:rPr>
            </w:pPr>
            <w:r>
              <w:rPr>
                <w:rFonts w:ascii="Wingdings" w:hAnsi="Wingdings"/>
                <w:color w:val="F89A01"/>
                <w:sz w:val="24"/>
              </w:rPr>
              <w:t></w:t>
            </w:r>
            <w:r>
              <w:rPr>
                <w:rFonts w:ascii="Times New Roman" w:hAnsi="Times New Roman"/>
                <w:color w:val="F89A01"/>
                <w:sz w:val="24"/>
              </w:rPr>
              <w:tab/>
            </w:r>
            <w:r>
              <w:rPr>
                <w:rFonts w:ascii="Wingdings" w:hAnsi="Wingdings"/>
                <w:color w:val="F89A01"/>
                <w:sz w:val="24"/>
              </w:rPr>
              <w:t></w:t>
            </w:r>
          </w:p>
        </w:tc>
      </w:tr>
      <w:tr>
        <w:trPr>
          <w:trHeight w:val="323" w:hRule="atLeast"/>
        </w:trPr>
        <w:tc>
          <w:tcPr>
            <w:tcW w:w="1399" w:type="dxa"/>
            <w:tcBorders>
              <w:top w:val="nil"/>
              <w:left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8"/>
              <w:ind w:left="69"/>
              <w:rPr>
                <w:sz w:val="14"/>
              </w:rPr>
            </w:pPr>
            <w:r>
              <w:rPr>
                <w:sz w:val="14"/>
              </w:rPr>
              <w:t>PIR, urstyring, CO2føler</w:t>
            </w:r>
          </w:p>
        </w:tc>
        <w:tc>
          <w:tcPr>
            <w:tcW w:w="3901" w:type="dxa"/>
            <w:tcBorders>
              <w:top w:val="nil"/>
              <w:bottom w:val="nil"/>
            </w:tcBorders>
            <w:shd w:val="clear" w:color="auto" w:fill="C8E9E6"/>
          </w:tcPr>
          <w:p>
            <w:pPr>
              <w:pStyle w:val="TableParagraph"/>
              <w:spacing w:before="78"/>
              <w:ind w:left="69"/>
              <w:rPr>
                <w:sz w:val="14"/>
              </w:rPr>
            </w:pPr>
            <w:r>
              <w:rPr>
                <w:sz w:val="14"/>
              </w:rPr>
              <w:t>Persontilstedeværelse. PIR/bevægelsesmelder</w:t>
            </w:r>
          </w:p>
        </w:tc>
        <w:tc>
          <w:tcPr>
            <w:tcW w:w="1908" w:type="dxa"/>
            <w:vMerge/>
            <w:tcBorders>
              <w:top w:val="nil"/>
              <w:bottom w:val="nil"/>
              <w:right w:val="nil"/>
            </w:tcBorders>
            <w:shd w:val="clear" w:color="auto" w:fill="C8E9E6"/>
          </w:tcPr>
          <w:p>
            <w:pPr>
              <w:rPr>
                <w:sz w:val="2"/>
                <w:szCs w:val="2"/>
              </w:rPr>
            </w:pPr>
          </w:p>
        </w:tc>
      </w:tr>
      <w:tr>
        <w:trPr>
          <w:trHeight w:val="323" w:hRule="atLeast"/>
        </w:trPr>
        <w:tc>
          <w:tcPr>
            <w:tcW w:w="1399" w:type="dxa"/>
            <w:tcBorders>
              <w:top w:val="nil"/>
              <w:left w:val="nil"/>
              <w:bottom w:val="nil"/>
            </w:tcBorders>
            <w:shd w:val="clear" w:color="auto" w:fill="C8E9E6"/>
          </w:tcPr>
          <w:p>
            <w:pPr>
              <w:pStyle w:val="TableParagraph"/>
              <w:rPr>
                <w:rFonts w:ascii="Times New Roman"/>
                <w:sz w:val="14"/>
              </w:rPr>
            </w:pPr>
          </w:p>
        </w:tc>
        <w:tc>
          <w:tcPr>
            <w:tcW w:w="2662" w:type="dxa"/>
            <w:shd w:val="clear" w:color="auto" w:fill="C8E9E6"/>
          </w:tcPr>
          <w:p>
            <w:pPr>
              <w:pStyle w:val="TableParagraph"/>
              <w:spacing w:before="77"/>
              <w:ind w:left="69"/>
              <w:rPr>
                <w:sz w:val="14"/>
              </w:rPr>
            </w:pPr>
            <w:r>
              <w:rPr>
                <w:sz w:val="14"/>
              </w:rPr>
              <w:t>Facilities Management, CAFM</w:t>
            </w:r>
          </w:p>
        </w:tc>
        <w:tc>
          <w:tcPr>
            <w:tcW w:w="3901" w:type="dxa"/>
            <w:tcBorders>
              <w:top w:val="nil"/>
              <w:bottom w:val="nil"/>
            </w:tcBorders>
            <w:shd w:val="clear" w:color="auto" w:fill="C8E9E6"/>
          </w:tcPr>
          <w:p>
            <w:pPr>
              <w:pStyle w:val="TableParagraph"/>
              <w:spacing w:before="77"/>
              <w:ind w:left="69"/>
              <w:rPr>
                <w:sz w:val="14"/>
              </w:rPr>
            </w:pPr>
            <w:r>
              <w:rPr>
                <w:sz w:val="14"/>
              </w:rPr>
              <w:t>Låsesystem</w:t>
            </w:r>
          </w:p>
        </w:tc>
        <w:tc>
          <w:tcPr>
            <w:tcW w:w="1908" w:type="dxa"/>
            <w:vMerge/>
            <w:tcBorders>
              <w:top w:val="nil"/>
              <w:bottom w:val="nil"/>
              <w:right w:val="nil"/>
            </w:tcBorders>
            <w:shd w:val="clear" w:color="auto" w:fill="C8E9E6"/>
          </w:tcPr>
          <w:p>
            <w:pPr>
              <w:rPr>
                <w:sz w:val="2"/>
                <w:szCs w:val="2"/>
              </w:rPr>
            </w:pPr>
          </w:p>
        </w:tc>
      </w:tr>
      <w:tr>
        <w:trPr>
          <w:trHeight w:val="326" w:hRule="atLeast"/>
        </w:trPr>
        <w:tc>
          <w:tcPr>
            <w:tcW w:w="1399" w:type="dxa"/>
            <w:tcBorders>
              <w:top w:val="nil"/>
              <w:left w:val="nil"/>
              <w:bottom w:val="nil"/>
            </w:tcBorders>
            <w:shd w:val="clear" w:color="auto" w:fill="C8E9E6"/>
          </w:tcPr>
          <w:p>
            <w:pPr>
              <w:pStyle w:val="TableParagraph"/>
              <w:rPr>
                <w:rFonts w:ascii="Times New Roman"/>
                <w:sz w:val="14"/>
              </w:rPr>
            </w:pPr>
          </w:p>
        </w:tc>
        <w:tc>
          <w:tcPr>
            <w:tcW w:w="2662" w:type="dxa"/>
            <w:tcBorders>
              <w:bottom w:val="nil"/>
            </w:tcBorders>
            <w:shd w:val="clear" w:color="auto" w:fill="C8E9E6"/>
          </w:tcPr>
          <w:p>
            <w:pPr>
              <w:pStyle w:val="TableParagraph"/>
              <w:spacing w:before="79"/>
              <w:ind w:left="69"/>
              <w:rPr>
                <w:sz w:val="14"/>
              </w:rPr>
            </w:pPr>
            <w:r>
              <w:rPr>
                <w:sz w:val="14"/>
              </w:rPr>
              <w:t>PIR, bi-måler</w:t>
            </w:r>
          </w:p>
        </w:tc>
        <w:tc>
          <w:tcPr>
            <w:tcW w:w="3901" w:type="dxa"/>
            <w:tcBorders>
              <w:top w:val="nil"/>
              <w:bottom w:val="nil"/>
            </w:tcBorders>
            <w:shd w:val="clear" w:color="auto" w:fill="C8E9E6"/>
          </w:tcPr>
          <w:p>
            <w:pPr>
              <w:pStyle w:val="TableParagraph"/>
              <w:spacing w:before="79"/>
              <w:ind w:left="69"/>
              <w:rPr>
                <w:sz w:val="14"/>
              </w:rPr>
            </w:pPr>
            <w:r>
              <w:rPr>
                <w:sz w:val="14"/>
              </w:rPr>
              <w:t>Belysning</w:t>
            </w:r>
          </w:p>
        </w:tc>
        <w:tc>
          <w:tcPr>
            <w:tcW w:w="1908" w:type="dxa"/>
            <w:vMerge/>
            <w:tcBorders>
              <w:top w:val="nil"/>
              <w:bottom w:val="nil"/>
              <w:right w:val="nil"/>
            </w:tcBorders>
            <w:shd w:val="clear" w:color="auto" w:fill="C8E9E6"/>
          </w:tcPr>
          <w:p>
            <w:pPr>
              <w:rPr>
                <w:sz w:val="2"/>
                <w:szCs w:val="2"/>
              </w:rPr>
            </w:pPr>
          </w:p>
        </w:tc>
      </w:tr>
    </w:tbl>
    <w:p>
      <w:pPr>
        <w:pStyle w:val="BodyText"/>
        <w:spacing w:before="3"/>
        <w:rPr>
          <w:sz w:val="6"/>
        </w:rPr>
      </w:pPr>
    </w:p>
    <w:p>
      <w:pPr>
        <w:spacing w:before="71"/>
        <w:ind w:left="237" w:right="0" w:firstLine="0"/>
        <w:jc w:val="left"/>
        <w:rPr>
          <w:rFonts w:ascii="Calibri"/>
          <w:b/>
          <w:sz w:val="14"/>
        </w:rPr>
      </w:pPr>
      <w:r>
        <w:rPr/>
        <w:pict>
          <v:shape style="position:absolute;margin-left:126.860001pt;margin-top:13.095068pt;width:134.550pt;height:68.8pt;mso-position-horizontal-relative:page;mso-position-vertical-relative:paragraph;z-index:8824"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662"/>
                  </w:tblGrid>
                  <w:tr>
                    <w:trPr>
                      <w:trHeight w:val="323" w:hRule="atLeast"/>
                    </w:trPr>
                    <w:tc>
                      <w:tcPr>
                        <w:tcW w:w="2662" w:type="dxa"/>
                        <w:tcBorders>
                          <w:top w:val="nil"/>
                        </w:tcBorders>
                        <w:shd w:val="clear" w:color="auto" w:fill="E2F3F0"/>
                      </w:tcPr>
                      <w:p>
                        <w:pPr>
                          <w:pStyle w:val="TableParagraph"/>
                          <w:spacing w:before="77"/>
                          <w:ind w:left="69"/>
                          <w:rPr>
                            <w:sz w:val="14"/>
                          </w:rPr>
                        </w:pPr>
                        <w:r>
                          <w:rPr>
                            <w:sz w:val="14"/>
                          </w:rPr>
                          <w:t>Hovedmålere</w:t>
                        </w:r>
                      </w:p>
                    </w:tc>
                  </w:tr>
                  <w:tr>
                    <w:trPr>
                      <w:trHeight w:val="325" w:hRule="atLeast"/>
                    </w:trPr>
                    <w:tc>
                      <w:tcPr>
                        <w:tcW w:w="2662" w:type="dxa"/>
                        <w:shd w:val="clear" w:color="auto" w:fill="E2F3F0"/>
                      </w:tcPr>
                      <w:p>
                        <w:pPr>
                          <w:pStyle w:val="TableParagraph"/>
                          <w:spacing w:before="79"/>
                          <w:ind w:left="69"/>
                          <w:rPr>
                            <w:sz w:val="14"/>
                          </w:rPr>
                        </w:pPr>
                        <w:r>
                          <w:rPr>
                            <w:sz w:val="14"/>
                          </w:rPr>
                          <w:t>Hovedmålere, DataHub</w:t>
                        </w:r>
                      </w:p>
                    </w:tc>
                  </w:tr>
                  <w:tr>
                    <w:trPr>
                      <w:trHeight w:val="323" w:hRule="atLeast"/>
                    </w:trPr>
                    <w:tc>
                      <w:tcPr>
                        <w:tcW w:w="2662" w:type="dxa"/>
                        <w:shd w:val="clear" w:color="auto" w:fill="E2F3F0"/>
                      </w:tcPr>
                      <w:p>
                        <w:pPr>
                          <w:pStyle w:val="TableParagraph"/>
                          <w:spacing w:before="77"/>
                          <w:ind w:left="69"/>
                          <w:rPr>
                            <w:sz w:val="14"/>
                          </w:rPr>
                        </w:pPr>
                        <w:r>
                          <w:rPr>
                            <w:sz w:val="14"/>
                          </w:rPr>
                          <w:t>Hovedmålere</w:t>
                        </w:r>
                      </w:p>
                    </w:tc>
                  </w:tr>
                  <w:tr>
                    <w:trPr>
                      <w:trHeight w:val="323" w:hRule="atLeast"/>
                    </w:trPr>
                    <w:tc>
                      <w:tcPr>
                        <w:tcW w:w="2662" w:type="dxa"/>
                        <w:shd w:val="clear" w:color="auto" w:fill="E2F3F0"/>
                      </w:tcPr>
                      <w:p>
                        <w:pPr>
                          <w:pStyle w:val="TableParagraph"/>
                          <w:spacing w:before="77"/>
                          <w:ind w:left="69"/>
                          <w:rPr>
                            <w:sz w:val="14"/>
                          </w:rPr>
                        </w:pPr>
                        <w:r>
                          <w:rPr>
                            <w:sz w:val="14"/>
                          </w:rPr>
                          <w:t>Hovedmålere</w:t>
                        </w:r>
                      </w:p>
                    </w:tc>
                  </w:tr>
                </w:tbl>
                <w:p>
                  <w:pPr>
                    <w:pStyle w:val="BodyText"/>
                  </w:pPr>
                </w:p>
              </w:txbxContent>
            </v:textbox>
            <w10:wrap type="none"/>
          </v:shape>
        </w:pict>
      </w:r>
      <w:r>
        <w:rPr>
          <w:rFonts w:ascii="Calibri"/>
          <w:b/>
          <w:sz w:val="14"/>
        </w:rPr>
        <w:t>Forsyningsdata</w:t>
      </w:r>
    </w:p>
    <w:tbl>
      <w:tblPr>
        <w:tblW w:w="0" w:type="auto"/>
        <w:jc w:val="left"/>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4"/>
        <w:gridCol w:w="5418"/>
        <w:gridCol w:w="1908"/>
      </w:tblGrid>
      <w:tr>
        <w:trPr>
          <w:trHeight w:val="383" w:hRule="atLeast"/>
        </w:trPr>
        <w:tc>
          <w:tcPr>
            <w:tcW w:w="2544" w:type="dxa"/>
            <w:tcBorders>
              <w:left w:val="single" w:sz="8" w:space="0" w:color="FFFFFF"/>
            </w:tcBorders>
            <w:shd w:val="clear" w:color="auto" w:fill="E2F3F0"/>
          </w:tcPr>
          <w:p>
            <w:pPr>
              <w:pStyle w:val="TableParagraph"/>
              <w:spacing w:before="97"/>
              <w:ind w:left="69"/>
              <w:rPr>
                <w:sz w:val="14"/>
              </w:rPr>
            </w:pPr>
            <w:r>
              <w:rPr>
                <w:sz w:val="14"/>
              </w:rPr>
              <w:t>Varmeanlæg</w:t>
            </w:r>
          </w:p>
        </w:tc>
        <w:tc>
          <w:tcPr>
            <w:tcW w:w="5418" w:type="dxa"/>
            <w:tcBorders>
              <w:right w:val="single" w:sz="8" w:space="0" w:color="FFFFFF"/>
            </w:tcBorders>
            <w:shd w:val="clear" w:color="auto" w:fill="E2F3F0"/>
          </w:tcPr>
          <w:p>
            <w:pPr>
              <w:pStyle w:val="TableParagraph"/>
              <w:spacing w:before="97"/>
              <w:ind w:left="1596"/>
              <w:rPr>
                <w:sz w:val="14"/>
              </w:rPr>
            </w:pPr>
            <w:r>
              <w:rPr>
                <w:sz w:val="14"/>
              </w:rPr>
              <w:t>Energiforbrug, kWh, fj varme, gas, olie mv</w:t>
            </w:r>
          </w:p>
        </w:tc>
        <w:tc>
          <w:tcPr>
            <w:tcW w:w="1908" w:type="dxa"/>
            <w:tcBorders>
              <w:left w:val="single" w:sz="8" w:space="0" w:color="FFFFFF"/>
            </w:tcBorders>
            <w:shd w:val="clear" w:color="auto" w:fill="E2F3F0"/>
          </w:tcPr>
          <w:p>
            <w:pPr>
              <w:pStyle w:val="TableParagraph"/>
              <w:spacing w:before="77"/>
              <w:ind w:left="319"/>
              <w:rPr>
                <w:rFonts w:ascii="Wingdings" w:hAnsi="Wingdings"/>
                <w:sz w:val="24"/>
              </w:rPr>
            </w:pPr>
            <w:r>
              <w:rPr>
                <w:rFonts w:ascii="Wingdings" w:hAnsi="Wingdings"/>
                <w:color w:val="69ACC8"/>
                <w:sz w:val="24"/>
              </w:rPr>
              <w:t></w:t>
            </w:r>
          </w:p>
        </w:tc>
      </w:tr>
      <w:tr>
        <w:trPr>
          <w:trHeight w:val="344" w:hRule="atLeast"/>
        </w:trPr>
        <w:tc>
          <w:tcPr>
            <w:tcW w:w="2544" w:type="dxa"/>
            <w:shd w:val="clear" w:color="auto" w:fill="E2F3F0"/>
          </w:tcPr>
          <w:p>
            <w:pPr>
              <w:pStyle w:val="TableParagraph"/>
              <w:spacing w:before="59"/>
              <w:ind w:left="79"/>
              <w:rPr>
                <w:sz w:val="14"/>
              </w:rPr>
            </w:pPr>
            <w:r>
              <w:rPr>
                <w:sz w:val="14"/>
              </w:rPr>
              <w:t>El</w:t>
            </w:r>
          </w:p>
        </w:tc>
        <w:tc>
          <w:tcPr>
            <w:tcW w:w="5418" w:type="dxa"/>
            <w:tcBorders>
              <w:right w:val="single" w:sz="8" w:space="0" w:color="FFFFFF"/>
            </w:tcBorders>
            <w:shd w:val="clear" w:color="auto" w:fill="E2F3F0"/>
          </w:tcPr>
          <w:p>
            <w:pPr>
              <w:pStyle w:val="TableParagraph"/>
              <w:spacing w:before="59"/>
              <w:ind w:left="1596"/>
              <w:rPr>
                <w:sz w:val="14"/>
              </w:rPr>
            </w:pPr>
            <w:r>
              <w:rPr>
                <w:sz w:val="14"/>
              </w:rPr>
              <w:t>Energiforbrug, kWh, El</w:t>
            </w:r>
          </w:p>
        </w:tc>
        <w:tc>
          <w:tcPr>
            <w:tcW w:w="1908" w:type="dxa"/>
            <w:tcBorders>
              <w:left w:val="single" w:sz="8" w:space="0" w:color="FFFFFF"/>
            </w:tcBorders>
            <w:shd w:val="clear" w:color="auto" w:fill="E2F3F0"/>
          </w:tcPr>
          <w:p>
            <w:pPr>
              <w:pStyle w:val="TableParagraph"/>
              <w:spacing w:before="39"/>
              <w:ind w:left="319"/>
              <w:rPr>
                <w:rFonts w:ascii="Wingdings" w:hAnsi="Wingdings"/>
                <w:sz w:val="24"/>
              </w:rPr>
            </w:pPr>
            <w:r>
              <w:rPr>
                <w:rFonts w:ascii="Wingdings" w:hAnsi="Wingdings"/>
                <w:color w:val="69ACC8"/>
                <w:sz w:val="24"/>
              </w:rPr>
              <w:t></w:t>
            </w:r>
          </w:p>
        </w:tc>
      </w:tr>
      <w:tr>
        <w:trPr>
          <w:trHeight w:val="343" w:hRule="atLeast"/>
        </w:trPr>
        <w:tc>
          <w:tcPr>
            <w:tcW w:w="2544" w:type="dxa"/>
            <w:shd w:val="clear" w:color="auto" w:fill="E2F3F0"/>
          </w:tcPr>
          <w:p>
            <w:pPr>
              <w:pStyle w:val="TableParagraph"/>
              <w:spacing w:before="58"/>
              <w:ind w:left="79"/>
              <w:rPr>
                <w:sz w:val="14"/>
              </w:rPr>
            </w:pPr>
            <w:r>
              <w:rPr>
                <w:sz w:val="14"/>
              </w:rPr>
              <w:t>Brugsvand</w:t>
            </w:r>
          </w:p>
        </w:tc>
        <w:tc>
          <w:tcPr>
            <w:tcW w:w="5418" w:type="dxa"/>
            <w:tcBorders>
              <w:right w:val="single" w:sz="8" w:space="0" w:color="FFFFFF"/>
            </w:tcBorders>
            <w:shd w:val="clear" w:color="auto" w:fill="E2F3F0"/>
          </w:tcPr>
          <w:p>
            <w:pPr>
              <w:pStyle w:val="TableParagraph"/>
              <w:spacing w:before="58"/>
              <w:ind w:left="1596"/>
              <w:rPr>
                <w:sz w:val="9"/>
              </w:rPr>
            </w:pPr>
            <w:r>
              <w:rPr>
                <w:sz w:val="14"/>
              </w:rPr>
              <w:t>Forbrug varmt brugsvand, m</w:t>
            </w:r>
            <w:r>
              <w:rPr>
                <w:position w:val="5"/>
                <w:sz w:val="9"/>
              </w:rPr>
              <w:t>3</w:t>
            </w:r>
          </w:p>
        </w:tc>
        <w:tc>
          <w:tcPr>
            <w:tcW w:w="1908" w:type="dxa"/>
            <w:tcBorders>
              <w:left w:val="single" w:sz="8" w:space="0" w:color="FFFFFF"/>
            </w:tcBorders>
            <w:shd w:val="clear" w:color="auto" w:fill="E2F3F0"/>
          </w:tcPr>
          <w:p>
            <w:pPr>
              <w:pStyle w:val="TableParagraph"/>
              <w:spacing w:before="38"/>
              <w:ind w:left="319"/>
              <w:rPr>
                <w:rFonts w:ascii="Wingdings" w:hAnsi="Wingdings"/>
                <w:sz w:val="24"/>
              </w:rPr>
            </w:pPr>
            <w:r>
              <w:rPr>
                <w:rFonts w:ascii="Wingdings" w:hAnsi="Wingdings"/>
                <w:color w:val="69ACC8"/>
                <w:sz w:val="24"/>
              </w:rPr>
              <w:t></w:t>
            </w:r>
          </w:p>
        </w:tc>
      </w:tr>
      <w:tr>
        <w:trPr>
          <w:trHeight w:val="304" w:hRule="atLeast"/>
        </w:trPr>
        <w:tc>
          <w:tcPr>
            <w:tcW w:w="2544" w:type="dxa"/>
            <w:shd w:val="clear" w:color="auto" w:fill="E2F3F0"/>
          </w:tcPr>
          <w:p>
            <w:pPr>
              <w:pStyle w:val="TableParagraph"/>
              <w:spacing w:before="58"/>
              <w:ind w:left="79"/>
              <w:rPr>
                <w:sz w:val="14"/>
              </w:rPr>
            </w:pPr>
            <w:r>
              <w:rPr>
                <w:sz w:val="14"/>
              </w:rPr>
              <w:t>Køling</w:t>
            </w:r>
          </w:p>
        </w:tc>
        <w:tc>
          <w:tcPr>
            <w:tcW w:w="5418" w:type="dxa"/>
            <w:tcBorders>
              <w:right w:val="single" w:sz="8" w:space="0" w:color="FFFFFF"/>
            </w:tcBorders>
            <w:shd w:val="clear" w:color="auto" w:fill="E2F3F0"/>
          </w:tcPr>
          <w:p>
            <w:pPr>
              <w:pStyle w:val="TableParagraph"/>
              <w:spacing w:before="58"/>
              <w:ind w:left="1596"/>
              <w:rPr>
                <w:sz w:val="14"/>
              </w:rPr>
            </w:pPr>
            <w:r>
              <w:rPr>
                <w:sz w:val="14"/>
              </w:rPr>
              <w:t>Energiforbrug køling, kWh, fjernkølomg, El</w:t>
            </w:r>
          </w:p>
        </w:tc>
        <w:tc>
          <w:tcPr>
            <w:tcW w:w="1908" w:type="dxa"/>
            <w:tcBorders>
              <w:left w:val="single" w:sz="8" w:space="0" w:color="FFFFFF"/>
            </w:tcBorders>
            <w:shd w:val="clear" w:color="auto" w:fill="E2F3F0"/>
          </w:tcPr>
          <w:p>
            <w:pPr>
              <w:pStyle w:val="TableParagraph"/>
              <w:spacing w:line="246" w:lineRule="exact" w:before="38"/>
              <w:ind w:left="319"/>
              <w:rPr>
                <w:rFonts w:ascii="Wingdings" w:hAnsi="Wingdings"/>
                <w:sz w:val="24"/>
              </w:rPr>
            </w:pPr>
            <w:r>
              <w:rPr>
                <w:rFonts w:ascii="Wingdings" w:hAnsi="Wingdings"/>
                <w:color w:val="69ACC8"/>
                <w:sz w:val="24"/>
              </w:rPr>
              <w:t></w:t>
            </w:r>
          </w:p>
        </w:tc>
      </w:tr>
    </w:tbl>
    <w:p>
      <w:pPr>
        <w:pStyle w:val="BodyText"/>
        <w:spacing w:before="1"/>
        <w:rPr>
          <w:rFonts w:ascii="Calibri"/>
          <w:b/>
          <w:sz w:val="12"/>
        </w:rPr>
      </w:pPr>
    </w:p>
    <w:p>
      <w:pPr>
        <w:spacing w:before="0" w:after="3"/>
        <w:ind w:left="237" w:right="0" w:firstLine="0"/>
        <w:jc w:val="left"/>
        <w:rPr>
          <w:rFonts w:ascii="Calibri"/>
          <w:b/>
          <w:sz w:val="14"/>
        </w:rPr>
      </w:pPr>
      <w:r>
        <w:rPr>
          <w:rFonts w:ascii="Calibri"/>
          <w:b/>
          <w:sz w:val="14"/>
        </w:rPr>
        <w:t>Faste Data</w:t>
      </w:r>
    </w:p>
    <w:tbl>
      <w:tblPr>
        <w:tblW w:w="0" w:type="auto"/>
        <w:jc w:val="left"/>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399"/>
        <w:gridCol w:w="2662"/>
        <w:gridCol w:w="3901"/>
        <w:gridCol w:w="1908"/>
      </w:tblGrid>
      <w:tr>
        <w:trPr>
          <w:trHeight w:val="433" w:hRule="atLeast"/>
        </w:trPr>
        <w:tc>
          <w:tcPr>
            <w:tcW w:w="1399" w:type="dxa"/>
            <w:tcBorders>
              <w:top w:val="nil"/>
              <w:bottom w:val="nil"/>
            </w:tcBorders>
            <w:shd w:val="clear" w:color="auto" w:fill="C8E9E6"/>
          </w:tcPr>
          <w:p>
            <w:pPr>
              <w:pStyle w:val="TableParagraph"/>
              <w:spacing w:before="132"/>
              <w:ind w:left="69"/>
              <w:rPr>
                <w:sz w:val="14"/>
              </w:rPr>
            </w:pPr>
            <w:r>
              <w:rPr>
                <w:sz w:val="14"/>
              </w:rPr>
              <w:t>Klimaskærm</w:t>
            </w:r>
          </w:p>
        </w:tc>
        <w:tc>
          <w:tcPr>
            <w:tcW w:w="2662" w:type="dxa"/>
            <w:shd w:val="clear" w:color="auto" w:fill="C8E9E6"/>
          </w:tcPr>
          <w:p>
            <w:pPr>
              <w:pStyle w:val="TableParagraph"/>
              <w:spacing w:before="132"/>
              <w:ind w:left="69"/>
              <w:rPr>
                <w:sz w:val="14"/>
              </w:rPr>
            </w:pPr>
            <w:r>
              <w:rPr>
                <w:sz w:val="14"/>
              </w:rPr>
              <w:t>EMO, BBR</w:t>
            </w:r>
          </w:p>
        </w:tc>
        <w:tc>
          <w:tcPr>
            <w:tcW w:w="3901" w:type="dxa"/>
            <w:tcBorders>
              <w:top w:val="nil"/>
              <w:bottom w:val="nil"/>
            </w:tcBorders>
            <w:shd w:val="clear" w:color="auto" w:fill="C8E9E6"/>
          </w:tcPr>
          <w:p>
            <w:pPr>
              <w:pStyle w:val="TableParagraph"/>
              <w:spacing w:before="132"/>
              <w:ind w:left="69"/>
              <w:rPr>
                <w:sz w:val="14"/>
              </w:rPr>
            </w:pPr>
            <w:r>
              <w:rPr>
                <w:sz w:val="14"/>
              </w:rPr>
              <w:t>Isoleringstilstand klimaskærm, U-værdi [W/m</w:t>
            </w:r>
            <w:r>
              <w:rPr>
                <w:position w:val="5"/>
                <w:sz w:val="9"/>
              </w:rPr>
              <w:t>2</w:t>
            </w:r>
            <w:r>
              <w:rPr>
                <w:sz w:val="14"/>
              </w:rPr>
              <w:t>K]</w:t>
            </w:r>
          </w:p>
        </w:tc>
        <w:tc>
          <w:tcPr>
            <w:tcW w:w="1908" w:type="dxa"/>
            <w:vMerge w:val="restart"/>
            <w:tcBorders>
              <w:top w:val="nil"/>
              <w:bottom w:val="nil"/>
              <w:right w:val="nil"/>
            </w:tcBorders>
            <w:shd w:val="clear" w:color="auto" w:fill="C8E9E6"/>
          </w:tcPr>
          <w:p>
            <w:pPr>
              <w:pStyle w:val="TableParagraph"/>
              <w:spacing w:before="168"/>
              <w:ind w:left="319"/>
              <w:rPr>
                <w:rFonts w:ascii="Wingdings" w:hAnsi="Wingdings"/>
                <w:sz w:val="24"/>
              </w:rPr>
            </w:pPr>
            <w:r>
              <w:rPr>
                <w:rFonts w:ascii="Wingdings" w:hAnsi="Wingdings"/>
                <w:color w:val="69ACC8"/>
                <w:sz w:val="24"/>
              </w:rPr>
              <w:t></w:t>
            </w:r>
          </w:p>
          <w:p>
            <w:pPr>
              <w:pStyle w:val="TableParagraph"/>
              <w:spacing w:before="77"/>
              <w:ind w:left="319"/>
              <w:rPr>
                <w:rFonts w:ascii="Wingdings" w:hAnsi="Wingdings"/>
                <w:sz w:val="24"/>
              </w:rPr>
            </w:pPr>
            <w:r>
              <w:rPr>
                <w:rFonts w:ascii="Wingdings" w:hAnsi="Wingdings"/>
                <w:color w:val="69ACC8"/>
                <w:sz w:val="24"/>
              </w:rPr>
              <w:t></w:t>
            </w:r>
          </w:p>
          <w:p>
            <w:pPr>
              <w:pStyle w:val="TableParagraph"/>
              <w:spacing w:before="79"/>
              <w:ind w:left="319"/>
              <w:rPr>
                <w:rFonts w:ascii="Wingdings" w:hAnsi="Wingdings"/>
                <w:sz w:val="24"/>
              </w:rPr>
            </w:pPr>
            <w:r>
              <w:rPr>
                <w:rFonts w:ascii="Wingdings" w:hAnsi="Wingdings"/>
                <w:color w:val="69ACC8"/>
                <w:sz w:val="24"/>
              </w:rPr>
              <w:t></w:t>
            </w:r>
          </w:p>
          <w:p>
            <w:pPr>
              <w:pStyle w:val="TableParagraph"/>
              <w:spacing w:before="77"/>
              <w:ind w:left="319"/>
              <w:rPr>
                <w:rFonts w:ascii="Wingdings" w:hAnsi="Wingdings"/>
                <w:sz w:val="24"/>
              </w:rPr>
            </w:pPr>
            <w:r>
              <w:rPr>
                <w:rFonts w:ascii="Wingdings" w:hAnsi="Wingdings"/>
                <w:color w:val="69ACC8"/>
                <w:sz w:val="24"/>
              </w:rPr>
              <w:t></w:t>
            </w:r>
          </w:p>
          <w:p>
            <w:pPr>
              <w:pStyle w:val="TableParagraph"/>
              <w:spacing w:before="77"/>
              <w:ind w:left="319"/>
              <w:rPr>
                <w:rFonts w:ascii="Wingdings" w:hAnsi="Wingdings"/>
                <w:sz w:val="24"/>
              </w:rPr>
            </w:pPr>
            <w:r>
              <w:rPr>
                <w:rFonts w:ascii="Wingdings" w:hAnsi="Wingdings"/>
                <w:color w:val="69ACC8"/>
                <w:sz w:val="24"/>
              </w:rPr>
              <w:t></w:t>
            </w:r>
          </w:p>
          <w:p>
            <w:pPr>
              <w:pStyle w:val="TableParagraph"/>
              <w:spacing w:line="246" w:lineRule="exact" w:before="67"/>
              <w:ind w:left="319"/>
              <w:rPr>
                <w:rFonts w:ascii="Wingdings" w:hAnsi="Wingdings"/>
                <w:sz w:val="24"/>
              </w:rPr>
            </w:pPr>
            <w:r>
              <w:rPr>
                <w:rFonts w:ascii="Wingdings" w:hAnsi="Wingdings"/>
                <w:color w:val="69ACC8"/>
                <w:sz w:val="24"/>
              </w:rPr>
              <w:t></w:t>
            </w:r>
          </w:p>
        </w:tc>
      </w:tr>
      <w:tr>
        <w:trPr>
          <w:trHeight w:val="323" w:hRule="atLeast"/>
        </w:trPr>
        <w:tc>
          <w:tcPr>
            <w:tcW w:w="1399" w:type="dxa"/>
            <w:tcBorders>
              <w:top w:val="nil"/>
              <w:bottom w:val="nil"/>
            </w:tcBorders>
            <w:shd w:val="clear" w:color="auto" w:fill="C8E9E6"/>
          </w:tcPr>
          <w:p>
            <w:pPr>
              <w:pStyle w:val="TableParagraph"/>
              <w:spacing w:before="77"/>
              <w:ind w:left="69"/>
              <w:rPr>
                <w:sz w:val="14"/>
              </w:rPr>
            </w:pPr>
            <w:r>
              <w:rPr>
                <w:sz w:val="14"/>
              </w:rPr>
              <w:t>Klimaskærm</w:t>
            </w:r>
          </w:p>
        </w:tc>
        <w:tc>
          <w:tcPr>
            <w:tcW w:w="2662" w:type="dxa"/>
            <w:shd w:val="clear" w:color="auto" w:fill="C8E9E6"/>
          </w:tcPr>
          <w:p>
            <w:pPr>
              <w:pStyle w:val="TableParagraph"/>
              <w:spacing w:before="77"/>
              <w:ind w:left="69"/>
              <w:rPr>
                <w:sz w:val="14"/>
              </w:rPr>
            </w:pPr>
            <w:r>
              <w:rPr>
                <w:sz w:val="14"/>
              </w:rPr>
              <w:t>EMO, BBR</w:t>
            </w:r>
          </w:p>
        </w:tc>
        <w:tc>
          <w:tcPr>
            <w:tcW w:w="3901" w:type="dxa"/>
            <w:tcBorders>
              <w:top w:val="nil"/>
              <w:bottom w:val="nil"/>
            </w:tcBorders>
            <w:shd w:val="clear" w:color="auto" w:fill="C8E9E6"/>
          </w:tcPr>
          <w:p>
            <w:pPr>
              <w:pStyle w:val="TableParagraph"/>
              <w:spacing w:before="77"/>
              <w:ind w:left="69"/>
              <w:rPr>
                <w:sz w:val="14"/>
              </w:rPr>
            </w:pPr>
            <w:r>
              <w:rPr>
                <w:sz w:val="14"/>
              </w:rPr>
              <w:t>Bygningens varmekapacitet [Wh/K m</w:t>
            </w:r>
            <w:r>
              <w:rPr>
                <w:position w:val="5"/>
                <w:sz w:val="9"/>
              </w:rPr>
              <w:t>2</w:t>
            </w:r>
            <w:r>
              <w:rPr>
                <w:sz w:val="14"/>
              </w:rPr>
              <w:t>]</w:t>
            </w:r>
          </w:p>
        </w:tc>
        <w:tc>
          <w:tcPr>
            <w:tcW w:w="1908" w:type="dxa"/>
            <w:vMerge/>
            <w:tcBorders>
              <w:top w:val="nil"/>
              <w:bottom w:val="nil"/>
              <w:right w:val="nil"/>
            </w:tcBorders>
            <w:shd w:val="clear" w:color="auto" w:fill="C8E9E6"/>
          </w:tcPr>
          <w:p>
            <w:pPr>
              <w:rPr>
                <w:sz w:val="2"/>
                <w:szCs w:val="2"/>
              </w:rPr>
            </w:pPr>
          </w:p>
        </w:tc>
      </w:tr>
      <w:tr>
        <w:trPr>
          <w:trHeight w:val="325" w:hRule="atLeast"/>
        </w:trPr>
        <w:tc>
          <w:tcPr>
            <w:tcW w:w="1399" w:type="dxa"/>
            <w:tcBorders>
              <w:top w:val="nil"/>
              <w:bottom w:val="nil"/>
            </w:tcBorders>
            <w:shd w:val="clear" w:color="auto" w:fill="C8E9E6"/>
          </w:tcPr>
          <w:p>
            <w:pPr>
              <w:pStyle w:val="TableParagraph"/>
              <w:spacing w:before="79"/>
              <w:ind w:left="69"/>
              <w:rPr>
                <w:sz w:val="14"/>
              </w:rPr>
            </w:pPr>
            <w:r>
              <w:rPr>
                <w:sz w:val="14"/>
              </w:rPr>
              <w:t>Vinduer</w:t>
            </w:r>
          </w:p>
        </w:tc>
        <w:tc>
          <w:tcPr>
            <w:tcW w:w="2662" w:type="dxa"/>
            <w:shd w:val="clear" w:color="auto" w:fill="C8E9E6"/>
          </w:tcPr>
          <w:p>
            <w:pPr>
              <w:pStyle w:val="TableParagraph"/>
              <w:spacing w:before="79"/>
              <w:ind w:left="69"/>
              <w:rPr>
                <w:sz w:val="14"/>
              </w:rPr>
            </w:pPr>
            <w:r>
              <w:rPr>
                <w:sz w:val="14"/>
              </w:rPr>
              <w:t>EMO</w:t>
            </w:r>
          </w:p>
        </w:tc>
        <w:tc>
          <w:tcPr>
            <w:tcW w:w="3901" w:type="dxa"/>
            <w:tcBorders>
              <w:top w:val="nil"/>
              <w:bottom w:val="nil"/>
            </w:tcBorders>
            <w:shd w:val="clear" w:color="auto" w:fill="C8E9E6"/>
          </w:tcPr>
          <w:p>
            <w:pPr>
              <w:pStyle w:val="TableParagraph"/>
              <w:spacing w:before="79"/>
              <w:ind w:left="69"/>
              <w:rPr>
                <w:sz w:val="14"/>
              </w:rPr>
            </w:pPr>
            <w:r>
              <w:rPr>
                <w:sz w:val="14"/>
              </w:rPr>
              <w:t>Isoleringstilstand, U-værdi [W/m</w:t>
            </w:r>
            <w:r>
              <w:rPr>
                <w:position w:val="5"/>
                <w:sz w:val="9"/>
              </w:rPr>
              <w:t>2</w:t>
            </w:r>
            <w:r>
              <w:rPr>
                <w:sz w:val="14"/>
              </w:rPr>
              <w:t>K]</w:t>
            </w:r>
          </w:p>
        </w:tc>
        <w:tc>
          <w:tcPr>
            <w:tcW w:w="1908" w:type="dxa"/>
            <w:vMerge/>
            <w:tcBorders>
              <w:top w:val="nil"/>
              <w:bottom w:val="nil"/>
              <w:right w:val="nil"/>
            </w:tcBorders>
            <w:shd w:val="clear" w:color="auto" w:fill="C8E9E6"/>
          </w:tcPr>
          <w:p>
            <w:pPr>
              <w:rPr>
                <w:sz w:val="2"/>
                <w:szCs w:val="2"/>
              </w:rPr>
            </w:pPr>
          </w:p>
        </w:tc>
      </w:tr>
      <w:tr>
        <w:trPr>
          <w:trHeight w:val="323" w:hRule="atLeast"/>
        </w:trPr>
        <w:tc>
          <w:tcPr>
            <w:tcW w:w="1399" w:type="dxa"/>
            <w:tcBorders>
              <w:top w:val="nil"/>
              <w:bottom w:val="nil"/>
            </w:tcBorders>
            <w:shd w:val="clear" w:color="auto" w:fill="C8E9E6"/>
          </w:tcPr>
          <w:p>
            <w:pPr>
              <w:pStyle w:val="TableParagraph"/>
              <w:spacing w:before="77"/>
              <w:ind w:left="69"/>
              <w:rPr>
                <w:sz w:val="14"/>
              </w:rPr>
            </w:pPr>
            <w:r>
              <w:rPr>
                <w:sz w:val="14"/>
              </w:rPr>
              <w:t>Vinduer</w:t>
            </w:r>
          </w:p>
        </w:tc>
        <w:tc>
          <w:tcPr>
            <w:tcW w:w="2662" w:type="dxa"/>
            <w:shd w:val="clear" w:color="auto" w:fill="C8E9E6"/>
          </w:tcPr>
          <w:p>
            <w:pPr>
              <w:pStyle w:val="TableParagraph"/>
              <w:spacing w:before="77"/>
              <w:ind w:left="69"/>
              <w:rPr>
                <w:sz w:val="14"/>
              </w:rPr>
            </w:pPr>
            <w:r>
              <w:rPr>
                <w:sz w:val="14"/>
              </w:rPr>
              <w:t>EMO</w:t>
            </w:r>
          </w:p>
        </w:tc>
        <w:tc>
          <w:tcPr>
            <w:tcW w:w="3901" w:type="dxa"/>
            <w:tcBorders>
              <w:top w:val="nil"/>
              <w:bottom w:val="nil"/>
            </w:tcBorders>
            <w:shd w:val="clear" w:color="auto" w:fill="C8E9E6"/>
          </w:tcPr>
          <w:p>
            <w:pPr>
              <w:pStyle w:val="TableParagraph"/>
              <w:spacing w:before="77"/>
              <w:ind w:left="69"/>
              <w:rPr>
                <w:sz w:val="14"/>
              </w:rPr>
            </w:pPr>
            <w:r>
              <w:rPr>
                <w:sz w:val="14"/>
              </w:rPr>
              <w:t>Solenergitransmittans, g-værdi [%]</w:t>
            </w:r>
          </w:p>
        </w:tc>
        <w:tc>
          <w:tcPr>
            <w:tcW w:w="1908" w:type="dxa"/>
            <w:vMerge/>
            <w:tcBorders>
              <w:top w:val="nil"/>
              <w:bottom w:val="nil"/>
              <w:right w:val="nil"/>
            </w:tcBorders>
            <w:shd w:val="clear" w:color="auto" w:fill="C8E9E6"/>
          </w:tcPr>
          <w:p>
            <w:pPr>
              <w:rPr>
                <w:sz w:val="2"/>
                <w:szCs w:val="2"/>
              </w:rPr>
            </w:pPr>
          </w:p>
        </w:tc>
      </w:tr>
      <w:tr>
        <w:trPr>
          <w:trHeight w:val="323" w:hRule="atLeast"/>
        </w:trPr>
        <w:tc>
          <w:tcPr>
            <w:tcW w:w="1399" w:type="dxa"/>
            <w:tcBorders>
              <w:top w:val="nil"/>
              <w:bottom w:val="nil"/>
            </w:tcBorders>
            <w:shd w:val="clear" w:color="auto" w:fill="C8E9E6"/>
          </w:tcPr>
          <w:p>
            <w:pPr>
              <w:pStyle w:val="TableParagraph"/>
              <w:spacing w:before="77"/>
              <w:ind w:left="69"/>
              <w:rPr>
                <w:sz w:val="14"/>
              </w:rPr>
            </w:pPr>
            <w:r>
              <w:rPr>
                <w:sz w:val="14"/>
              </w:rPr>
              <w:t>Vinduer</w:t>
            </w:r>
          </w:p>
        </w:tc>
        <w:tc>
          <w:tcPr>
            <w:tcW w:w="2662" w:type="dxa"/>
            <w:shd w:val="clear" w:color="auto" w:fill="C8E9E6"/>
          </w:tcPr>
          <w:p>
            <w:pPr>
              <w:pStyle w:val="TableParagraph"/>
              <w:spacing w:before="77"/>
              <w:ind w:left="69"/>
              <w:rPr>
                <w:sz w:val="14"/>
              </w:rPr>
            </w:pPr>
            <w:r>
              <w:rPr>
                <w:sz w:val="14"/>
              </w:rPr>
              <w:t>EMO</w:t>
            </w:r>
          </w:p>
        </w:tc>
        <w:tc>
          <w:tcPr>
            <w:tcW w:w="3901" w:type="dxa"/>
            <w:tcBorders>
              <w:top w:val="nil"/>
              <w:bottom w:val="nil"/>
            </w:tcBorders>
            <w:shd w:val="clear" w:color="auto" w:fill="C8E9E6"/>
          </w:tcPr>
          <w:p>
            <w:pPr>
              <w:pStyle w:val="TableParagraph"/>
              <w:spacing w:before="77"/>
              <w:ind w:left="69"/>
              <w:rPr>
                <w:sz w:val="14"/>
              </w:rPr>
            </w:pPr>
            <w:r>
              <w:rPr>
                <w:sz w:val="14"/>
              </w:rPr>
              <w:t>Lystransmittans [%]</w:t>
            </w:r>
          </w:p>
        </w:tc>
        <w:tc>
          <w:tcPr>
            <w:tcW w:w="1908" w:type="dxa"/>
            <w:vMerge/>
            <w:tcBorders>
              <w:top w:val="nil"/>
              <w:bottom w:val="nil"/>
              <w:right w:val="nil"/>
            </w:tcBorders>
            <w:shd w:val="clear" w:color="auto" w:fill="C8E9E6"/>
          </w:tcPr>
          <w:p>
            <w:pPr>
              <w:rPr>
                <w:sz w:val="2"/>
                <w:szCs w:val="2"/>
              </w:rPr>
            </w:pPr>
          </w:p>
        </w:tc>
      </w:tr>
      <w:tr>
        <w:trPr>
          <w:trHeight w:val="313" w:hRule="atLeast"/>
        </w:trPr>
        <w:tc>
          <w:tcPr>
            <w:tcW w:w="1399" w:type="dxa"/>
            <w:tcBorders>
              <w:top w:val="nil"/>
              <w:bottom w:val="nil"/>
            </w:tcBorders>
            <w:shd w:val="clear" w:color="auto" w:fill="C8E9E6"/>
          </w:tcPr>
          <w:p>
            <w:pPr>
              <w:pStyle w:val="TableParagraph"/>
              <w:spacing w:before="72"/>
              <w:ind w:left="69"/>
              <w:rPr>
                <w:sz w:val="14"/>
              </w:rPr>
            </w:pPr>
            <w:r>
              <w:rPr>
                <w:sz w:val="14"/>
              </w:rPr>
              <w:t>Solafskærmning</w:t>
            </w:r>
          </w:p>
        </w:tc>
        <w:tc>
          <w:tcPr>
            <w:tcW w:w="2662" w:type="dxa"/>
            <w:tcBorders>
              <w:bottom w:val="nil"/>
            </w:tcBorders>
            <w:shd w:val="clear" w:color="auto" w:fill="C8E9E6"/>
          </w:tcPr>
          <w:p>
            <w:pPr>
              <w:pStyle w:val="TableParagraph"/>
              <w:spacing w:before="72"/>
              <w:ind w:left="69"/>
              <w:rPr>
                <w:sz w:val="14"/>
              </w:rPr>
            </w:pPr>
            <w:r>
              <w:rPr>
                <w:sz w:val="14"/>
              </w:rPr>
              <w:t>EMO</w:t>
            </w:r>
          </w:p>
        </w:tc>
        <w:tc>
          <w:tcPr>
            <w:tcW w:w="3901" w:type="dxa"/>
            <w:tcBorders>
              <w:top w:val="nil"/>
              <w:bottom w:val="nil"/>
            </w:tcBorders>
            <w:shd w:val="clear" w:color="auto" w:fill="C8E9E6"/>
          </w:tcPr>
          <w:p>
            <w:pPr>
              <w:pStyle w:val="TableParagraph"/>
              <w:spacing w:before="72"/>
              <w:ind w:left="69"/>
              <w:rPr>
                <w:sz w:val="14"/>
              </w:rPr>
            </w:pPr>
            <w:r>
              <w:rPr>
                <w:sz w:val="14"/>
              </w:rPr>
              <w:t>Afskærmningsfaktor [%]</w:t>
            </w:r>
          </w:p>
        </w:tc>
        <w:tc>
          <w:tcPr>
            <w:tcW w:w="1908" w:type="dxa"/>
            <w:vMerge/>
            <w:tcBorders>
              <w:top w:val="nil"/>
              <w:bottom w:val="nil"/>
              <w:right w:val="nil"/>
            </w:tcBorders>
            <w:shd w:val="clear" w:color="auto" w:fill="C8E9E6"/>
          </w:tcPr>
          <w:p>
            <w:pPr>
              <w:rPr>
                <w:sz w:val="2"/>
                <w:szCs w:val="2"/>
              </w:rPr>
            </w:pPr>
          </w:p>
        </w:tc>
      </w:tr>
    </w:tbl>
    <w:p>
      <w:pPr>
        <w:spacing w:after="0"/>
        <w:rPr>
          <w:sz w:val="2"/>
          <w:szCs w:val="2"/>
        </w:rPr>
        <w:sectPr>
          <w:type w:val="continuous"/>
          <w:pgSz w:w="11910" w:h="16840"/>
          <w:pgMar w:top="1580" w:bottom="280" w:left="980" w:right="100"/>
        </w:sectPr>
      </w:pPr>
    </w:p>
    <w:p>
      <w:pPr>
        <w:pStyle w:val="BodyText"/>
        <w:rPr>
          <w:rFonts w:ascii="Calibri"/>
          <w:b/>
          <w:sz w:val="20"/>
        </w:rPr>
      </w:pPr>
    </w:p>
    <w:p>
      <w:pPr>
        <w:pStyle w:val="BodyText"/>
        <w:rPr>
          <w:rFonts w:ascii="Calibri"/>
          <w:b/>
          <w:sz w:val="20"/>
        </w:rPr>
      </w:pPr>
    </w:p>
    <w:p>
      <w:pPr>
        <w:pStyle w:val="BodyText"/>
        <w:spacing w:before="8"/>
        <w:rPr>
          <w:rFonts w:ascii="Calibri"/>
          <w:b/>
          <w:sz w:val="16"/>
        </w:rPr>
      </w:pPr>
    </w:p>
    <w:p>
      <w:pPr>
        <w:tabs>
          <w:tab w:pos="5098" w:val="left" w:leader="none"/>
          <w:tab w:pos="7563" w:val="left" w:leader="none"/>
        </w:tabs>
        <w:spacing w:line="20" w:lineRule="exact"/>
        <w:ind w:left="2630" w:right="0" w:firstLine="0"/>
        <w:rPr>
          <w:rFonts w:ascii="Calibri"/>
          <w:sz w:val="2"/>
        </w:rPr>
      </w:pPr>
      <w:r>
        <w:rPr>
          <w:rFonts w:ascii="Calibri"/>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Calibri"/>
          <w:sz w:val="2"/>
        </w:rPr>
      </w:r>
      <w:r>
        <w:rPr>
          <w:rFonts w:ascii="Calibri"/>
          <w:sz w:val="2"/>
        </w:rPr>
        <w:tab/>
      </w:r>
      <w:r>
        <w:rPr>
          <w:rFonts w:ascii="Calibri"/>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Calibri"/>
          <w:sz w:val="2"/>
        </w:rPr>
      </w:r>
      <w:r>
        <w:rPr>
          <w:rFonts w:ascii="Calibri"/>
          <w:sz w:val="2"/>
        </w:rPr>
        <w:tab/>
      </w:r>
      <w:r>
        <w:rPr>
          <w:rFonts w:ascii="Calibri"/>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Calibri"/>
          <w:sz w:val="2"/>
        </w:rPr>
      </w:r>
    </w:p>
    <w:p>
      <w:pPr>
        <w:spacing w:after="0" w:line="20" w:lineRule="exact"/>
        <w:rPr>
          <w:rFonts w:ascii="Calibri"/>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75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spacing w:line="254" w:lineRule="auto"/>
        <w:ind w:right="1391" w:firstLine="0"/>
      </w:pPr>
      <w:bookmarkStart w:name="_bookmark119" w:id="120"/>
      <w:bookmarkEnd w:id="120"/>
      <w:r>
        <w:rPr>
          <w:b w:val="0"/>
        </w:rPr>
      </w:r>
      <w:r>
        <w:rPr/>
        <w:t>Appendix 4: Tværgående udfordringer for anvendelse af data til energieffektivisering</w:t>
      </w:r>
    </w:p>
    <w:p>
      <w:pPr>
        <w:pStyle w:val="BodyText"/>
        <w:rPr>
          <w:b/>
          <w:sz w:val="20"/>
        </w:rPr>
      </w:pPr>
    </w:p>
    <w:p>
      <w:pPr>
        <w:pStyle w:val="BodyText"/>
        <w:spacing w:before="10"/>
        <w:rPr>
          <w:b/>
        </w:rPr>
      </w:pPr>
    </w:p>
    <w:tbl>
      <w:tblPr>
        <w:tblW w:w="0" w:type="auto"/>
        <w:jc w:val="left"/>
        <w:tblInd w:w="2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09"/>
        <w:gridCol w:w="3140"/>
        <w:gridCol w:w="1614"/>
        <w:gridCol w:w="3474"/>
      </w:tblGrid>
      <w:tr>
        <w:trPr>
          <w:trHeight w:val="198" w:hRule="atLeast"/>
        </w:trPr>
        <w:tc>
          <w:tcPr>
            <w:tcW w:w="1409" w:type="dxa"/>
            <w:shd w:val="clear" w:color="auto" w:fill="2C647C"/>
          </w:tcPr>
          <w:p>
            <w:pPr>
              <w:pStyle w:val="TableParagraph"/>
              <w:spacing w:line="162" w:lineRule="exact" w:before="17"/>
              <w:ind w:left="107"/>
              <w:rPr>
                <w:b/>
                <w:sz w:val="15"/>
              </w:rPr>
            </w:pPr>
            <w:r>
              <w:rPr>
                <w:b/>
                <w:color w:val="FFFFFF"/>
                <w:sz w:val="15"/>
              </w:rPr>
              <w:t>UDFORDRING</w:t>
            </w:r>
          </w:p>
        </w:tc>
        <w:tc>
          <w:tcPr>
            <w:tcW w:w="3140" w:type="dxa"/>
            <w:shd w:val="clear" w:color="auto" w:fill="2C647C"/>
          </w:tcPr>
          <w:p>
            <w:pPr>
              <w:pStyle w:val="TableParagraph"/>
              <w:spacing w:line="162" w:lineRule="exact" w:before="17"/>
              <w:ind w:left="107"/>
              <w:rPr>
                <w:b/>
                <w:sz w:val="15"/>
              </w:rPr>
            </w:pPr>
            <w:r>
              <w:rPr>
                <w:b/>
                <w:color w:val="FFFFFF"/>
                <w:sz w:val="15"/>
              </w:rPr>
              <w:t>BESKRIVELSE</w:t>
            </w:r>
          </w:p>
        </w:tc>
        <w:tc>
          <w:tcPr>
            <w:tcW w:w="1614" w:type="dxa"/>
            <w:tcBorders>
              <w:top w:val="nil"/>
              <w:bottom w:val="nil"/>
            </w:tcBorders>
            <w:shd w:val="clear" w:color="auto" w:fill="2C647C"/>
          </w:tcPr>
          <w:p>
            <w:pPr>
              <w:pStyle w:val="TableParagraph"/>
              <w:spacing w:line="162" w:lineRule="exact" w:before="17"/>
              <w:ind w:left="107"/>
              <w:rPr>
                <w:b/>
                <w:sz w:val="15"/>
              </w:rPr>
            </w:pPr>
            <w:r>
              <w:rPr>
                <w:b/>
                <w:color w:val="FFFFFF"/>
                <w:sz w:val="15"/>
              </w:rPr>
              <w:t>DATATYPER</w:t>
            </w:r>
          </w:p>
        </w:tc>
        <w:tc>
          <w:tcPr>
            <w:tcW w:w="3474" w:type="dxa"/>
            <w:tcBorders>
              <w:top w:val="nil"/>
              <w:bottom w:val="nil"/>
              <w:right w:val="nil"/>
            </w:tcBorders>
            <w:shd w:val="clear" w:color="auto" w:fill="2C647C"/>
          </w:tcPr>
          <w:p>
            <w:pPr>
              <w:pStyle w:val="TableParagraph"/>
              <w:spacing w:line="162" w:lineRule="exact" w:before="17"/>
              <w:ind w:left="106"/>
              <w:rPr>
                <w:b/>
                <w:sz w:val="15"/>
              </w:rPr>
            </w:pPr>
            <w:r>
              <w:rPr>
                <w:b/>
                <w:color w:val="FFFFFF"/>
                <w:sz w:val="15"/>
              </w:rPr>
              <w:t>DATAKILDE</w:t>
            </w:r>
          </w:p>
        </w:tc>
      </w:tr>
      <w:tr>
        <w:trPr>
          <w:trHeight w:val="400" w:hRule="atLeast"/>
        </w:trPr>
        <w:tc>
          <w:tcPr>
            <w:tcW w:w="1409" w:type="dxa"/>
            <w:vMerge w:val="restart"/>
            <w:tcBorders>
              <w:bottom w:val="nil"/>
            </w:tcBorders>
            <w:shd w:val="clear" w:color="auto" w:fill="C8E9E6"/>
          </w:tcPr>
          <w:p>
            <w:pPr>
              <w:pStyle w:val="TableParagraph"/>
              <w:rPr>
                <w:b/>
                <w:sz w:val="18"/>
              </w:rPr>
            </w:pPr>
          </w:p>
          <w:p>
            <w:pPr>
              <w:pStyle w:val="TableParagraph"/>
              <w:spacing w:before="5"/>
              <w:rPr>
                <w:b/>
                <w:sz w:val="25"/>
              </w:rPr>
            </w:pPr>
          </w:p>
          <w:p>
            <w:pPr>
              <w:pStyle w:val="TableParagraph"/>
              <w:ind w:left="107"/>
              <w:rPr>
                <w:sz w:val="15"/>
              </w:rPr>
            </w:pPr>
            <w:r>
              <w:rPr>
                <w:sz w:val="15"/>
              </w:rPr>
              <w:t>Mangel på data</w:t>
            </w:r>
          </w:p>
        </w:tc>
        <w:tc>
          <w:tcPr>
            <w:tcW w:w="3140" w:type="dxa"/>
            <w:shd w:val="clear" w:color="auto" w:fill="C8E9E6"/>
          </w:tcPr>
          <w:p>
            <w:pPr>
              <w:pStyle w:val="TableParagraph"/>
              <w:spacing w:line="200" w:lineRule="atLeast" w:before="1"/>
              <w:ind w:left="107" w:right="154"/>
              <w:rPr>
                <w:sz w:val="15"/>
              </w:rPr>
            </w:pPr>
            <w:r>
              <w:rPr>
                <w:sz w:val="15"/>
              </w:rPr>
              <w:t>Mangel på forbrugsdata for bygnings- zoner</w:t>
            </w:r>
          </w:p>
        </w:tc>
        <w:tc>
          <w:tcPr>
            <w:tcW w:w="1614" w:type="dxa"/>
            <w:tcBorders>
              <w:top w:val="nil"/>
              <w:bottom w:val="nil"/>
            </w:tcBorders>
            <w:shd w:val="clear" w:color="auto" w:fill="C8E9E6"/>
          </w:tcPr>
          <w:p>
            <w:pPr>
              <w:pStyle w:val="TableParagraph"/>
              <w:spacing w:line="200" w:lineRule="atLeast" w:before="1"/>
              <w:ind w:left="107" w:right="275"/>
              <w:rPr>
                <w:sz w:val="15"/>
              </w:rPr>
            </w:pPr>
            <w:r>
              <w:rPr>
                <w:sz w:val="15"/>
              </w:rPr>
              <w:t>Detaljerede for- brugsdata</w:t>
            </w:r>
          </w:p>
        </w:tc>
        <w:tc>
          <w:tcPr>
            <w:tcW w:w="3474" w:type="dxa"/>
            <w:tcBorders>
              <w:top w:val="nil"/>
              <w:bottom w:val="nil"/>
              <w:right w:val="nil"/>
            </w:tcBorders>
            <w:shd w:val="clear" w:color="auto" w:fill="C8E9E6"/>
          </w:tcPr>
          <w:p>
            <w:pPr>
              <w:pStyle w:val="TableParagraph"/>
              <w:spacing w:line="200" w:lineRule="atLeast" w:before="1"/>
              <w:ind w:left="106" w:right="2426"/>
              <w:rPr>
                <w:sz w:val="15"/>
              </w:rPr>
            </w:pPr>
            <w:r>
              <w:rPr>
                <w:sz w:val="15"/>
              </w:rPr>
              <w:t>Bi-målere Dataloggere</w:t>
            </w:r>
          </w:p>
        </w:tc>
      </w:tr>
      <w:tr>
        <w:trPr>
          <w:trHeight w:val="399" w:hRule="atLeast"/>
        </w:trPr>
        <w:tc>
          <w:tcPr>
            <w:tcW w:w="1409" w:type="dxa"/>
            <w:vMerge/>
            <w:tcBorders>
              <w:top w:val="nil"/>
              <w:bottom w:val="nil"/>
            </w:tcBorders>
            <w:shd w:val="clear" w:color="auto" w:fill="C8E9E6"/>
          </w:tcPr>
          <w:p>
            <w:pPr>
              <w:rPr>
                <w:sz w:val="2"/>
                <w:szCs w:val="2"/>
              </w:rPr>
            </w:pPr>
          </w:p>
        </w:tc>
        <w:tc>
          <w:tcPr>
            <w:tcW w:w="3140" w:type="dxa"/>
            <w:shd w:val="clear" w:color="auto" w:fill="E2F3F0"/>
          </w:tcPr>
          <w:p>
            <w:pPr>
              <w:pStyle w:val="TableParagraph"/>
              <w:spacing w:line="202" w:lineRule="exact" w:before="5"/>
              <w:ind w:left="107" w:right="165"/>
              <w:rPr>
                <w:sz w:val="15"/>
              </w:rPr>
            </w:pPr>
            <w:r>
              <w:rPr>
                <w:sz w:val="15"/>
              </w:rPr>
              <w:t>Mangel på data for brugsintensitet og anvendelse for bygningszoner</w:t>
            </w:r>
          </w:p>
        </w:tc>
        <w:tc>
          <w:tcPr>
            <w:tcW w:w="1614" w:type="dxa"/>
            <w:tcBorders>
              <w:top w:val="nil"/>
              <w:bottom w:val="nil"/>
            </w:tcBorders>
            <w:shd w:val="clear" w:color="auto" w:fill="E2F3F0"/>
          </w:tcPr>
          <w:p>
            <w:pPr>
              <w:pStyle w:val="TableParagraph"/>
              <w:spacing w:line="202" w:lineRule="exact" w:before="5"/>
              <w:ind w:left="107" w:right="199"/>
              <w:rPr>
                <w:sz w:val="15"/>
              </w:rPr>
            </w:pPr>
            <w:r>
              <w:rPr>
                <w:sz w:val="15"/>
              </w:rPr>
              <w:t>Aktivitetsdata og anvendelsesdata</w:t>
            </w:r>
          </w:p>
        </w:tc>
        <w:tc>
          <w:tcPr>
            <w:tcW w:w="3474" w:type="dxa"/>
            <w:tcBorders>
              <w:top w:val="nil"/>
              <w:bottom w:val="nil"/>
              <w:right w:val="nil"/>
            </w:tcBorders>
            <w:shd w:val="clear" w:color="auto" w:fill="E2F3F0"/>
          </w:tcPr>
          <w:p>
            <w:pPr>
              <w:pStyle w:val="TableParagraph"/>
              <w:spacing w:line="202" w:lineRule="exact" w:before="5"/>
              <w:ind w:left="106" w:right="384"/>
              <w:rPr>
                <w:sz w:val="15"/>
              </w:rPr>
            </w:pPr>
            <w:r>
              <w:rPr>
                <w:sz w:val="15"/>
              </w:rPr>
              <w:t>Findes oftest ikke (potentielt fra senso- rer/FM-systemer)</w:t>
            </w:r>
          </w:p>
        </w:tc>
      </w:tr>
      <w:tr>
        <w:trPr>
          <w:trHeight w:val="391" w:hRule="atLeast"/>
        </w:trPr>
        <w:tc>
          <w:tcPr>
            <w:tcW w:w="1409" w:type="dxa"/>
            <w:vMerge/>
            <w:tcBorders>
              <w:top w:val="nil"/>
              <w:bottom w:val="nil"/>
            </w:tcBorders>
            <w:shd w:val="clear" w:color="auto" w:fill="C8E9E6"/>
          </w:tcPr>
          <w:p>
            <w:pPr>
              <w:rPr>
                <w:sz w:val="2"/>
                <w:szCs w:val="2"/>
              </w:rPr>
            </w:pPr>
          </w:p>
        </w:tc>
        <w:tc>
          <w:tcPr>
            <w:tcW w:w="3140" w:type="dxa"/>
            <w:shd w:val="clear" w:color="auto" w:fill="C8E9E6"/>
          </w:tcPr>
          <w:p>
            <w:pPr>
              <w:pStyle w:val="TableParagraph"/>
              <w:spacing w:before="7"/>
              <w:ind w:left="107"/>
              <w:rPr>
                <w:sz w:val="15"/>
              </w:rPr>
            </w:pPr>
            <w:r>
              <w:rPr>
                <w:sz w:val="15"/>
              </w:rPr>
              <w:t>Mangel på nøgletal for de forskellige</w:t>
            </w:r>
          </w:p>
          <w:p>
            <w:pPr>
              <w:pStyle w:val="TableParagraph"/>
              <w:spacing w:line="162" w:lineRule="exact" w:before="20"/>
              <w:ind w:left="107"/>
              <w:rPr>
                <w:sz w:val="15"/>
              </w:rPr>
            </w:pPr>
            <w:r>
              <w:rPr>
                <w:sz w:val="15"/>
              </w:rPr>
              <w:t>bygningstyper</w:t>
            </w:r>
          </w:p>
        </w:tc>
        <w:tc>
          <w:tcPr>
            <w:tcW w:w="1614" w:type="dxa"/>
            <w:tcBorders>
              <w:top w:val="nil"/>
              <w:bottom w:val="nil"/>
            </w:tcBorders>
            <w:shd w:val="clear" w:color="auto" w:fill="C8E9E6"/>
          </w:tcPr>
          <w:p>
            <w:pPr>
              <w:pStyle w:val="TableParagraph"/>
              <w:spacing w:before="7"/>
              <w:ind w:left="107"/>
              <w:rPr>
                <w:sz w:val="15"/>
              </w:rPr>
            </w:pPr>
            <w:r>
              <w:rPr>
                <w:sz w:val="15"/>
              </w:rPr>
              <w:t>Standardnøgletal</w:t>
            </w:r>
          </w:p>
          <w:p>
            <w:pPr>
              <w:pStyle w:val="TableParagraph"/>
              <w:spacing w:line="162" w:lineRule="exact" w:before="20"/>
              <w:ind w:left="107"/>
              <w:rPr>
                <w:sz w:val="15"/>
              </w:rPr>
            </w:pPr>
            <w:r>
              <w:rPr>
                <w:sz w:val="15"/>
              </w:rPr>
              <w:t>Lokale nøgletal</w:t>
            </w:r>
          </w:p>
        </w:tc>
        <w:tc>
          <w:tcPr>
            <w:tcW w:w="3474" w:type="dxa"/>
            <w:tcBorders>
              <w:top w:val="nil"/>
              <w:bottom w:val="nil"/>
              <w:right w:val="nil"/>
            </w:tcBorders>
            <w:shd w:val="clear" w:color="auto" w:fill="C8E9E6"/>
          </w:tcPr>
          <w:p>
            <w:pPr>
              <w:pStyle w:val="TableParagraph"/>
              <w:spacing w:before="7"/>
              <w:ind w:left="106"/>
              <w:rPr>
                <w:sz w:val="15"/>
              </w:rPr>
            </w:pPr>
            <w:r>
              <w:rPr>
                <w:sz w:val="15"/>
              </w:rPr>
              <w:t>SBI/ENS</w:t>
            </w:r>
          </w:p>
          <w:p>
            <w:pPr>
              <w:pStyle w:val="TableParagraph"/>
              <w:spacing w:line="162" w:lineRule="exact" w:before="20"/>
              <w:ind w:left="106"/>
              <w:rPr>
                <w:sz w:val="15"/>
              </w:rPr>
            </w:pPr>
            <w:r>
              <w:rPr>
                <w:sz w:val="15"/>
              </w:rPr>
              <w:t>Kommunen/regionen</w:t>
            </w:r>
          </w:p>
        </w:tc>
      </w:tr>
      <w:tr>
        <w:trPr>
          <w:trHeight w:val="400" w:hRule="atLeast"/>
        </w:trPr>
        <w:tc>
          <w:tcPr>
            <w:tcW w:w="1409" w:type="dxa"/>
            <w:tcBorders>
              <w:top w:val="nil"/>
              <w:bottom w:val="nil"/>
            </w:tcBorders>
            <w:shd w:val="clear" w:color="auto" w:fill="E2F3F0"/>
          </w:tcPr>
          <w:p>
            <w:pPr>
              <w:pStyle w:val="TableParagraph"/>
              <w:rPr>
                <w:rFonts w:ascii="Times New Roman"/>
                <w:sz w:val="14"/>
              </w:rPr>
            </w:pPr>
          </w:p>
        </w:tc>
        <w:tc>
          <w:tcPr>
            <w:tcW w:w="3140" w:type="dxa"/>
            <w:shd w:val="clear" w:color="auto" w:fill="E2F3F0"/>
          </w:tcPr>
          <w:p>
            <w:pPr>
              <w:pStyle w:val="TableParagraph"/>
              <w:spacing w:line="200" w:lineRule="atLeast"/>
              <w:ind w:left="107" w:right="166"/>
              <w:rPr>
                <w:sz w:val="15"/>
              </w:rPr>
            </w:pPr>
            <w:r>
              <w:rPr>
                <w:sz w:val="15"/>
              </w:rPr>
              <w:t>Mangel på driftsdata for fx varme- og ventilationsanlæg</w:t>
            </w:r>
          </w:p>
        </w:tc>
        <w:tc>
          <w:tcPr>
            <w:tcW w:w="1614" w:type="dxa"/>
            <w:tcBorders>
              <w:top w:val="nil"/>
              <w:bottom w:val="nil"/>
            </w:tcBorders>
            <w:shd w:val="clear" w:color="auto" w:fill="E2F3F0"/>
          </w:tcPr>
          <w:p>
            <w:pPr>
              <w:pStyle w:val="TableParagraph"/>
              <w:spacing w:line="200" w:lineRule="atLeast"/>
              <w:ind w:left="107" w:right="162"/>
              <w:rPr>
                <w:sz w:val="15"/>
              </w:rPr>
            </w:pPr>
            <w:r>
              <w:rPr>
                <w:sz w:val="15"/>
              </w:rPr>
              <w:t>Temperaturer, luftmængder mv.</w:t>
            </w:r>
          </w:p>
        </w:tc>
        <w:tc>
          <w:tcPr>
            <w:tcW w:w="3474" w:type="dxa"/>
            <w:tcBorders>
              <w:top w:val="nil"/>
              <w:bottom w:val="nil"/>
              <w:right w:val="nil"/>
            </w:tcBorders>
            <w:shd w:val="clear" w:color="auto" w:fill="E2F3F0"/>
          </w:tcPr>
          <w:p>
            <w:pPr>
              <w:pStyle w:val="TableParagraph"/>
              <w:spacing w:before="117"/>
              <w:ind w:left="106"/>
              <w:rPr>
                <w:sz w:val="15"/>
              </w:rPr>
            </w:pPr>
            <w:r>
              <w:rPr>
                <w:sz w:val="15"/>
              </w:rPr>
              <w:t>Indbyggede følere og målere via CTS</w:t>
            </w:r>
          </w:p>
        </w:tc>
      </w:tr>
      <w:tr>
        <w:trPr>
          <w:trHeight w:val="400" w:hRule="atLeast"/>
        </w:trPr>
        <w:tc>
          <w:tcPr>
            <w:tcW w:w="1409" w:type="dxa"/>
            <w:vMerge w:val="restart"/>
            <w:tcBorders>
              <w:top w:val="nil"/>
              <w:bottom w:val="nil"/>
            </w:tcBorders>
            <w:shd w:val="clear" w:color="auto" w:fill="C8E9E6"/>
          </w:tcPr>
          <w:p>
            <w:pPr>
              <w:pStyle w:val="TableParagraph"/>
              <w:rPr>
                <w:b/>
                <w:sz w:val="18"/>
              </w:rPr>
            </w:pPr>
          </w:p>
          <w:p>
            <w:pPr>
              <w:pStyle w:val="TableParagraph"/>
              <w:spacing w:before="3"/>
              <w:rPr>
                <w:b/>
                <w:sz w:val="25"/>
              </w:rPr>
            </w:pPr>
          </w:p>
          <w:p>
            <w:pPr>
              <w:pStyle w:val="TableParagraph"/>
              <w:ind w:left="107"/>
              <w:rPr>
                <w:sz w:val="15"/>
              </w:rPr>
            </w:pPr>
            <w:r>
              <w:rPr>
                <w:sz w:val="15"/>
              </w:rPr>
              <w:t>Datakvalitet</w:t>
            </w:r>
          </w:p>
        </w:tc>
        <w:tc>
          <w:tcPr>
            <w:tcW w:w="3140" w:type="dxa"/>
            <w:shd w:val="clear" w:color="auto" w:fill="C8E9E6"/>
          </w:tcPr>
          <w:p>
            <w:pPr>
              <w:pStyle w:val="TableParagraph"/>
              <w:spacing w:line="200" w:lineRule="atLeast"/>
              <w:ind w:left="107" w:right="343"/>
              <w:rPr>
                <w:sz w:val="15"/>
              </w:rPr>
            </w:pPr>
            <w:r>
              <w:rPr>
                <w:sz w:val="15"/>
              </w:rPr>
              <w:t>For lav hastighed og periodisering i forsyningsdata</w:t>
            </w:r>
          </w:p>
        </w:tc>
        <w:tc>
          <w:tcPr>
            <w:tcW w:w="1614" w:type="dxa"/>
            <w:tcBorders>
              <w:top w:val="nil"/>
              <w:bottom w:val="nil"/>
            </w:tcBorders>
            <w:shd w:val="clear" w:color="auto" w:fill="C8E9E6"/>
          </w:tcPr>
          <w:p>
            <w:pPr>
              <w:pStyle w:val="TableParagraph"/>
              <w:spacing w:before="117"/>
              <w:ind w:left="107"/>
              <w:rPr>
                <w:sz w:val="15"/>
              </w:rPr>
            </w:pPr>
            <w:r>
              <w:rPr>
                <w:sz w:val="15"/>
              </w:rPr>
              <w:t>Forsyningsdata</w:t>
            </w:r>
          </w:p>
        </w:tc>
        <w:tc>
          <w:tcPr>
            <w:tcW w:w="3474" w:type="dxa"/>
            <w:tcBorders>
              <w:top w:val="nil"/>
              <w:bottom w:val="nil"/>
              <w:right w:val="nil"/>
            </w:tcBorders>
            <w:shd w:val="clear" w:color="auto" w:fill="C8E9E6"/>
          </w:tcPr>
          <w:p>
            <w:pPr>
              <w:pStyle w:val="TableParagraph"/>
              <w:spacing w:before="117"/>
              <w:ind w:left="106"/>
              <w:rPr>
                <w:sz w:val="15"/>
              </w:rPr>
            </w:pPr>
            <w:r>
              <w:rPr>
                <w:sz w:val="15"/>
              </w:rPr>
              <w:t>Forsyningsselskaberne</w:t>
            </w:r>
          </w:p>
        </w:tc>
      </w:tr>
      <w:tr>
        <w:trPr>
          <w:trHeight w:val="398" w:hRule="atLeast"/>
        </w:trPr>
        <w:tc>
          <w:tcPr>
            <w:tcW w:w="1409" w:type="dxa"/>
            <w:vMerge/>
            <w:tcBorders>
              <w:top w:val="nil"/>
              <w:bottom w:val="nil"/>
            </w:tcBorders>
            <w:shd w:val="clear" w:color="auto" w:fill="C8E9E6"/>
          </w:tcPr>
          <w:p>
            <w:pPr>
              <w:rPr>
                <w:sz w:val="2"/>
                <w:szCs w:val="2"/>
              </w:rPr>
            </w:pPr>
          </w:p>
        </w:tc>
        <w:tc>
          <w:tcPr>
            <w:tcW w:w="3140" w:type="dxa"/>
            <w:shd w:val="clear" w:color="auto" w:fill="E2F3F0"/>
          </w:tcPr>
          <w:p>
            <w:pPr>
              <w:pStyle w:val="TableParagraph"/>
              <w:spacing w:line="200" w:lineRule="atLeast"/>
              <w:ind w:left="107" w:right="344"/>
              <w:rPr>
                <w:sz w:val="15"/>
              </w:rPr>
            </w:pPr>
            <w:r>
              <w:rPr>
                <w:sz w:val="15"/>
              </w:rPr>
              <w:t>Huller i DataHub-data (summerede frem for fortløbende malinger)</w:t>
            </w:r>
          </w:p>
        </w:tc>
        <w:tc>
          <w:tcPr>
            <w:tcW w:w="1614" w:type="dxa"/>
            <w:tcBorders>
              <w:top w:val="nil"/>
              <w:bottom w:val="nil"/>
            </w:tcBorders>
            <w:shd w:val="clear" w:color="auto" w:fill="E2F3F0"/>
          </w:tcPr>
          <w:p>
            <w:pPr>
              <w:pStyle w:val="TableParagraph"/>
              <w:spacing w:before="115"/>
              <w:ind w:left="107"/>
              <w:rPr>
                <w:sz w:val="15"/>
              </w:rPr>
            </w:pPr>
            <w:r>
              <w:rPr>
                <w:sz w:val="15"/>
              </w:rPr>
              <w:t>Elforbrugsdata</w:t>
            </w:r>
          </w:p>
        </w:tc>
        <w:tc>
          <w:tcPr>
            <w:tcW w:w="3474" w:type="dxa"/>
            <w:tcBorders>
              <w:top w:val="nil"/>
              <w:bottom w:val="nil"/>
              <w:right w:val="nil"/>
            </w:tcBorders>
            <w:shd w:val="clear" w:color="auto" w:fill="E2F3F0"/>
          </w:tcPr>
          <w:p>
            <w:pPr>
              <w:pStyle w:val="TableParagraph"/>
              <w:spacing w:before="115"/>
              <w:ind w:left="106"/>
              <w:rPr>
                <w:sz w:val="15"/>
              </w:rPr>
            </w:pPr>
            <w:r>
              <w:rPr>
                <w:sz w:val="15"/>
              </w:rPr>
              <w:t>DataHub</w:t>
            </w:r>
          </w:p>
        </w:tc>
      </w:tr>
      <w:tr>
        <w:trPr>
          <w:trHeight w:val="398" w:hRule="atLeast"/>
        </w:trPr>
        <w:tc>
          <w:tcPr>
            <w:tcW w:w="1409" w:type="dxa"/>
            <w:vMerge/>
            <w:tcBorders>
              <w:top w:val="nil"/>
              <w:bottom w:val="nil"/>
            </w:tcBorders>
            <w:shd w:val="clear" w:color="auto" w:fill="C8E9E6"/>
          </w:tcPr>
          <w:p>
            <w:pPr>
              <w:rPr>
                <w:sz w:val="2"/>
                <w:szCs w:val="2"/>
              </w:rPr>
            </w:pPr>
          </w:p>
        </w:tc>
        <w:tc>
          <w:tcPr>
            <w:tcW w:w="3140" w:type="dxa"/>
            <w:shd w:val="clear" w:color="auto" w:fill="C8E9E6"/>
          </w:tcPr>
          <w:p>
            <w:pPr>
              <w:pStyle w:val="TableParagraph"/>
              <w:spacing w:line="200" w:lineRule="atLeast"/>
              <w:ind w:left="107" w:right="223"/>
              <w:rPr>
                <w:sz w:val="15"/>
              </w:rPr>
            </w:pPr>
            <w:r>
              <w:rPr>
                <w:sz w:val="15"/>
              </w:rPr>
              <w:t>Manglende detaljeringsgrad i energi- mærkningsrapporter</w:t>
            </w:r>
          </w:p>
        </w:tc>
        <w:tc>
          <w:tcPr>
            <w:tcW w:w="1614" w:type="dxa"/>
            <w:tcBorders>
              <w:top w:val="nil"/>
              <w:bottom w:val="nil"/>
            </w:tcBorders>
            <w:shd w:val="clear" w:color="auto" w:fill="C8E9E6"/>
          </w:tcPr>
          <w:p>
            <w:pPr>
              <w:pStyle w:val="TableParagraph"/>
              <w:spacing w:before="115"/>
              <w:ind w:left="107"/>
              <w:rPr>
                <w:sz w:val="15"/>
              </w:rPr>
            </w:pPr>
            <w:r>
              <w:rPr>
                <w:sz w:val="15"/>
              </w:rPr>
              <w:t>Bygningsdata</w:t>
            </w:r>
          </w:p>
        </w:tc>
        <w:tc>
          <w:tcPr>
            <w:tcW w:w="3474" w:type="dxa"/>
            <w:tcBorders>
              <w:top w:val="nil"/>
              <w:bottom w:val="nil"/>
              <w:right w:val="nil"/>
            </w:tcBorders>
            <w:shd w:val="clear" w:color="auto" w:fill="C8E9E6"/>
          </w:tcPr>
          <w:p>
            <w:pPr>
              <w:pStyle w:val="TableParagraph"/>
              <w:spacing w:before="115"/>
              <w:ind w:left="106"/>
              <w:rPr>
                <w:sz w:val="15"/>
              </w:rPr>
            </w:pPr>
            <w:r>
              <w:rPr>
                <w:sz w:val="15"/>
              </w:rPr>
              <w:t>Energimærkningsrapporter</w:t>
            </w:r>
          </w:p>
        </w:tc>
      </w:tr>
      <w:tr>
        <w:trPr>
          <w:trHeight w:val="213" w:hRule="atLeast"/>
        </w:trPr>
        <w:tc>
          <w:tcPr>
            <w:tcW w:w="1409" w:type="dxa"/>
            <w:vMerge w:val="restart"/>
            <w:tcBorders>
              <w:top w:val="nil"/>
              <w:bottom w:val="nil"/>
            </w:tcBorders>
            <w:shd w:val="clear" w:color="auto" w:fill="E2F3F0"/>
          </w:tcPr>
          <w:p>
            <w:pPr>
              <w:pStyle w:val="TableParagraph"/>
              <w:rPr>
                <w:b/>
                <w:sz w:val="18"/>
              </w:rPr>
            </w:pPr>
          </w:p>
          <w:p>
            <w:pPr>
              <w:pStyle w:val="TableParagraph"/>
              <w:rPr>
                <w:b/>
                <w:sz w:val="18"/>
              </w:rPr>
            </w:pPr>
          </w:p>
          <w:p>
            <w:pPr>
              <w:pStyle w:val="TableParagraph"/>
              <w:spacing w:before="7"/>
              <w:rPr>
                <w:b/>
                <w:sz w:val="16"/>
              </w:rPr>
            </w:pPr>
          </w:p>
          <w:p>
            <w:pPr>
              <w:pStyle w:val="TableParagraph"/>
              <w:ind w:left="107"/>
              <w:rPr>
                <w:sz w:val="15"/>
              </w:rPr>
            </w:pPr>
            <w:r>
              <w:rPr>
                <w:sz w:val="15"/>
              </w:rPr>
              <w:t>Adgang til data</w:t>
            </w:r>
          </w:p>
        </w:tc>
        <w:tc>
          <w:tcPr>
            <w:tcW w:w="3140" w:type="dxa"/>
            <w:shd w:val="clear" w:color="auto" w:fill="E2F3F0"/>
          </w:tcPr>
          <w:p>
            <w:pPr>
              <w:pStyle w:val="TableParagraph"/>
              <w:spacing w:line="169" w:lineRule="exact" w:before="25"/>
              <w:ind w:left="107"/>
              <w:rPr>
                <w:sz w:val="15"/>
              </w:rPr>
            </w:pPr>
            <w:r>
              <w:rPr>
                <w:sz w:val="15"/>
              </w:rPr>
              <w:t>Besværlig adgang til forsyningsdata</w:t>
            </w:r>
          </w:p>
        </w:tc>
        <w:tc>
          <w:tcPr>
            <w:tcW w:w="1614" w:type="dxa"/>
            <w:tcBorders>
              <w:top w:val="nil"/>
              <w:bottom w:val="nil"/>
            </w:tcBorders>
            <w:shd w:val="clear" w:color="auto" w:fill="E2F3F0"/>
          </w:tcPr>
          <w:p>
            <w:pPr>
              <w:pStyle w:val="TableParagraph"/>
              <w:spacing w:line="169" w:lineRule="exact" w:before="25"/>
              <w:ind w:left="107"/>
              <w:rPr>
                <w:sz w:val="15"/>
              </w:rPr>
            </w:pPr>
            <w:r>
              <w:rPr>
                <w:sz w:val="15"/>
              </w:rPr>
              <w:t>Forsyningsdata</w:t>
            </w:r>
          </w:p>
        </w:tc>
        <w:tc>
          <w:tcPr>
            <w:tcW w:w="3474" w:type="dxa"/>
            <w:tcBorders>
              <w:top w:val="nil"/>
              <w:bottom w:val="nil"/>
              <w:right w:val="nil"/>
            </w:tcBorders>
            <w:shd w:val="clear" w:color="auto" w:fill="E2F3F0"/>
          </w:tcPr>
          <w:p>
            <w:pPr>
              <w:pStyle w:val="TableParagraph"/>
              <w:spacing w:line="169" w:lineRule="exact" w:before="25"/>
              <w:ind w:left="106"/>
              <w:rPr>
                <w:sz w:val="15"/>
              </w:rPr>
            </w:pPr>
            <w:r>
              <w:rPr>
                <w:sz w:val="15"/>
              </w:rPr>
              <w:t>Forsyningsselskaberne</w:t>
            </w:r>
          </w:p>
        </w:tc>
      </w:tr>
      <w:tr>
        <w:trPr>
          <w:trHeight w:val="400" w:hRule="atLeast"/>
        </w:trPr>
        <w:tc>
          <w:tcPr>
            <w:tcW w:w="1409" w:type="dxa"/>
            <w:vMerge/>
            <w:tcBorders>
              <w:top w:val="nil"/>
              <w:bottom w:val="nil"/>
            </w:tcBorders>
            <w:shd w:val="clear" w:color="auto" w:fill="E2F3F0"/>
          </w:tcPr>
          <w:p>
            <w:pPr>
              <w:rPr>
                <w:sz w:val="2"/>
                <w:szCs w:val="2"/>
              </w:rPr>
            </w:pPr>
          </w:p>
        </w:tc>
        <w:tc>
          <w:tcPr>
            <w:tcW w:w="3140" w:type="dxa"/>
            <w:shd w:val="clear" w:color="auto" w:fill="C8E9E6"/>
          </w:tcPr>
          <w:p>
            <w:pPr>
              <w:pStyle w:val="TableParagraph"/>
              <w:spacing w:line="200" w:lineRule="atLeast"/>
              <w:ind w:left="107" w:right="198"/>
              <w:rPr>
                <w:sz w:val="15"/>
              </w:rPr>
            </w:pPr>
            <w:r>
              <w:rPr>
                <w:sz w:val="15"/>
              </w:rPr>
              <w:t>Manglende adgang til præcise, detal- jerede forbrugsdata</w:t>
            </w:r>
          </w:p>
        </w:tc>
        <w:tc>
          <w:tcPr>
            <w:tcW w:w="1614" w:type="dxa"/>
            <w:tcBorders>
              <w:top w:val="nil"/>
              <w:bottom w:val="nil"/>
            </w:tcBorders>
            <w:shd w:val="clear" w:color="auto" w:fill="C8E9E6"/>
          </w:tcPr>
          <w:p>
            <w:pPr>
              <w:pStyle w:val="TableParagraph"/>
              <w:spacing w:before="117"/>
              <w:ind w:left="107"/>
              <w:rPr>
                <w:sz w:val="15"/>
              </w:rPr>
            </w:pPr>
            <w:r>
              <w:rPr>
                <w:sz w:val="15"/>
              </w:rPr>
              <w:t>Forbrugsdata</w:t>
            </w:r>
          </w:p>
        </w:tc>
        <w:tc>
          <w:tcPr>
            <w:tcW w:w="3474" w:type="dxa"/>
            <w:tcBorders>
              <w:top w:val="nil"/>
              <w:bottom w:val="nil"/>
              <w:right w:val="nil"/>
            </w:tcBorders>
            <w:shd w:val="clear" w:color="auto" w:fill="C8E9E6"/>
          </w:tcPr>
          <w:p>
            <w:pPr>
              <w:pStyle w:val="TableParagraph"/>
              <w:spacing w:line="200" w:lineRule="atLeast"/>
              <w:ind w:left="106" w:right="2426"/>
              <w:rPr>
                <w:sz w:val="15"/>
              </w:rPr>
            </w:pPr>
            <w:r>
              <w:rPr>
                <w:sz w:val="15"/>
              </w:rPr>
              <w:t>Bi-målere Dataloggere</w:t>
            </w:r>
          </w:p>
        </w:tc>
      </w:tr>
      <w:tr>
        <w:trPr>
          <w:trHeight w:val="400" w:hRule="atLeast"/>
        </w:trPr>
        <w:tc>
          <w:tcPr>
            <w:tcW w:w="1409" w:type="dxa"/>
            <w:vMerge/>
            <w:tcBorders>
              <w:top w:val="nil"/>
              <w:bottom w:val="nil"/>
            </w:tcBorders>
            <w:shd w:val="clear" w:color="auto" w:fill="E2F3F0"/>
          </w:tcPr>
          <w:p>
            <w:pPr>
              <w:rPr>
                <w:sz w:val="2"/>
                <w:szCs w:val="2"/>
              </w:rPr>
            </w:pPr>
          </w:p>
        </w:tc>
        <w:tc>
          <w:tcPr>
            <w:tcW w:w="3140" w:type="dxa"/>
            <w:shd w:val="clear" w:color="auto" w:fill="E2F3F0"/>
          </w:tcPr>
          <w:p>
            <w:pPr>
              <w:pStyle w:val="TableParagraph"/>
              <w:spacing w:before="117"/>
              <w:ind w:left="107"/>
              <w:rPr>
                <w:sz w:val="15"/>
              </w:rPr>
            </w:pPr>
            <w:r>
              <w:rPr>
                <w:sz w:val="15"/>
              </w:rPr>
              <w:t>Juridiske tvister om ejerskab</w:t>
            </w:r>
          </w:p>
        </w:tc>
        <w:tc>
          <w:tcPr>
            <w:tcW w:w="1614" w:type="dxa"/>
            <w:tcBorders>
              <w:top w:val="nil"/>
              <w:bottom w:val="nil"/>
            </w:tcBorders>
            <w:shd w:val="clear" w:color="auto" w:fill="E2F3F0"/>
          </w:tcPr>
          <w:p>
            <w:pPr>
              <w:pStyle w:val="TableParagraph"/>
              <w:spacing w:line="200" w:lineRule="atLeast"/>
              <w:ind w:left="107" w:right="265"/>
              <w:rPr>
                <w:sz w:val="15"/>
              </w:rPr>
            </w:pPr>
            <w:r>
              <w:rPr>
                <w:sz w:val="15"/>
              </w:rPr>
              <w:t>Forsyningsdata/ forbrugsdata</w:t>
            </w:r>
          </w:p>
        </w:tc>
        <w:tc>
          <w:tcPr>
            <w:tcW w:w="3474" w:type="dxa"/>
            <w:tcBorders>
              <w:top w:val="nil"/>
              <w:bottom w:val="nil"/>
              <w:right w:val="nil"/>
            </w:tcBorders>
            <w:shd w:val="clear" w:color="auto" w:fill="E2F3F0"/>
          </w:tcPr>
          <w:p>
            <w:pPr>
              <w:pStyle w:val="TableParagraph"/>
              <w:spacing w:before="117"/>
              <w:ind w:left="106"/>
              <w:rPr>
                <w:sz w:val="15"/>
              </w:rPr>
            </w:pPr>
            <w:r>
              <w:rPr>
                <w:sz w:val="15"/>
              </w:rPr>
              <w:t>Dataloggere</w:t>
            </w:r>
          </w:p>
        </w:tc>
      </w:tr>
      <w:tr>
        <w:trPr>
          <w:trHeight w:val="397" w:hRule="atLeast"/>
        </w:trPr>
        <w:tc>
          <w:tcPr>
            <w:tcW w:w="1409" w:type="dxa"/>
            <w:vMerge/>
            <w:tcBorders>
              <w:top w:val="nil"/>
              <w:bottom w:val="nil"/>
            </w:tcBorders>
            <w:shd w:val="clear" w:color="auto" w:fill="E2F3F0"/>
          </w:tcPr>
          <w:p>
            <w:pPr>
              <w:rPr>
                <w:sz w:val="2"/>
                <w:szCs w:val="2"/>
              </w:rPr>
            </w:pPr>
          </w:p>
        </w:tc>
        <w:tc>
          <w:tcPr>
            <w:tcW w:w="3140" w:type="dxa"/>
            <w:shd w:val="clear" w:color="auto" w:fill="C8E9E6"/>
          </w:tcPr>
          <w:p>
            <w:pPr>
              <w:pStyle w:val="TableParagraph"/>
              <w:spacing w:line="200" w:lineRule="atLeast"/>
              <w:ind w:left="107" w:right="358"/>
              <w:rPr>
                <w:sz w:val="15"/>
              </w:rPr>
            </w:pPr>
            <w:r>
              <w:rPr>
                <w:sz w:val="15"/>
              </w:rPr>
              <w:t>Vanskelig eksport af data fra ældre CTS-anlæg</w:t>
            </w:r>
          </w:p>
        </w:tc>
        <w:tc>
          <w:tcPr>
            <w:tcW w:w="1614" w:type="dxa"/>
            <w:tcBorders>
              <w:top w:val="nil"/>
              <w:bottom w:val="nil"/>
            </w:tcBorders>
            <w:shd w:val="clear" w:color="auto" w:fill="C8E9E6"/>
          </w:tcPr>
          <w:p>
            <w:pPr>
              <w:pStyle w:val="TableParagraph"/>
              <w:spacing w:before="115"/>
              <w:ind w:left="107"/>
              <w:rPr>
                <w:sz w:val="15"/>
              </w:rPr>
            </w:pPr>
            <w:r>
              <w:rPr>
                <w:sz w:val="15"/>
              </w:rPr>
              <w:t>CTS-data</w:t>
            </w:r>
          </w:p>
        </w:tc>
        <w:tc>
          <w:tcPr>
            <w:tcW w:w="3474" w:type="dxa"/>
            <w:tcBorders>
              <w:top w:val="nil"/>
              <w:bottom w:val="nil"/>
              <w:right w:val="nil"/>
            </w:tcBorders>
            <w:shd w:val="clear" w:color="auto" w:fill="C8E9E6"/>
          </w:tcPr>
          <w:p>
            <w:pPr>
              <w:pStyle w:val="TableParagraph"/>
              <w:spacing w:before="115"/>
              <w:ind w:left="106"/>
              <w:rPr>
                <w:sz w:val="15"/>
              </w:rPr>
            </w:pPr>
            <w:r>
              <w:rPr>
                <w:sz w:val="15"/>
              </w:rPr>
              <w:t>CTS-anlæg</w:t>
            </w:r>
          </w:p>
        </w:tc>
      </w:tr>
      <w:tr>
        <w:trPr>
          <w:trHeight w:val="398" w:hRule="atLeast"/>
        </w:trPr>
        <w:tc>
          <w:tcPr>
            <w:tcW w:w="1409" w:type="dxa"/>
            <w:vMerge w:val="restart"/>
            <w:tcBorders>
              <w:top w:val="nil"/>
              <w:bottom w:val="nil"/>
            </w:tcBorders>
            <w:shd w:val="clear" w:color="auto" w:fill="C8E9E6"/>
          </w:tcPr>
          <w:p>
            <w:pPr>
              <w:pStyle w:val="TableParagraph"/>
              <w:rPr>
                <w:b/>
                <w:sz w:val="18"/>
              </w:rPr>
            </w:pPr>
          </w:p>
          <w:p>
            <w:pPr>
              <w:pStyle w:val="TableParagraph"/>
              <w:spacing w:line="261" w:lineRule="auto" w:before="115"/>
              <w:ind w:left="107" w:right="234"/>
              <w:rPr>
                <w:sz w:val="15"/>
              </w:rPr>
            </w:pPr>
            <w:r>
              <w:rPr>
                <w:sz w:val="15"/>
              </w:rPr>
              <w:t>Ajourføring af data</w:t>
            </w:r>
          </w:p>
        </w:tc>
        <w:tc>
          <w:tcPr>
            <w:tcW w:w="3140" w:type="dxa"/>
            <w:shd w:val="clear" w:color="auto" w:fill="E2F3F0"/>
          </w:tcPr>
          <w:p>
            <w:pPr>
              <w:pStyle w:val="TableParagraph"/>
              <w:spacing w:line="200" w:lineRule="atLeast"/>
              <w:ind w:left="107" w:right="144"/>
              <w:rPr>
                <w:sz w:val="15"/>
              </w:rPr>
            </w:pPr>
            <w:r>
              <w:rPr>
                <w:sz w:val="15"/>
              </w:rPr>
              <w:t>Manglende registrering af ændringer i dynamisk bygningsmasse</w:t>
            </w:r>
          </w:p>
        </w:tc>
        <w:tc>
          <w:tcPr>
            <w:tcW w:w="1614" w:type="dxa"/>
            <w:tcBorders>
              <w:top w:val="nil"/>
              <w:bottom w:val="nil"/>
            </w:tcBorders>
            <w:shd w:val="clear" w:color="auto" w:fill="E2F3F0"/>
          </w:tcPr>
          <w:p>
            <w:pPr>
              <w:pStyle w:val="TableParagraph"/>
              <w:spacing w:before="115"/>
              <w:ind w:left="107"/>
              <w:rPr>
                <w:sz w:val="15"/>
              </w:rPr>
            </w:pPr>
            <w:r>
              <w:rPr>
                <w:sz w:val="15"/>
              </w:rPr>
              <w:t>Bygningsdata</w:t>
            </w:r>
          </w:p>
        </w:tc>
        <w:tc>
          <w:tcPr>
            <w:tcW w:w="3474" w:type="dxa"/>
            <w:tcBorders>
              <w:top w:val="nil"/>
              <w:bottom w:val="nil"/>
              <w:right w:val="nil"/>
            </w:tcBorders>
            <w:shd w:val="clear" w:color="auto" w:fill="E2F3F0"/>
          </w:tcPr>
          <w:p>
            <w:pPr>
              <w:pStyle w:val="TableParagraph"/>
              <w:spacing w:before="115"/>
              <w:ind w:left="106"/>
              <w:rPr>
                <w:sz w:val="15"/>
              </w:rPr>
            </w:pPr>
            <w:r>
              <w:rPr>
                <w:sz w:val="15"/>
              </w:rPr>
              <w:t>Egne bygningslister</w:t>
            </w:r>
          </w:p>
        </w:tc>
      </w:tr>
      <w:tr>
        <w:trPr>
          <w:trHeight w:val="213" w:hRule="atLeast"/>
        </w:trPr>
        <w:tc>
          <w:tcPr>
            <w:tcW w:w="1409" w:type="dxa"/>
            <w:vMerge/>
            <w:tcBorders>
              <w:top w:val="nil"/>
              <w:bottom w:val="nil"/>
            </w:tcBorders>
            <w:shd w:val="clear" w:color="auto" w:fill="C8E9E6"/>
          </w:tcPr>
          <w:p>
            <w:pPr>
              <w:rPr>
                <w:sz w:val="2"/>
                <w:szCs w:val="2"/>
              </w:rPr>
            </w:pPr>
          </w:p>
        </w:tc>
        <w:tc>
          <w:tcPr>
            <w:tcW w:w="3140" w:type="dxa"/>
            <w:shd w:val="clear" w:color="auto" w:fill="C8E9E6"/>
          </w:tcPr>
          <w:p>
            <w:pPr>
              <w:pStyle w:val="TableParagraph"/>
              <w:spacing w:line="169" w:lineRule="exact" w:before="25"/>
              <w:ind w:left="107"/>
              <w:rPr>
                <w:sz w:val="15"/>
              </w:rPr>
            </w:pPr>
            <w:r>
              <w:rPr>
                <w:sz w:val="15"/>
              </w:rPr>
              <w:t>Manglende ajourføring af BBR</w:t>
            </w:r>
          </w:p>
        </w:tc>
        <w:tc>
          <w:tcPr>
            <w:tcW w:w="1614" w:type="dxa"/>
            <w:tcBorders>
              <w:top w:val="nil"/>
              <w:bottom w:val="nil"/>
            </w:tcBorders>
            <w:shd w:val="clear" w:color="auto" w:fill="C8E9E6"/>
          </w:tcPr>
          <w:p>
            <w:pPr>
              <w:pStyle w:val="TableParagraph"/>
              <w:spacing w:line="169" w:lineRule="exact" w:before="25"/>
              <w:ind w:left="107"/>
              <w:rPr>
                <w:sz w:val="15"/>
              </w:rPr>
            </w:pPr>
            <w:r>
              <w:rPr>
                <w:sz w:val="15"/>
              </w:rPr>
              <w:t>Bygningsdata</w:t>
            </w:r>
          </w:p>
        </w:tc>
        <w:tc>
          <w:tcPr>
            <w:tcW w:w="3474" w:type="dxa"/>
            <w:tcBorders>
              <w:top w:val="nil"/>
              <w:bottom w:val="nil"/>
              <w:right w:val="nil"/>
            </w:tcBorders>
            <w:shd w:val="clear" w:color="auto" w:fill="C8E9E6"/>
          </w:tcPr>
          <w:p>
            <w:pPr>
              <w:pStyle w:val="TableParagraph"/>
              <w:spacing w:line="169" w:lineRule="exact" w:before="25"/>
              <w:ind w:left="106"/>
              <w:rPr>
                <w:sz w:val="15"/>
              </w:rPr>
            </w:pPr>
            <w:r>
              <w:rPr>
                <w:sz w:val="15"/>
              </w:rPr>
              <w:t>BBR</w:t>
            </w:r>
          </w:p>
        </w:tc>
      </w:tr>
      <w:tr>
        <w:trPr>
          <w:trHeight w:val="400" w:hRule="atLeast"/>
        </w:trPr>
        <w:tc>
          <w:tcPr>
            <w:tcW w:w="1409" w:type="dxa"/>
            <w:vMerge/>
            <w:tcBorders>
              <w:top w:val="nil"/>
              <w:bottom w:val="nil"/>
            </w:tcBorders>
            <w:shd w:val="clear" w:color="auto" w:fill="C8E9E6"/>
          </w:tcPr>
          <w:p>
            <w:pPr>
              <w:rPr>
                <w:sz w:val="2"/>
                <w:szCs w:val="2"/>
              </w:rPr>
            </w:pPr>
          </w:p>
        </w:tc>
        <w:tc>
          <w:tcPr>
            <w:tcW w:w="3140" w:type="dxa"/>
            <w:shd w:val="clear" w:color="auto" w:fill="E2F3F0"/>
          </w:tcPr>
          <w:p>
            <w:pPr>
              <w:pStyle w:val="TableParagraph"/>
              <w:spacing w:line="202" w:lineRule="exact" w:before="6"/>
              <w:ind w:left="107" w:right="331"/>
              <w:rPr>
                <w:sz w:val="15"/>
              </w:rPr>
            </w:pPr>
            <w:r>
              <w:rPr>
                <w:sz w:val="15"/>
              </w:rPr>
              <w:t>Manglende ajourføring af generiske nøgletal</w:t>
            </w:r>
          </w:p>
        </w:tc>
        <w:tc>
          <w:tcPr>
            <w:tcW w:w="1614" w:type="dxa"/>
            <w:tcBorders>
              <w:top w:val="nil"/>
              <w:bottom w:val="nil"/>
            </w:tcBorders>
            <w:shd w:val="clear" w:color="auto" w:fill="E2F3F0"/>
          </w:tcPr>
          <w:p>
            <w:pPr>
              <w:pStyle w:val="TableParagraph"/>
              <w:spacing w:before="117"/>
              <w:ind w:left="107"/>
              <w:rPr>
                <w:sz w:val="15"/>
              </w:rPr>
            </w:pPr>
            <w:r>
              <w:rPr>
                <w:sz w:val="15"/>
              </w:rPr>
              <w:t>Nøgletal</w:t>
            </w:r>
          </w:p>
        </w:tc>
        <w:tc>
          <w:tcPr>
            <w:tcW w:w="3474" w:type="dxa"/>
            <w:tcBorders>
              <w:top w:val="nil"/>
              <w:bottom w:val="nil"/>
              <w:right w:val="nil"/>
            </w:tcBorders>
            <w:shd w:val="clear" w:color="auto" w:fill="E2F3F0"/>
          </w:tcPr>
          <w:p>
            <w:pPr>
              <w:pStyle w:val="TableParagraph"/>
              <w:spacing w:before="117"/>
              <w:ind w:left="106"/>
              <w:rPr>
                <w:sz w:val="15"/>
              </w:rPr>
            </w:pPr>
            <w:r>
              <w:rPr>
                <w:sz w:val="15"/>
              </w:rPr>
              <w:t>ENS/SBI</w:t>
            </w:r>
          </w:p>
        </w:tc>
      </w:tr>
      <w:tr>
        <w:trPr>
          <w:trHeight w:val="390" w:hRule="atLeast"/>
        </w:trPr>
        <w:tc>
          <w:tcPr>
            <w:tcW w:w="1409" w:type="dxa"/>
            <w:vMerge w:val="restart"/>
            <w:tcBorders>
              <w:top w:val="nil"/>
              <w:bottom w:val="nil"/>
            </w:tcBorders>
            <w:shd w:val="clear" w:color="auto" w:fill="E2F3F0"/>
          </w:tcPr>
          <w:p>
            <w:pPr>
              <w:pStyle w:val="TableParagraph"/>
              <w:spacing w:before="1"/>
              <w:rPr>
                <w:b/>
                <w:sz w:val="26"/>
              </w:rPr>
            </w:pPr>
          </w:p>
          <w:p>
            <w:pPr>
              <w:pStyle w:val="TableParagraph"/>
              <w:spacing w:line="264" w:lineRule="auto"/>
              <w:ind w:left="107" w:right="198"/>
              <w:rPr>
                <w:sz w:val="15"/>
              </w:rPr>
            </w:pPr>
            <w:r>
              <w:rPr>
                <w:sz w:val="15"/>
              </w:rPr>
              <w:t>Indsamling og samkørsel af data</w:t>
            </w:r>
          </w:p>
        </w:tc>
        <w:tc>
          <w:tcPr>
            <w:tcW w:w="3140" w:type="dxa"/>
            <w:shd w:val="clear" w:color="auto" w:fill="C8E9E6"/>
          </w:tcPr>
          <w:p>
            <w:pPr>
              <w:pStyle w:val="TableParagraph"/>
              <w:spacing w:before="7"/>
              <w:ind w:left="107"/>
              <w:rPr>
                <w:sz w:val="15"/>
              </w:rPr>
            </w:pPr>
            <w:r>
              <w:rPr>
                <w:sz w:val="15"/>
              </w:rPr>
              <w:t>Organisatoriske barrierer hæmmer</w:t>
            </w:r>
          </w:p>
          <w:p>
            <w:pPr>
              <w:pStyle w:val="TableParagraph"/>
              <w:spacing w:line="164" w:lineRule="exact" w:before="17"/>
              <w:ind w:left="107"/>
              <w:rPr>
                <w:sz w:val="15"/>
              </w:rPr>
            </w:pPr>
            <w:r>
              <w:rPr>
                <w:sz w:val="15"/>
              </w:rPr>
              <w:t>samkørsel af data</w:t>
            </w:r>
          </w:p>
        </w:tc>
        <w:tc>
          <w:tcPr>
            <w:tcW w:w="1614" w:type="dxa"/>
            <w:tcBorders>
              <w:top w:val="nil"/>
              <w:bottom w:val="nil"/>
            </w:tcBorders>
            <w:shd w:val="clear" w:color="auto" w:fill="C8E9E6"/>
          </w:tcPr>
          <w:p>
            <w:pPr>
              <w:pStyle w:val="TableParagraph"/>
              <w:spacing w:before="108"/>
              <w:ind w:left="107"/>
              <w:rPr>
                <w:sz w:val="15"/>
              </w:rPr>
            </w:pPr>
            <w:r>
              <w:rPr>
                <w:sz w:val="15"/>
              </w:rPr>
              <w:t>Alle datatyper</w:t>
            </w:r>
          </w:p>
        </w:tc>
        <w:tc>
          <w:tcPr>
            <w:tcW w:w="3474" w:type="dxa"/>
            <w:tcBorders>
              <w:top w:val="nil"/>
              <w:bottom w:val="nil"/>
              <w:right w:val="nil"/>
            </w:tcBorders>
            <w:shd w:val="clear" w:color="auto" w:fill="C8E9E6"/>
          </w:tcPr>
          <w:p>
            <w:pPr>
              <w:pStyle w:val="TableParagraph"/>
              <w:spacing w:before="108"/>
              <w:ind w:left="106"/>
              <w:rPr>
                <w:sz w:val="15"/>
              </w:rPr>
            </w:pPr>
            <w:r>
              <w:rPr>
                <w:sz w:val="15"/>
              </w:rPr>
              <w:t>Alle kilder</w:t>
            </w:r>
          </w:p>
        </w:tc>
      </w:tr>
      <w:tr>
        <w:trPr>
          <w:trHeight w:val="400" w:hRule="atLeast"/>
        </w:trPr>
        <w:tc>
          <w:tcPr>
            <w:tcW w:w="1409" w:type="dxa"/>
            <w:vMerge/>
            <w:tcBorders>
              <w:top w:val="nil"/>
              <w:bottom w:val="nil"/>
            </w:tcBorders>
            <w:shd w:val="clear" w:color="auto" w:fill="E2F3F0"/>
          </w:tcPr>
          <w:p>
            <w:pPr>
              <w:rPr>
                <w:sz w:val="2"/>
                <w:szCs w:val="2"/>
              </w:rPr>
            </w:pPr>
          </w:p>
        </w:tc>
        <w:tc>
          <w:tcPr>
            <w:tcW w:w="3140" w:type="dxa"/>
            <w:shd w:val="clear" w:color="auto" w:fill="E2F3F0"/>
          </w:tcPr>
          <w:p>
            <w:pPr>
              <w:pStyle w:val="TableParagraph"/>
              <w:spacing w:line="200" w:lineRule="atLeast"/>
              <w:ind w:left="107" w:right="230"/>
              <w:rPr>
                <w:sz w:val="15"/>
              </w:rPr>
            </w:pPr>
            <w:r>
              <w:rPr>
                <w:sz w:val="15"/>
              </w:rPr>
              <w:t>Ofte forskel på bygningsejer og byg- ningsbruger</w:t>
            </w:r>
          </w:p>
        </w:tc>
        <w:tc>
          <w:tcPr>
            <w:tcW w:w="1614" w:type="dxa"/>
            <w:tcBorders>
              <w:top w:val="nil"/>
              <w:bottom w:val="nil"/>
            </w:tcBorders>
            <w:shd w:val="clear" w:color="auto" w:fill="E2F3F0"/>
          </w:tcPr>
          <w:p>
            <w:pPr>
              <w:pStyle w:val="TableParagraph"/>
              <w:spacing w:before="117"/>
              <w:ind w:left="107"/>
              <w:rPr>
                <w:sz w:val="15"/>
              </w:rPr>
            </w:pPr>
            <w:r>
              <w:rPr>
                <w:sz w:val="15"/>
              </w:rPr>
              <w:t>Alle datatyper</w:t>
            </w:r>
          </w:p>
        </w:tc>
        <w:tc>
          <w:tcPr>
            <w:tcW w:w="3474" w:type="dxa"/>
            <w:tcBorders>
              <w:top w:val="nil"/>
              <w:bottom w:val="nil"/>
              <w:right w:val="nil"/>
            </w:tcBorders>
            <w:shd w:val="clear" w:color="auto" w:fill="E2F3F0"/>
          </w:tcPr>
          <w:p>
            <w:pPr>
              <w:pStyle w:val="TableParagraph"/>
              <w:spacing w:before="117"/>
              <w:ind w:left="106"/>
              <w:rPr>
                <w:sz w:val="15"/>
              </w:rPr>
            </w:pPr>
            <w:r>
              <w:rPr>
                <w:sz w:val="15"/>
              </w:rPr>
              <w:t>Alle kilder</w:t>
            </w:r>
          </w:p>
        </w:tc>
      </w:tr>
      <w:tr>
        <w:trPr>
          <w:trHeight w:val="398" w:hRule="atLeast"/>
        </w:trPr>
        <w:tc>
          <w:tcPr>
            <w:tcW w:w="1409" w:type="dxa"/>
            <w:vMerge/>
            <w:tcBorders>
              <w:top w:val="nil"/>
              <w:bottom w:val="nil"/>
            </w:tcBorders>
            <w:shd w:val="clear" w:color="auto" w:fill="E2F3F0"/>
          </w:tcPr>
          <w:p>
            <w:pPr>
              <w:rPr>
                <w:sz w:val="2"/>
                <w:szCs w:val="2"/>
              </w:rPr>
            </w:pPr>
          </w:p>
        </w:tc>
        <w:tc>
          <w:tcPr>
            <w:tcW w:w="3140" w:type="dxa"/>
            <w:shd w:val="clear" w:color="auto" w:fill="C8E9E6"/>
          </w:tcPr>
          <w:p>
            <w:pPr>
              <w:pStyle w:val="TableParagraph"/>
              <w:spacing w:line="200" w:lineRule="atLeast"/>
              <w:ind w:left="107" w:right="185"/>
              <w:rPr>
                <w:sz w:val="15"/>
              </w:rPr>
            </w:pPr>
            <w:r>
              <w:rPr>
                <w:sz w:val="15"/>
              </w:rPr>
              <w:t>Forskellige databehov forskellige ste- der i organisationen</w:t>
            </w:r>
          </w:p>
        </w:tc>
        <w:tc>
          <w:tcPr>
            <w:tcW w:w="1614" w:type="dxa"/>
            <w:tcBorders>
              <w:top w:val="nil"/>
              <w:bottom w:val="nil"/>
            </w:tcBorders>
            <w:shd w:val="clear" w:color="auto" w:fill="C8E9E6"/>
          </w:tcPr>
          <w:p>
            <w:pPr>
              <w:pStyle w:val="TableParagraph"/>
              <w:spacing w:before="115"/>
              <w:ind w:left="107"/>
              <w:rPr>
                <w:sz w:val="15"/>
              </w:rPr>
            </w:pPr>
            <w:r>
              <w:rPr>
                <w:sz w:val="15"/>
              </w:rPr>
              <w:t>Alle datatyper</w:t>
            </w:r>
          </w:p>
        </w:tc>
        <w:tc>
          <w:tcPr>
            <w:tcW w:w="3474" w:type="dxa"/>
            <w:tcBorders>
              <w:top w:val="nil"/>
              <w:bottom w:val="nil"/>
              <w:right w:val="nil"/>
            </w:tcBorders>
            <w:shd w:val="clear" w:color="auto" w:fill="C8E9E6"/>
          </w:tcPr>
          <w:p>
            <w:pPr>
              <w:pStyle w:val="TableParagraph"/>
              <w:spacing w:before="115"/>
              <w:ind w:left="106"/>
              <w:rPr>
                <w:sz w:val="15"/>
              </w:rPr>
            </w:pPr>
            <w:r>
              <w:rPr>
                <w:sz w:val="15"/>
              </w:rPr>
              <w:t>Alle kilder</w:t>
            </w:r>
          </w:p>
        </w:tc>
      </w:tr>
      <w:tr>
        <w:trPr>
          <w:trHeight w:val="600" w:hRule="atLeast"/>
        </w:trPr>
        <w:tc>
          <w:tcPr>
            <w:tcW w:w="1409" w:type="dxa"/>
            <w:vMerge w:val="restart"/>
            <w:tcBorders>
              <w:top w:val="nil"/>
              <w:bottom w:val="nil"/>
            </w:tcBorders>
            <w:shd w:val="clear" w:color="auto" w:fill="C8E9E6"/>
          </w:tcPr>
          <w:p>
            <w:pPr>
              <w:pStyle w:val="TableParagraph"/>
              <w:rPr>
                <w:b/>
                <w:sz w:val="18"/>
              </w:rPr>
            </w:pPr>
          </w:p>
          <w:p>
            <w:pPr>
              <w:pStyle w:val="TableParagraph"/>
              <w:spacing w:before="7"/>
              <w:rPr>
                <w:b/>
                <w:sz w:val="16"/>
              </w:rPr>
            </w:pPr>
          </w:p>
          <w:p>
            <w:pPr>
              <w:pStyle w:val="TableParagraph"/>
              <w:spacing w:line="266" w:lineRule="auto"/>
              <w:ind w:left="107" w:right="288"/>
              <w:rPr>
                <w:sz w:val="15"/>
              </w:rPr>
            </w:pPr>
            <w:r>
              <w:rPr>
                <w:sz w:val="15"/>
              </w:rPr>
              <w:t>Data- kompetencer</w:t>
            </w:r>
          </w:p>
        </w:tc>
        <w:tc>
          <w:tcPr>
            <w:tcW w:w="3140" w:type="dxa"/>
            <w:shd w:val="clear" w:color="auto" w:fill="E2F3F0"/>
          </w:tcPr>
          <w:p>
            <w:pPr>
              <w:pStyle w:val="TableParagraph"/>
              <w:spacing w:line="200" w:lineRule="atLeast"/>
              <w:ind w:left="107" w:right="213"/>
              <w:rPr>
                <w:sz w:val="15"/>
              </w:rPr>
            </w:pPr>
            <w:r>
              <w:rPr>
                <w:sz w:val="15"/>
              </w:rPr>
              <w:t>Mangel på kompetencer og arbejds- gange til understøttelse af database- ret energiledelse</w:t>
            </w:r>
          </w:p>
        </w:tc>
        <w:tc>
          <w:tcPr>
            <w:tcW w:w="1614" w:type="dxa"/>
            <w:tcBorders>
              <w:top w:val="nil"/>
              <w:bottom w:val="nil"/>
            </w:tcBorders>
            <w:shd w:val="clear" w:color="auto" w:fill="E2F3F0"/>
          </w:tcPr>
          <w:p>
            <w:pPr>
              <w:pStyle w:val="TableParagraph"/>
              <w:spacing w:before="9"/>
              <w:rPr>
                <w:b/>
                <w:sz w:val="17"/>
              </w:rPr>
            </w:pPr>
          </w:p>
          <w:p>
            <w:pPr>
              <w:pStyle w:val="TableParagraph"/>
              <w:spacing w:before="1"/>
              <w:ind w:left="107"/>
              <w:rPr>
                <w:sz w:val="15"/>
              </w:rPr>
            </w:pPr>
            <w:r>
              <w:rPr>
                <w:sz w:val="15"/>
              </w:rPr>
              <w:t>Alle datatyper</w:t>
            </w:r>
          </w:p>
        </w:tc>
        <w:tc>
          <w:tcPr>
            <w:tcW w:w="3474" w:type="dxa"/>
            <w:tcBorders>
              <w:top w:val="nil"/>
              <w:bottom w:val="nil"/>
              <w:right w:val="nil"/>
            </w:tcBorders>
            <w:shd w:val="clear" w:color="auto" w:fill="E2F3F0"/>
          </w:tcPr>
          <w:p>
            <w:pPr>
              <w:pStyle w:val="TableParagraph"/>
              <w:spacing w:before="9"/>
              <w:rPr>
                <w:b/>
                <w:sz w:val="17"/>
              </w:rPr>
            </w:pPr>
          </w:p>
          <w:p>
            <w:pPr>
              <w:pStyle w:val="TableParagraph"/>
              <w:spacing w:before="1"/>
              <w:ind w:left="106"/>
              <w:rPr>
                <w:sz w:val="15"/>
              </w:rPr>
            </w:pPr>
            <w:r>
              <w:rPr>
                <w:sz w:val="15"/>
              </w:rPr>
              <w:t>Alle kilder</w:t>
            </w:r>
          </w:p>
        </w:tc>
      </w:tr>
      <w:tr>
        <w:trPr>
          <w:trHeight w:val="599" w:hRule="atLeast"/>
        </w:trPr>
        <w:tc>
          <w:tcPr>
            <w:tcW w:w="1409" w:type="dxa"/>
            <w:vMerge/>
            <w:tcBorders>
              <w:top w:val="nil"/>
              <w:bottom w:val="nil"/>
            </w:tcBorders>
            <w:shd w:val="clear" w:color="auto" w:fill="C8E9E6"/>
          </w:tcPr>
          <w:p>
            <w:pPr>
              <w:rPr>
                <w:sz w:val="2"/>
                <w:szCs w:val="2"/>
              </w:rPr>
            </w:pPr>
          </w:p>
        </w:tc>
        <w:tc>
          <w:tcPr>
            <w:tcW w:w="3140" w:type="dxa"/>
            <w:shd w:val="clear" w:color="auto" w:fill="C8E9E6"/>
          </w:tcPr>
          <w:p>
            <w:pPr>
              <w:pStyle w:val="TableParagraph"/>
              <w:spacing w:line="200" w:lineRule="atLeast"/>
              <w:ind w:left="107" w:right="111"/>
              <w:rPr>
                <w:sz w:val="15"/>
              </w:rPr>
            </w:pPr>
            <w:r>
              <w:rPr>
                <w:sz w:val="15"/>
              </w:rPr>
              <w:t>Databaseret drift kræver nye af ar- bejdsgange og opkvalificering af med- arbejdere</w:t>
            </w:r>
          </w:p>
        </w:tc>
        <w:tc>
          <w:tcPr>
            <w:tcW w:w="1614" w:type="dxa"/>
            <w:tcBorders>
              <w:top w:val="nil"/>
              <w:bottom w:val="nil"/>
            </w:tcBorders>
            <w:shd w:val="clear" w:color="auto" w:fill="C8E9E6"/>
          </w:tcPr>
          <w:p>
            <w:pPr>
              <w:pStyle w:val="TableParagraph"/>
              <w:spacing w:before="9"/>
              <w:rPr>
                <w:b/>
                <w:sz w:val="17"/>
              </w:rPr>
            </w:pPr>
          </w:p>
          <w:p>
            <w:pPr>
              <w:pStyle w:val="TableParagraph"/>
              <w:ind w:left="107"/>
              <w:rPr>
                <w:sz w:val="15"/>
              </w:rPr>
            </w:pPr>
            <w:r>
              <w:rPr>
                <w:sz w:val="15"/>
              </w:rPr>
              <w:t>Alle datatyper</w:t>
            </w:r>
          </w:p>
        </w:tc>
        <w:tc>
          <w:tcPr>
            <w:tcW w:w="3474" w:type="dxa"/>
            <w:tcBorders>
              <w:top w:val="nil"/>
              <w:bottom w:val="nil"/>
              <w:right w:val="nil"/>
            </w:tcBorders>
            <w:shd w:val="clear" w:color="auto" w:fill="C8E9E6"/>
          </w:tcPr>
          <w:p>
            <w:pPr>
              <w:pStyle w:val="TableParagraph"/>
              <w:spacing w:before="9"/>
              <w:rPr>
                <w:b/>
                <w:sz w:val="17"/>
              </w:rPr>
            </w:pPr>
          </w:p>
          <w:p>
            <w:pPr>
              <w:pStyle w:val="TableParagraph"/>
              <w:ind w:left="106"/>
              <w:rPr>
                <w:sz w:val="15"/>
              </w:rPr>
            </w:pPr>
            <w:r>
              <w:rPr>
                <w:sz w:val="15"/>
              </w:rPr>
              <w:t>Alle kilder</w:t>
            </w:r>
          </w:p>
        </w:tc>
      </w:tr>
    </w:tbl>
    <w:p>
      <w:pPr>
        <w:spacing w:after="0"/>
        <w:rPr>
          <w:sz w:val="15"/>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65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spacing w:line="254" w:lineRule="auto"/>
        <w:ind w:right="1116" w:firstLine="0"/>
      </w:pPr>
      <w:bookmarkStart w:name="_bookmark120" w:id="121"/>
      <w:bookmarkEnd w:id="121"/>
      <w:r>
        <w:rPr>
          <w:b w:val="0"/>
        </w:rPr>
      </w:r>
      <w:r>
        <w:rPr/>
        <w:t>Appendix 5: Datapotentialer og databehov for energieffektiviserende indsatser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tbl>
      <w:tblPr>
        <w:tblW w:w="0" w:type="auto"/>
        <w:jc w:val="left"/>
        <w:tblInd w:w="2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18"/>
        <w:gridCol w:w="1673"/>
        <w:gridCol w:w="2979"/>
        <w:gridCol w:w="1417"/>
        <w:gridCol w:w="2118"/>
      </w:tblGrid>
      <w:tr>
        <w:trPr>
          <w:trHeight w:val="400" w:hRule="atLeast"/>
        </w:trPr>
        <w:tc>
          <w:tcPr>
            <w:tcW w:w="1418" w:type="dxa"/>
            <w:tcBorders>
              <w:top w:val="nil"/>
              <w:bottom w:val="nil"/>
            </w:tcBorders>
            <w:shd w:val="clear" w:color="auto" w:fill="2C647C"/>
          </w:tcPr>
          <w:p>
            <w:pPr>
              <w:pStyle w:val="TableParagraph"/>
              <w:spacing w:line="200" w:lineRule="atLeast"/>
              <w:ind w:left="107" w:right="443"/>
              <w:rPr>
                <w:b/>
                <w:sz w:val="15"/>
              </w:rPr>
            </w:pPr>
            <w:r>
              <w:rPr>
                <w:b/>
                <w:color w:val="FFFFFF"/>
                <w:sz w:val="15"/>
              </w:rPr>
              <w:t>INDSATS- TYPE</w:t>
            </w:r>
          </w:p>
        </w:tc>
        <w:tc>
          <w:tcPr>
            <w:tcW w:w="1673" w:type="dxa"/>
            <w:shd w:val="clear" w:color="auto" w:fill="2C647C"/>
          </w:tcPr>
          <w:p>
            <w:pPr>
              <w:pStyle w:val="TableParagraph"/>
              <w:spacing w:line="200" w:lineRule="atLeast"/>
              <w:ind w:left="108" w:right="467"/>
              <w:rPr>
                <w:b/>
                <w:sz w:val="15"/>
              </w:rPr>
            </w:pPr>
            <w:r>
              <w:rPr>
                <w:b/>
                <w:color w:val="FFFFFF"/>
                <w:sz w:val="15"/>
              </w:rPr>
              <w:t>DATA- POTENTIALE</w:t>
            </w:r>
          </w:p>
        </w:tc>
        <w:tc>
          <w:tcPr>
            <w:tcW w:w="2979" w:type="dxa"/>
            <w:tcBorders>
              <w:top w:val="nil"/>
              <w:bottom w:val="nil"/>
            </w:tcBorders>
            <w:shd w:val="clear" w:color="auto" w:fill="2C647C"/>
          </w:tcPr>
          <w:p>
            <w:pPr>
              <w:pStyle w:val="TableParagraph"/>
              <w:spacing w:before="117"/>
              <w:ind w:left="108"/>
              <w:rPr>
                <w:b/>
                <w:sz w:val="15"/>
              </w:rPr>
            </w:pPr>
            <w:r>
              <w:rPr>
                <w:b/>
                <w:color w:val="FFFFFF"/>
                <w:sz w:val="15"/>
              </w:rPr>
              <w:t>DATABEHOV</w:t>
            </w:r>
          </w:p>
        </w:tc>
        <w:tc>
          <w:tcPr>
            <w:tcW w:w="1417" w:type="dxa"/>
            <w:tcBorders>
              <w:top w:val="nil"/>
              <w:bottom w:val="nil"/>
            </w:tcBorders>
            <w:shd w:val="clear" w:color="auto" w:fill="2C647C"/>
          </w:tcPr>
          <w:p>
            <w:pPr>
              <w:pStyle w:val="TableParagraph"/>
              <w:spacing w:before="117"/>
              <w:ind w:left="108"/>
              <w:rPr>
                <w:b/>
                <w:sz w:val="15"/>
              </w:rPr>
            </w:pPr>
            <w:r>
              <w:rPr>
                <w:b/>
                <w:color w:val="FFFFFF"/>
                <w:sz w:val="15"/>
              </w:rPr>
              <w:t>DATATYPE</w:t>
            </w:r>
          </w:p>
        </w:tc>
        <w:tc>
          <w:tcPr>
            <w:tcW w:w="2118" w:type="dxa"/>
            <w:tcBorders>
              <w:top w:val="nil"/>
              <w:right w:val="nil"/>
            </w:tcBorders>
            <w:shd w:val="clear" w:color="auto" w:fill="2C647C"/>
          </w:tcPr>
          <w:p>
            <w:pPr>
              <w:pStyle w:val="TableParagraph"/>
              <w:spacing w:before="117"/>
              <w:ind w:left="107"/>
              <w:rPr>
                <w:b/>
                <w:sz w:val="15"/>
              </w:rPr>
            </w:pPr>
            <w:r>
              <w:rPr>
                <w:b/>
                <w:color w:val="FFFFFF"/>
                <w:sz w:val="15"/>
              </w:rPr>
              <w:t>DATAKILDE</w:t>
            </w:r>
          </w:p>
        </w:tc>
      </w:tr>
      <w:tr>
        <w:trPr>
          <w:trHeight w:val="960" w:hRule="atLeast"/>
        </w:trPr>
        <w:tc>
          <w:tcPr>
            <w:tcW w:w="1418" w:type="dxa"/>
            <w:vMerge w:val="restart"/>
            <w:tcBorders>
              <w:top w:val="nil"/>
              <w:bottom w:val="nil"/>
            </w:tcBorders>
            <w:shd w:val="clear" w:color="auto" w:fill="C8E9E6"/>
          </w:tcPr>
          <w:p>
            <w:pPr>
              <w:pStyle w:val="TableParagraph"/>
              <w:rPr>
                <w:b/>
                <w:sz w:val="18"/>
              </w:rPr>
            </w:pPr>
          </w:p>
          <w:p>
            <w:pPr>
              <w:pStyle w:val="TableParagraph"/>
              <w:rPr>
                <w:b/>
                <w:sz w:val="18"/>
              </w:rPr>
            </w:pPr>
          </w:p>
          <w:p>
            <w:pPr>
              <w:pStyle w:val="TableParagraph"/>
              <w:rPr>
                <w:b/>
                <w:sz w:val="18"/>
              </w:rPr>
            </w:pPr>
          </w:p>
          <w:p>
            <w:pPr>
              <w:pStyle w:val="TableParagraph"/>
              <w:spacing w:line="211" w:lineRule="auto" w:before="150"/>
              <w:ind w:left="107" w:right="166"/>
              <w:rPr>
                <w:b/>
                <w:sz w:val="15"/>
              </w:rPr>
            </w:pPr>
            <w:r>
              <w:rPr>
                <w:b/>
                <w:sz w:val="15"/>
              </w:rPr>
              <w:t>AREAL- OPTIMERING</w:t>
            </w:r>
          </w:p>
        </w:tc>
        <w:tc>
          <w:tcPr>
            <w:tcW w:w="1673" w:type="dxa"/>
            <w:vMerge w:val="restart"/>
            <w:shd w:val="clear" w:color="auto" w:fill="C8E9E6"/>
          </w:tcPr>
          <w:p>
            <w:pPr>
              <w:pStyle w:val="TableParagraph"/>
              <w:rPr>
                <w:b/>
                <w:sz w:val="18"/>
              </w:rPr>
            </w:pPr>
          </w:p>
          <w:p>
            <w:pPr>
              <w:pStyle w:val="TableParagraph"/>
              <w:rPr>
                <w:b/>
                <w:sz w:val="22"/>
              </w:rPr>
            </w:pPr>
          </w:p>
          <w:p>
            <w:pPr>
              <w:pStyle w:val="TableParagraph"/>
              <w:spacing w:line="211" w:lineRule="auto"/>
              <w:ind w:left="108" w:right="103"/>
              <w:rPr>
                <w:sz w:val="15"/>
              </w:rPr>
            </w:pPr>
            <w:r>
              <w:rPr>
                <w:sz w:val="15"/>
              </w:rPr>
              <w:t>Forbedret grundlag for screening for og beslutning om sammenlægning, nedrivning og ny- byg</w:t>
            </w:r>
          </w:p>
        </w:tc>
        <w:tc>
          <w:tcPr>
            <w:tcW w:w="2979" w:type="dxa"/>
            <w:tcBorders>
              <w:top w:val="nil"/>
              <w:bottom w:val="nil"/>
            </w:tcBorders>
            <w:shd w:val="clear" w:color="auto" w:fill="C8E9E6"/>
          </w:tcPr>
          <w:p>
            <w:pPr>
              <w:pStyle w:val="TableParagraph"/>
              <w:spacing w:before="3"/>
              <w:rPr>
                <w:b/>
                <w:sz w:val="19"/>
              </w:rPr>
            </w:pPr>
          </w:p>
          <w:p>
            <w:pPr>
              <w:pStyle w:val="TableParagraph"/>
              <w:spacing w:line="211" w:lineRule="auto"/>
              <w:ind w:left="108" w:right="127"/>
              <w:jc w:val="both"/>
              <w:rPr>
                <w:sz w:val="15"/>
              </w:rPr>
            </w:pPr>
            <w:r>
              <w:rPr>
                <w:sz w:val="15"/>
              </w:rPr>
              <w:t>Data for brugsintensitet, brugsmøn- ster og anvendelse for enkelte byg- ningszoner</w:t>
            </w:r>
          </w:p>
        </w:tc>
        <w:tc>
          <w:tcPr>
            <w:tcW w:w="1417" w:type="dxa"/>
            <w:tcBorders>
              <w:top w:val="nil"/>
              <w:bottom w:val="nil"/>
            </w:tcBorders>
            <w:shd w:val="clear" w:color="auto" w:fill="C8E9E6"/>
          </w:tcPr>
          <w:p>
            <w:pPr>
              <w:pStyle w:val="TableParagraph"/>
              <w:spacing w:before="3"/>
              <w:rPr>
                <w:b/>
                <w:sz w:val="19"/>
              </w:rPr>
            </w:pPr>
          </w:p>
          <w:p>
            <w:pPr>
              <w:pStyle w:val="TableParagraph"/>
              <w:spacing w:line="211" w:lineRule="auto"/>
              <w:ind w:left="108" w:right="256"/>
              <w:rPr>
                <w:sz w:val="15"/>
              </w:rPr>
            </w:pPr>
            <w:r>
              <w:rPr>
                <w:sz w:val="15"/>
              </w:rPr>
              <w:t>Aktivitetsdata og anvendel- ses-data</w:t>
            </w:r>
          </w:p>
        </w:tc>
        <w:tc>
          <w:tcPr>
            <w:tcW w:w="2118" w:type="dxa"/>
            <w:tcBorders>
              <w:right w:val="nil"/>
            </w:tcBorders>
            <w:shd w:val="clear" w:color="auto" w:fill="C8E9E6"/>
          </w:tcPr>
          <w:p>
            <w:pPr>
              <w:pStyle w:val="TableParagraph"/>
              <w:spacing w:line="211" w:lineRule="auto"/>
              <w:ind w:left="107" w:right="117"/>
              <w:rPr>
                <w:sz w:val="15"/>
              </w:rPr>
            </w:pPr>
            <w:r>
              <w:rPr>
                <w:sz w:val="15"/>
              </w:rPr>
              <w:t>Findes ofte ikke, men kan evt. genereres via data fra PIR-sensorer, låse mv koblet med data</w:t>
            </w:r>
          </w:p>
          <w:p>
            <w:pPr>
              <w:pStyle w:val="TableParagraph"/>
              <w:spacing w:line="160" w:lineRule="exact"/>
              <w:ind w:left="107" w:right="351"/>
              <w:rPr>
                <w:sz w:val="15"/>
              </w:rPr>
            </w:pPr>
            <w:r>
              <w:rPr>
                <w:sz w:val="15"/>
              </w:rPr>
              <w:t>for anvendelse fra FM systemer o.l.</w:t>
            </w:r>
          </w:p>
        </w:tc>
      </w:tr>
      <w:tr>
        <w:trPr>
          <w:trHeight w:val="478" w:hRule="atLeast"/>
        </w:trPr>
        <w:tc>
          <w:tcPr>
            <w:tcW w:w="1418" w:type="dxa"/>
            <w:vMerge/>
            <w:tcBorders>
              <w:top w:val="nil"/>
              <w:bottom w:val="nil"/>
            </w:tcBorders>
            <w:shd w:val="clear" w:color="auto" w:fill="C8E9E6"/>
          </w:tcPr>
          <w:p>
            <w:pPr>
              <w:rPr>
                <w:sz w:val="2"/>
                <w:szCs w:val="2"/>
              </w:rPr>
            </w:pPr>
          </w:p>
        </w:tc>
        <w:tc>
          <w:tcPr>
            <w:tcW w:w="1673" w:type="dxa"/>
            <w:vMerge/>
            <w:tcBorders>
              <w:top w:val="nil"/>
            </w:tcBorders>
            <w:shd w:val="clear" w:color="auto" w:fill="C8E9E6"/>
          </w:tcPr>
          <w:p>
            <w:pPr>
              <w:rPr>
                <w:sz w:val="2"/>
                <w:szCs w:val="2"/>
              </w:rPr>
            </w:pPr>
          </w:p>
        </w:tc>
        <w:tc>
          <w:tcPr>
            <w:tcW w:w="2979" w:type="dxa"/>
            <w:tcBorders>
              <w:top w:val="nil"/>
              <w:bottom w:val="nil"/>
            </w:tcBorders>
            <w:shd w:val="clear" w:color="auto" w:fill="E2F3F0"/>
          </w:tcPr>
          <w:p>
            <w:pPr>
              <w:pStyle w:val="TableParagraph"/>
              <w:spacing w:line="211" w:lineRule="auto" w:before="74"/>
              <w:ind w:left="108" w:right="239"/>
              <w:rPr>
                <w:sz w:val="15"/>
              </w:rPr>
            </w:pPr>
            <w:r>
              <w:rPr>
                <w:sz w:val="15"/>
              </w:rPr>
              <w:t>Præcist overblik over den samlede bygningsmasse</w:t>
            </w:r>
          </w:p>
        </w:tc>
        <w:tc>
          <w:tcPr>
            <w:tcW w:w="1417" w:type="dxa"/>
            <w:tcBorders>
              <w:top w:val="nil"/>
            </w:tcBorders>
            <w:shd w:val="clear" w:color="auto" w:fill="E2F3F0"/>
          </w:tcPr>
          <w:p>
            <w:pPr>
              <w:pStyle w:val="TableParagraph"/>
              <w:spacing w:before="135"/>
              <w:ind w:left="108"/>
              <w:rPr>
                <w:sz w:val="15"/>
              </w:rPr>
            </w:pPr>
            <w:r>
              <w:rPr>
                <w:sz w:val="15"/>
              </w:rPr>
              <w:t>Bygningsdata</w:t>
            </w:r>
          </w:p>
        </w:tc>
        <w:tc>
          <w:tcPr>
            <w:tcW w:w="2118" w:type="dxa"/>
            <w:tcBorders>
              <w:right w:val="nil"/>
            </w:tcBorders>
            <w:shd w:val="clear" w:color="auto" w:fill="E2F3F0"/>
          </w:tcPr>
          <w:p>
            <w:pPr>
              <w:pStyle w:val="TableParagraph"/>
              <w:spacing w:line="208" w:lineRule="auto"/>
              <w:ind w:left="107" w:right="339"/>
              <w:rPr>
                <w:sz w:val="15"/>
              </w:rPr>
            </w:pPr>
            <w:r>
              <w:rPr>
                <w:sz w:val="15"/>
              </w:rPr>
              <w:t>Egne bygningsdata, BBR-registret, energi-</w:t>
            </w:r>
          </w:p>
          <w:p>
            <w:pPr>
              <w:pStyle w:val="TableParagraph"/>
              <w:spacing w:line="144" w:lineRule="exact"/>
              <w:ind w:left="107"/>
              <w:rPr>
                <w:sz w:val="15"/>
              </w:rPr>
            </w:pPr>
            <w:r>
              <w:rPr>
                <w:sz w:val="15"/>
              </w:rPr>
              <w:t>mærker, CTS-anlæg</w:t>
            </w:r>
          </w:p>
        </w:tc>
      </w:tr>
      <w:tr>
        <w:trPr>
          <w:trHeight w:val="479" w:hRule="atLeast"/>
        </w:trPr>
        <w:tc>
          <w:tcPr>
            <w:tcW w:w="1418" w:type="dxa"/>
            <w:vMerge/>
            <w:tcBorders>
              <w:top w:val="nil"/>
              <w:bottom w:val="nil"/>
            </w:tcBorders>
            <w:shd w:val="clear" w:color="auto" w:fill="C8E9E6"/>
          </w:tcPr>
          <w:p>
            <w:pPr>
              <w:rPr>
                <w:sz w:val="2"/>
                <w:szCs w:val="2"/>
              </w:rPr>
            </w:pPr>
          </w:p>
        </w:tc>
        <w:tc>
          <w:tcPr>
            <w:tcW w:w="1673" w:type="dxa"/>
            <w:vMerge/>
            <w:tcBorders>
              <w:top w:val="nil"/>
            </w:tcBorders>
            <w:shd w:val="clear" w:color="auto" w:fill="C8E9E6"/>
          </w:tcPr>
          <w:p>
            <w:pPr>
              <w:rPr>
                <w:sz w:val="2"/>
                <w:szCs w:val="2"/>
              </w:rPr>
            </w:pPr>
          </w:p>
        </w:tc>
        <w:tc>
          <w:tcPr>
            <w:tcW w:w="2979" w:type="dxa"/>
            <w:tcBorders>
              <w:top w:val="nil"/>
              <w:bottom w:val="nil"/>
            </w:tcBorders>
            <w:shd w:val="clear" w:color="auto" w:fill="C8E9E6"/>
          </w:tcPr>
          <w:p>
            <w:pPr>
              <w:pStyle w:val="TableParagraph"/>
              <w:spacing w:line="211" w:lineRule="auto" w:before="76"/>
              <w:ind w:left="108" w:right="244"/>
              <w:rPr>
                <w:sz w:val="15"/>
              </w:rPr>
            </w:pPr>
            <w:r>
              <w:rPr>
                <w:sz w:val="15"/>
              </w:rPr>
              <w:t>Præcist kendskab til energiforbrug for bygninger / bygningszoner</w:t>
            </w:r>
          </w:p>
        </w:tc>
        <w:tc>
          <w:tcPr>
            <w:tcW w:w="1417" w:type="dxa"/>
            <w:tcBorders>
              <w:bottom w:val="nil"/>
            </w:tcBorders>
            <w:shd w:val="clear" w:color="auto" w:fill="C8E9E6"/>
          </w:tcPr>
          <w:p>
            <w:pPr>
              <w:pStyle w:val="TableParagraph"/>
              <w:spacing w:line="208" w:lineRule="auto"/>
              <w:ind w:left="108" w:right="135"/>
              <w:rPr>
                <w:sz w:val="15"/>
              </w:rPr>
            </w:pPr>
            <w:r>
              <w:rPr>
                <w:sz w:val="15"/>
              </w:rPr>
              <w:t>Forsyningsdata og forbrugs-</w:t>
            </w:r>
          </w:p>
          <w:p>
            <w:pPr>
              <w:pStyle w:val="TableParagraph"/>
              <w:spacing w:line="144" w:lineRule="exact"/>
              <w:ind w:left="108"/>
              <w:rPr>
                <w:sz w:val="15"/>
              </w:rPr>
            </w:pPr>
            <w:r>
              <w:rPr>
                <w:sz w:val="15"/>
              </w:rPr>
              <w:t>data</w:t>
            </w:r>
          </w:p>
        </w:tc>
        <w:tc>
          <w:tcPr>
            <w:tcW w:w="2118" w:type="dxa"/>
            <w:tcBorders>
              <w:right w:val="nil"/>
            </w:tcBorders>
            <w:shd w:val="clear" w:color="auto" w:fill="C8E9E6"/>
          </w:tcPr>
          <w:p>
            <w:pPr>
              <w:pStyle w:val="TableParagraph"/>
              <w:spacing w:line="208" w:lineRule="auto"/>
              <w:ind w:left="107" w:right="108"/>
              <w:rPr>
                <w:sz w:val="15"/>
              </w:rPr>
            </w:pPr>
            <w:r>
              <w:rPr>
                <w:sz w:val="15"/>
              </w:rPr>
              <w:t>Forsyningsselskaber, ho- ved- og bi-målere og da-</w:t>
            </w:r>
          </w:p>
          <w:p>
            <w:pPr>
              <w:pStyle w:val="TableParagraph"/>
              <w:spacing w:line="144" w:lineRule="exact"/>
              <w:ind w:left="107"/>
              <w:rPr>
                <w:sz w:val="15"/>
              </w:rPr>
            </w:pPr>
            <w:r>
              <w:rPr>
                <w:sz w:val="15"/>
              </w:rPr>
              <w:t>taloggere</w:t>
            </w:r>
          </w:p>
        </w:tc>
      </w:tr>
      <w:tr>
        <w:trPr>
          <w:trHeight w:val="640" w:hRule="atLeast"/>
        </w:trPr>
        <w:tc>
          <w:tcPr>
            <w:tcW w:w="1418" w:type="dxa"/>
            <w:vMerge w:val="restart"/>
            <w:tcBorders>
              <w:top w:val="nil"/>
              <w:bottom w:val="nil"/>
            </w:tcBorders>
            <w:shd w:val="clear" w:color="auto" w:fill="E2F3F0"/>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23"/>
              </w:rPr>
            </w:pPr>
          </w:p>
          <w:p>
            <w:pPr>
              <w:pStyle w:val="TableParagraph"/>
              <w:spacing w:line="211" w:lineRule="auto"/>
              <w:ind w:left="107" w:right="166"/>
              <w:rPr>
                <w:b/>
                <w:sz w:val="15"/>
              </w:rPr>
            </w:pPr>
            <w:r>
              <w:rPr>
                <w:b/>
                <w:sz w:val="15"/>
              </w:rPr>
              <w:t>DRIFTS- OPTIMERING</w:t>
            </w:r>
          </w:p>
        </w:tc>
        <w:tc>
          <w:tcPr>
            <w:tcW w:w="1673" w:type="dxa"/>
            <w:vMerge w:val="restart"/>
            <w:shd w:val="clear" w:color="auto" w:fill="E2F3F0"/>
          </w:tcPr>
          <w:p>
            <w:pPr>
              <w:pStyle w:val="TableParagraph"/>
              <w:rPr>
                <w:b/>
                <w:sz w:val="18"/>
              </w:rPr>
            </w:pPr>
          </w:p>
          <w:p>
            <w:pPr>
              <w:pStyle w:val="TableParagraph"/>
              <w:rPr>
                <w:b/>
                <w:sz w:val="18"/>
              </w:rPr>
            </w:pPr>
          </w:p>
          <w:p>
            <w:pPr>
              <w:pStyle w:val="TableParagraph"/>
              <w:rPr>
                <w:b/>
                <w:sz w:val="18"/>
              </w:rPr>
            </w:pPr>
          </w:p>
          <w:p>
            <w:pPr>
              <w:pStyle w:val="TableParagraph"/>
              <w:spacing w:before="10"/>
              <w:rPr>
                <w:b/>
                <w:sz w:val="14"/>
              </w:rPr>
            </w:pPr>
          </w:p>
          <w:p>
            <w:pPr>
              <w:pStyle w:val="TableParagraph"/>
              <w:spacing w:line="211" w:lineRule="auto"/>
              <w:ind w:left="108" w:right="86"/>
              <w:rPr>
                <w:sz w:val="15"/>
              </w:rPr>
            </w:pPr>
            <w:r>
              <w:rPr>
                <w:sz w:val="15"/>
              </w:rPr>
              <w:t>Forbedret grundlag for overvågning, benchmarking og udvælgelse af kon- krete optimerings- tiltag</w:t>
            </w:r>
          </w:p>
        </w:tc>
        <w:tc>
          <w:tcPr>
            <w:tcW w:w="2979" w:type="dxa"/>
            <w:tcBorders>
              <w:top w:val="nil"/>
              <w:bottom w:val="nil"/>
            </w:tcBorders>
            <w:shd w:val="clear" w:color="auto" w:fill="E2F3F0"/>
          </w:tcPr>
          <w:p>
            <w:pPr>
              <w:pStyle w:val="TableParagraph"/>
              <w:spacing w:line="208" w:lineRule="auto" w:before="159"/>
              <w:ind w:left="108" w:right="90"/>
              <w:rPr>
                <w:sz w:val="15"/>
              </w:rPr>
            </w:pPr>
            <w:r>
              <w:rPr>
                <w:sz w:val="15"/>
              </w:rPr>
              <w:t>Præcist kendskab til enkelte bygnin- gers egenskaber</w:t>
            </w:r>
          </w:p>
        </w:tc>
        <w:tc>
          <w:tcPr>
            <w:tcW w:w="1417" w:type="dxa"/>
            <w:tcBorders>
              <w:top w:val="nil"/>
            </w:tcBorders>
            <w:shd w:val="clear" w:color="auto" w:fill="E2F3F0"/>
          </w:tcPr>
          <w:p>
            <w:pPr>
              <w:pStyle w:val="TableParagraph"/>
              <w:spacing w:line="211" w:lineRule="auto" w:before="76"/>
              <w:ind w:left="108" w:right="258"/>
              <w:rPr>
                <w:sz w:val="15"/>
              </w:rPr>
            </w:pPr>
            <w:r>
              <w:rPr>
                <w:sz w:val="15"/>
              </w:rPr>
              <w:t>Bygningsdata og erfarings- data</w:t>
            </w:r>
          </w:p>
        </w:tc>
        <w:tc>
          <w:tcPr>
            <w:tcW w:w="2118" w:type="dxa"/>
            <w:tcBorders>
              <w:right w:val="nil"/>
            </w:tcBorders>
            <w:shd w:val="clear" w:color="auto" w:fill="E2F3F0"/>
          </w:tcPr>
          <w:p>
            <w:pPr>
              <w:pStyle w:val="TableParagraph"/>
              <w:spacing w:line="211" w:lineRule="auto"/>
              <w:ind w:left="107" w:right="244"/>
              <w:rPr>
                <w:sz w:val="15"/>
              </w:rPr>
            </w:pPr>
            <w:r>
              <w:rPr>
                <w:sz w:val="15"/>
              </w:rPr>
              <w:t>Egne bygningsdata, medarbejdernes viden, BBR, energimærker og</w:t>
            </w:r>
          </w:p>
          <w:p>
            <w:pPr>
              <w:pStyle w:val="TableParagraph"/>
              <w:spacing w:line="142" w:lineRule="exact"/>
              <w:ind w:left="107"/>
              <w:rPr>
                <w:sz w:val="15"/>
              </w:rPr>
            </w:pPr>
            <w:r>
              <w:rPr>
                <w:sz w:val="15"/>
              </w:rPr>
              <w:t>CTS-anlæg</w:t>
            </w:r>
          </w:p>
        </w:tc>
      </w:tr>
      <w:tr>
        <w:trPr>
          <w:trHeight w:val="479" w:hRule="atLeast"/>
        </w:trPr>
        <w:tc>
          <w:tcPr>
            <w:tcW w:w="1418" w:type="dxa"/>
            <w:vMerge/>
            <w:tcBorders>
              <w:top w:val="nil"/>
              <w:bottom w:val="nil"/>
            </w:tcBorders>
            <w:shd w:val="clear" w:color="auto" w:fill="E2F3F0"/>
          </w:tcPr>
          <w:p>
            <w:pPr>
              <w:rPr>
                <w:sz w:val="2"/>
                <w:szCs w:val="2"/>
              </w:rPr>
            </w:pPr>
          </w:p>
        </w:tc>
        <w:tc>
          <w:tcPr>
            <w:tcW w:w="1673" w:type="dxa"/>
            <w:vMerge/>
            <w:tcBorders>
              <w:top w:val="nil"/>
            </w:tcBorders>
            <w:shd w:val="clear" w:color="auto" w:fill="E2F3F0"/>
          </w:tcPr>
          <w:p>
            <w:pPr>
              <w:rPr>
                <w:sz w:val="2"/>
                <w:szCs w:val="2"/>
              </w:rPr>
            </w:pPr>
          </w:p>
        </w:tc>
        <w:tc>
          <w:tcPr>
            <w:tcW w:w="2979" w:type="dxa"/>
            <w:tcBorders>
              <w:top w:val="nil"/>
              <w:bottom w:val="nil"/>
            </w:tcBorders>
            <w:shd w:val="clear" w:color="auto" w:fill="C8E9E6"/>
          </w:tcPr>
          <w:p>
            <w:pPr>
              <w:pStyle w:val="TableParagraph"/>
              <w:spacing w:line="211" w:lineRule="auto" w:before="76"/>
              <w:ind w:left="108" w:right="281"/>
              <w:rPr>
                <w:sz w:val="15"/>
              </w:rPr>
            </w:pPr>
            <w:r>
              <w:rPr>
                <w:sz w:val="15"/>
              </w:rPr>
              <w:t>Præcise, detaljerede forbrugsdata for enkelte rum / bygningszoner</w:t>
            </w:r>
          </w:p>
        </w:tc>
        <w:tc>
          <w:tcPr>
            <w:tcW w:w="1417" w:type="dxa"/>
            <w:shd w:val="clear" w:color="auto" w:fill="C8E9E6"/>
          </w:tcPr>
          <w:p>
            <w:pPr>
              <w:pStyle w:val="TableParagraph"/>
              <w:spacing w:line="208" w:lineRule="auto"/>
              <w:ind w:left="108" w:right="135"/>
              <w:rPr>
                <w:sz w:val="15"/>
              </w:rPr>
            </w:pPr>
            <w:r>
              <w:rPr>
                <w:sz w:val="15"/>
              </w:rPr>
              <w:t>Forsyningsdata og forbrugs-</w:t>
            </w:r>
          </w:p>
          <w:p>
            <w:pPr>
              <w:pStyle w:val="TableParagraph"/>
              <w:spacing w:line="144" w:lineRule="exact"/>
              <w:ind w:left="108"/>
              <w:rPr>
                <w:sz w:val="15"/>
              </w:rPr>
            </w:pPr>
            <w:r>
              <w:rPr>
                <w:sz w:val="15"/>
              </w:rPr>
              <w:t>data</w:t>
            </w:r>
          </w:p>
        </w:tc>
        <w:tc>
          <w:tcPr>
            <w:tcW w:w="2118" w:type="dxa"/>
            <w:tcBorders>
              <w:bottom w:val="nil"/>
              <w:right w:val="nil"/>
            </w:tcBorders>
            <w:shd w:val="clear" w:color="auto" w:fill="C8E9E6"/>
          </w:tcPr>
          <w:p>
            <w:pPr>
              <w:pStyle w:val="TableParagraph"/>
              <w:spacing w:line="208" w:lineRule="auto"/>
              <w:ind w:left="107" w:right="81"/>
              <w:rPr>
                <w:sz w:val="15"/>
              </w:rPr>
            </w:pPr>
            <w:r>
              <w:rPr>
                <w:sz w:val="15"/>
              </w:rPr>
              <w:t>Forsyningsselskaber, Da- taHub, bi-målere og da-</w:t>
            </w:r>
          </w:p>
          <w:p>
            <w:pPr>
              <w:pStyle w:val="TableParagraph"/>
              <w:spacing w:line="144" w:lineRule="exact"/>
              <w:ind w:left="107"/>
              <w:rPr>
                <w:sz w:val="15"/>
              </w:rPr>
            </w:pPr>
            <w:r>
              <w:rPr>
                <w:sz w:val="15"/>
              </w:rPr>
              <w:t>taloggere</w:t>
            </w:r>
          </w:p>
        </w:tc>
      </w:tr>
      <w:tr>
        <w:trPr>
          <w:trHeight w:val="493" w:hRule="atLeast"/>
        </w:trPr>
        <w:tc>
          <w:tcPr>
            <w:tcW w:w="1418" w:type="dxa"/>
            <w:vMerge/>
            <w:tcBorders>
              <w:top w:val="nil"/>
              <w:bottom w:val="nil"/>
            </w:tcBorders>
            <w:shd w:val="clear" w:color="auto" w:fill="E2F3F0"/>
          </w:tcPr>
          <w:p>
            <w:pPr>
              <w:rPr>
                <w:sz w:val="2"/>
                <w:szCs w:val="2"/>
              </w:rPr>
            </w:pPr>
          </w:p>
        </w:tc>
        <w:tc>
          <w:tcPr>
            <w:tcW w:w="1673" w:type="dxa"/>
            <w:vMerge/>
            <w:tcBorders>
              <w:top w:val="nil"/>
            </w:tcBorders>
            <w:shd w:val="clear" w:color="auto" w:fill="E2F3F0"/>
          </w:tcPr>
          <w:p>
            <w:pPr>
              <w:rPr>
                <w:sz w:val="2"/>
                <w:szCs w:val="2"/>
              </w:rPr>
            </w:pPr>
          </w:p>
        </w:tc>
        <w:tc>
          <w:tcPr>
            <w:tcW w:w="2979" w:type="dxa"/>
            <w:tcBorders>
              <w:top w:val="nil"/>
            </w:tcBorders>
            <w:shd w:val="clear" w:color="auto" w:fill="E2F3F0"/>
          </w:tcPr>
          <w:p>
            <w:pPr>
              <w:pStyle w:val="TableParagraph"/>
              <w:spacing w:line="211" w:lineRule="auto" w:before="83"/>
              <w:ind w:left="108" w:right="122"/>
              <w:rPr>
                <w:sz w:val="15"/>
              </w:rPr>
            </w:pPr>
            <w:r>
              <w:rPr>
                <w:sz w:val="15"/>
              </w:rPr>
              <w:t>Relevant sammenligningsgrundlag / benchmark</w:t>
            </w:r>
          </w:p>
        </w:tc>
        <w:tc>
          <w:tcPr>
            <w:tcW w:w="1417" w:type="dxa"/>
            <w:shd w:val="clear" w:color="auto" w:fill="E2F3F0"/>
          </w:tcPr>
          <w:p>
            <w:pPr>
              <w:pStyle w:val="TableParagraph"/>
              <w:spacing w:line="208" w:lineRule="auto" w:before="5"/>
              <w:ind w:left="108" w:right="113"/>
              <w:rPr>
                <w:sz w:val="15"/>
              </w:rPr>
            </w:pPr>
            <w:r>
              <w:rPr>
                <w:sz w:val="15"/>
              </w:rPr>
              <w:t>Standardnøgle- tal og lokale</w:t>
            </w:r>
          </w:p>
          <w:p>
            <w:pPr>
              <w:pStyle w:val="TableParagraph"/>
              <w:spacing w:line="151" w:lineRule="exact"/>
              <w:ind w:left="108"/>
              <w:rPr>
                <w:sz w:val="15"/>
              </w:rPr>
            </w:pPr>
            <w:r>
              <w:rPr>
                <w:sz w:val="15"/>
              </w:rPr>
              <w:t>nøgletal</w:t>
            </w:r>
          </w:p>
        </w:tc>
        <w:tc>
          <w:tcPr>
            <w:tcW w:w="2118" w:type="dxa"/>
            <w:tcBorders>
              <w:top w:val="nil"/>
              <w:bottom w:val="nil"/>
              <w:right w:val="nil"/>
            </w:tcBorders>
            <w:shd w:val="clear" w:color="auto" w:fill="E2F3F0"/>
          </w:tcPr>
          <w:p>
            <w:pPr>
              <w:pStyle w:val="TableParagraph"/>
              <w:spacing w:line="211" w:lineRule="auto" w:before="83"/>
              <w:ind w:left="107" w:right="415"/>
              <w:rPr>
                <w:sz w:val="15"/>
              </w:rPr>
            </w:pPr>
            <w:r>
              <w:rPr>
                <w:sz w:val="15"/>
              </w:rPr>
              <w:t>SBI/ENS og kommu- nen/regionen</w:t>
            </w:r>
          </w:p>
        </w:tc>
      </w:tr>
      <w:tr>
        <w:trPr>
          <w:trHeight w:val="492" w:hRule="atLeast"/>
        </w:trPr>
        <w:tc>
          <w:tcPr>
            <w:tcW w:w="1418" w:type="dxa"/>
            <w:vMerge/>
            <w:tcBorders>
              <w:top w:val="nil"/>
              <w:bottom w:val="nil"/>
            </w:tcBorders>
            <w:shd w:val="clear" w:color="auto" w:fill="E2F3F0"/>
          </w:tcPr>
          <w:p>
            <w:pPr>
              <w:rPr>
                <w:sz w:val="2"/>
                <w:szCs w:val="2"/>
              </w:rPr>
            </w:pPr>
          </w:p>
        </w:tc>
        <w:tc>
          <w:tcPr>
            <w:tcW w:w="1673" w:type="dxa"/>
            <w:vMerge/>
            <w:tcBorders>
              <w:top w:val="nil"/>
            </w:tcBorders>
            <w:shd w:val="clear" w:color="auto" w:fill="E2F3F0"/>
          </w:tcPr>
          <w:p>
            <w:pPr>
              <w:rPr>
                <w:sz w:val="2"/>
                <w:szCs w:val="2"/>
              </w:rPr>
            </w:pPr>
          </w:p>
        </w:tc>
        <w:tc>
          <w:tcPr>
            <w:tcW w:w="2979" w:type="dxa"/>
            <w:shd w:val="clear" w:color="auto" w:fill="C8E9E6"/>
          </w:tcPr>
          <w:p>
            <w:pPr>
              <w:pStyle w:val="TableParagraph"/>
              <w:spacing w:line="162" w:lineRule="exact" w:before="4"/>
              <w:ind w:left="108" w:right="206"/>
              <w:jc w:val="both"/>
              <w:rPr>
                <w:sz w:val="15"/>
              </w:rPr>
            </w:pPr>
            <w:r>
              <w:rPr>
                <w:sz w:val="15"/>
              </w:rPr>
              <w:t>Kendskab til brugsintensitet og an- vendelse for bygningszoner, så der kan korrigeres for disse</w:t>
            </w:r>
          </w:p>
        </w:tc>
        <w:tc>
          <w:tcPr>
            <w:tcW w:w="1417" w:type="dxa"/>
            <w:shd w:val="clear" w:color="auto" w:fill="C8E9E6"/>
          </w:tcPr>
          <w:p>
            <w:pPr>
              <w:pStyle w:val="TableParagraph"/>
              <w:spacing w:line="162" w:lineRule="exact" w:before="4"/>
              <w:ind w:left="108" w:right="84"/>
              <w:rPr>
                <w:sz w:val="15"/>
              </w:rPr>
            </w:pPr>
            <w:r>
              <w:rPr>
                <w:sz w:val="15"/>
              </w:rPr>
              <w:t>Data for anven- delse, aktivitet og driftstider</w:t>
            </w:r>
          </w:p>
        </w:tc>
        <w:tc>
          <w:tcPr>
            <w:tcW w:w="2118" w:type="dxa"/>
            <w:tcBorders>
              <w:top w:val="nil"/>
              <w:right w:val="nil"/>
            </w:tcBorders>
            <w:shd w:val="clear" w:color="auto" w:fill="C8E9E6"/>
          </w:tcPr>
          <w:p>
            <w:pPr>
              <w:pStyle w:val="TableParagraph"/>
              <w:spacing w:line="208" w:lineRule="auto" w:before="84"/>
              <w:ind w:left="107" w:right="113"/>
              <w:rPr>
                <w:sz w:val="15"/>
              </w:rPr>
            </w:pPr>
            <w:r>
              <w:rPr>
                <w:sz w:val="15"/>
              </w:rPr>
              <w:t>Egne data. Data fra tids- styring, CTS-anlæg</w:t>
            </w:r>
          </w:p>
        </w:tc>
      </w:tr>
      <w:tr>
        <w:trPr>
          <w:trHeight w:val="493" w:hRule="atLeast"/>
        </w:trPr>
        <w:tc>
          <w:tcPr>
            <w:tcW w:w="1418" w:type="dxa"/>
            <w:vMerge/>
            <w:tcBorders>
              <w:top w:val="nil"/>
              <w:bottom w:val="nil"/>
            </w:tcBorders>
            <w:shd w:val="clear" w:color="auto" w:fill="E2F3F0"/>
          </w:tcPr>
          <w:p>
            <w:pPr>
              <w:rPr>
                <w:sz w:val="2"/>
                <w:szCs w:val="2"/>
              </w:rPr>
            </w:pPr>
          </w:p>
        </w:tc>
        <w:tc>
          <w:tcPr>
            <w:tcW w:w="1673" w:type="dxa"/>
            <w:vMerge/>
            <w:tcBorders>
              <w:top w:val="nil"/>
            </w:tcBorders>
            <w:shd w:val="clear" w:color="auto" w:fill="E2F3F0"/>
          </w:tcPr>
          <w:p>
            <w:pPr>
              <w:rPr>
                <w:sz w:val="2"/>
                <w:szCs w:val="2"/>
              </w:rPr>
            </w:pPr>
          </w:p>
        </w:tc>
        <w:tc>
          <w:tcPr>
            <w:tcW w:w="2979" w:type="dxa"/>
            <w:tcBorders>
              <w:bottom w:val="nil"/>
            </w:tcBorders>
            <w:shd w:val="clear" w:color="auto" w:fill="E2F3F0"/>
          </w:tcPr>
          <w:p>
            <w:pPr>
              <w:pStyle w:val="TableParagraph"/>
              <w:spacing w:before="144"/>
              <w:ind w:left="108"/>
              <w:rPr>
                <w:sz w:val="15"/>
              </w:rPr>
            </w:pPr>
            <w:r>
              <w:rPr>
                <w:sz w:val="15"/>
              </w:rPr>
              <w:t>Personligt kendskab til bygninger</w:t>
            </w:r>
          </w:p>
        </w:tc>
        <w:tc>
          <w:tcPr>
            <w:tcW w:w="1417" w:type="dxa"/>
            <w:tcBorders>
              <w:bottom w:val="nil"/>
            </w:tcBorders>
            <w:shd w:val="clear" w:color="auto" w:fill="E2F3F0"/>
          </w:tcPr>
          <w:p>
            <w:pPr>
              <w:pStyle w:val="TableParagraph"/>
              <w:spacing w:before="144"/>
              <w:ind w:left="108"/>
              <w:rPr>
                <w:sz w:val="15"/>
              </w:rPr>
            </w:pPr>
            <w:r>
              <w:rPr>
                <w:sz w:val="15"/>
              </w:rPr>
              <w:t>Erfaringsdata</w:t>
            </w:r>
          </w:p>
        </w:tc>
        <w:tc>
          <w:tcPr>
            <w:tcW w:w="2118" w:type="dxa"/>
            <w:tcBorders>
              <w:right w:val="nil"/>
            </w:tcBorders>
            <w:shd w:val="clear" w:color="auto" w:fill="E2F3F0"/>
          </w:tcPr>
          <w:p>
            <w:pPr>
              <w:pStyle w:val="TableParagraph"/>
              <w:spacing w:before="144"/>
              <w:ind w:left="107"/>
              <w:rPr>
                <w:sz w:val="15"/>
              </w:rPr>
            </w:pPr>
            <w:r>
              <w:rPr>
                <w:sz w:val="15"/>
              </w:rPr>
              <w:t>Driftsmedarbejdere</w:t>
            </w:r>
          </w:p>
        </w:tc>
      </w:tr>
      <w:tr>
        <w:trPr>
          <w:trHeight w:val="479" w:hRule="atLeast"/>
        </w:trPr>
        <w:tc>
          <w:tcPr>
            <w:tcW w:w="1418" w:type="dxa"/>
            <w:vMerge w:val="restart"/>
            <w:tcBorders>
              <w:top w:val="nil"/>
              <w:bottom w:val="nil"/>
            </w:tcBorders>
            <w:shd w:val="clear" w:color="auto" w:fill="C8E9E6"/>
          </w:tcPr>
          <w:p>
            <w:pPr>
              <w:pStyle w:val="TableParagraph"/>
              <w:rPr>
                <w:b/>
                <w:sz w:val="18"/>
              </w:rPr>
            </w:pPr>
          </w:p>
          <w:p>
            <w:pPr>
              <w:pStyle w:val="TableParagraph"/>
              <w:rPr>
                <w:b/>
                <w:sz w:val="18"/>
              </w:rPr>
            </w:pPr>
          </w:p>
          <w:p>
            <w:pPr>
              <w:pStyle w:val="TableParagraph"/>
              <w:rPr>
                <w:b/>
                <w:sz w:val="18"/>
              </w:rPr>
            </w:pPr>
          </w:p>
          <w:p>
            <w:pPr>
              <w:pStyle w:val="TableParagraph"/>
              <w:spacing w:before="3"/>
              <w:rPr>
                <w:b/>
                <w:sz w:val="26"/>
              </w:rPr>
            </w:pPr>
          </w:p>
          <w:p>
            <w:pPr>
              <w:pStyle w:val="TableParagraph"/>
              <w:spacing w:line="211" w:lineRule="auto"/>
              <w:ind w:left="107" w:right="141"/>
              <w:rPr>
                <w:b/>
                <w:sz w:val="15"/>
              </w:rPr>
            </w:pPr>
            <w:r>
              <w:rPr>
                <w:b/>
                <w:sz w:val="15"/>
              </w:rPr>
              <w:t>ENERGI- RENOVERING</w:t>
            </w:r>
          </w:p>
        </w:tc>
        <w:tc>
          <w:tcPr>
            <w:tcW w:w="1673" w:type="dxa"/>
            <w:vMerge w:val="restart"/>
            <w:shd w:val="clear" w:color="auto" w:fill="C8E9E6"/>
          </w:tcPr>
          <w:p>
            <w:pPr>
              <w:pStyle w:val="TableParagraph"/>
              <w:rPr>
                <w:b/>
                <w:sz w:val="18"/>
              </w:rPr>
            </w:pPr>
          </w:p>
          <w:p>
            <w:pPr>
              <w:pStyle w:val="TableParagraph"/>
              <w:rPr>
                <w:b/>
                <w:sz w:val="18"/>
              </w:rPr>
            </w:pPr>
          </w:p>
          <w:p>
            <w:pPr>
              <w:pStyle w:val="TableParagraph"/>
              <w:rPr>
                <w:b/>
                <w:sz w:val="18"/>
              </w:rPr>
            </w:pPr>
          </w:p>
          <w:p>
            <w:pPr>
              <w:pStyle w:val="TableParagraph"/>
              <w:spacing w:line="211" w:lineRule="auto"/>
              <w:ind w:left="108" w:right="85"/>
              <w:rPr>
                <w:sz w:val="15"/>
              </w:rPr>
            </w:pPr>
            <w:r>
              <w:rPr>
                <w:sz w:val="15"/>
              </w:rPr>
              <w:t>Forbedret grundlag for screening, prio- ritering, udvæl- gelse og budgette- ring ifm. energire- novering</w:t>
            </w:r>
          </w:p>
        </w:tc>
        <w:tc>
          <w:tcPr>
            <w:tcW w:w="2979" w:type="dxa"/>
            <w:tcBorders>
              <w:top w:val="nil"/>
              <w:bottom w:val="nil"/>
            </w:tcBorders>
            <w:shd w:val="clear" w:color="auto" w:fill="C8E9E6"/>
          </w:tcPr>
          <w:p>
            <w:pPr>
              <w:pStyle w:val="TableParagraph"/>
              <w:spacing w:line="211" w:lineRule="auto" w:before="76"/>
              <w:ind w:left="108" w:right="440"/>
              <w:rPr>
                <w:sz w:val="15"/>
              </w:rPr>
            </w:pPr>
            <w:r>
              <w:rPr>
                <w:sz w:val="15"/>
              </w:rPr>
              <w:t>Samlet, opdateret overblik over bygningsmassen</w:t>
            </w:r>
          </w:p>
        </w:tc>
        <w:tc>
          <w:tcPr>
            <w:tcW w:w="1417" w:type="dxa"/>
            <w:tcBorders>
              <w:top w:val="nil"/>
            </w:tcBorders>
            <w:shd w:val="clear" w:color="auto" w:fill="C8E9E6"/>
          </w:tcPr>
          <w:p>
            <w:pPr>
              <w:pStyle w:val="TableParagraph"/>
              <w:spacing w:before="137"/>
              <w:ind w:left="108"/>
              <w:rPr>
                <w:sz w:val="15"/>
              </w:rPr>
            </w:pPr>
            <w:r>
              <w:rPr>
                <w:sz w:val="15"/>
              </w:rPr>
              <w:t>Bygningsdata</w:t>
            </w:r>
          </w:p>
        </w:tc>
        <w:tc>
          <w:tcPr>
            <w:tcW w:w="2118" w:type="dxa"/>
            <w:tcBorders>
              <w:right w:val="nil"/>
            </w:tcBorders>
            <w:shd w:val="clear" w:color="auto" w:fill="C8E9E6"/>
          </w:tcPr>
          <w:p>
            <w:pPr>
              <w:pStyle w:val="TableParagraph"/>
              <w:spacing w:line="208" w:lineRule="auto"/>
              <w:ind w:left="107" w:right="446"/>
              <w:rPr>
                <w:sz w:val="15"/>
              </w:rPr>
            </w:pPr>
            <w:r>
              <w:rPr>
                <w:sz w:val="15"/>
              </w:rPr>
              <w:t>Egne bygningslister, BBR, energimærker,</w:t>
            </w:r>
          </w:p>
          <w:p>
            <w:pPr>
              <w:pStyle w:val="TableParagraph"/>
              <w:spacing w:line="144" w:lineRule="exact"/>
              <w:ind w:left="107"/>
              <w:rPr>
                <w:sz w:val="15"/>
              </w:rPr>
            </w:pPr>
            <w:r>
              <w:rPr>
                <w:sz w:val="15"/>
              </w:rPr>
              <w:t>CTS-anlæg</w:t>
            </w:r>
          </w:p>
        </w:tc>
      </w:tr>
      <w:tr>
        <w:trPr>
          <w:trHeight w:val="479" w:hRule="atLeast"/>
        </w:trPr>
        <w:tc>
          <w:tcPr>
            <w:tcW w:w="1418" w:type="dxa"/>
            <w:vMerge/>
            <w:tcBorders>
              <w:top w:val="nil"/>
              <w:bottom w:val="nil"/>
            </w:tcBorders>
            <w:shd w:val="clear" w:color="auto" w:fill="C8E9E6"/>
          </w:tcPr>
          <w:p>
            <w:pPr>
              <w:rPr>
                <w:sz w:val="2"/>
                <w:szCs w:val="2"/>
              </w:rPr>
            </w:pPr>
          </w:p>
        </w:tc>
        <w:tc>
          <w:tcPr>
            <w:tcW w:w="1673" w:type="dxa"/>
            <w:vMerge/>
            <w:tcBorders>
              <w:top w:val="nil"/>
            </w:tcBorders>
            <w:shd w:val="clear" w:color="auto" w:fill="C8E9E6"/>
          </w:tcPr>
          <w:p>
            <w:pPr>
              <w:rPr>
                <w:sz w:val="2"/>
                <w:szCs w:val="2"/>
              </w:rPr>
            </w:pPr>
          </w:p>
        </w:tc>
        <w:tc>
          <w:tcPr>
            <w:tcW w:w="2979" w:type="dxa"/>
            <w:tcBorders>
              <w:top w:val="nil"/>
              <w:bottom w:val="nil"/>
            </w:tcBorders>
            <w:shd w:val="clear" w:color="auto" w:fill="E2F3F0"/>
          </w:tcPr>
          <w:p>
            <w:pPr>
              <w:pStyle w:val="TableParagraph"/>
              <w:spacing w:line="211" w:lineRule="auto" w:before="76"/>
              <w:ind w:left="108" w:right="135"/>
              <w:rPr>
                <w:sz w:val="15"/>
              </w:rPr>
            </w:pPr>
            <w:r>
              <w:rPr>
                <w:sz w:val="15"/>
              </w:rPr>
              <w:t>Præcise, forbrugstal både på årsba- sis og kortere perioder</w:t>
            </w:r>
          </w:p>
        </w:tc>
        <w:tc>
          <w:tcPr>
            <w:tcW w:w="1417" w:type="dxa"/>
            <w:shd w:val="clear" w:color="auto" w:fill="E2F3F0"/>
          </w:tcPr>
          <w:p>
            <w:pPr>
              <w:pStyle w:val="TableParagraph"/>
              <w:spacing w:line="208" w:lineRule="auto"/>
              <w:ind w:left="108" w:right="135"/>
              <w:rPr>
                <w:sz w:val="15"/>
              </w:rPr>
            </w:pPr>
            <w:r>
              <w:rPr>
                <w:sz w:val="15"/>
              </w:rPr>
              <w:t>Forsyningsdata og forbrugs-</w:t>
            </w:r>
          </w:p>
          <w:p>
            <w:pPr>
              <w:pStyle w:val="TableParagraph"/>
              <w:spacing w:line="144" w:lineRule="exact"/>
              <w:ind w:left="108"/>
              <w:rPr>
                <w:sz w:val="15"/>
              </w:rPr>
            </w:pPr>
            <w:r>
              <w:rPr>
                <w:sz w:val="15"/>
              </w:rPr>
              <w:t>data</w:t>
            </w:r>
          </w:p>
        </w:tc>
        <w:tc>
          <w:tcPr>
            <w:tcW w:w="2118" w:type="dxa"/>
            <w:tcBorders>
              <w:bottom w:val="nil"/>
              <w:right w:val="nil"/>
            </w:tcBorders>
            <w:shd w:val="clear" w:color="auto" w:fill="E2F3F0"/>
          </w:tcPr>
          <w:p>
            <w:pPr>
              <w:pStyle w:val="TableParagraph"/>
              <w:spacing w:line="208" w:lineRule="auto"/>
              <w:ind w:left="107" w:right="108"/>
              <w:rPr>
                <w:sz w:val="15"/>
              </w:rPr>
            </w:pPr>
            <w:r>
              <w:rPr>
                <w:sz w:val="15"/>
              </w:rPr>
              <w:t>Forsyningsselskaber, ho- ved- og bi-målere og da-</w:t>
            </w:r>
          </w:p>
          <w:p>
            <w:pPr>
              <w:pStyle w:val="TableParagraph"/>
              <w:spacing w:line="144" w:lineRule="exact"/>
              <w:ind w:left="107"/>
              <w:rPr>
                <w:sz w:val="15"/>
              </w:rPr>
            </w:pPr>
            <w:r>
              <w:rPr>
                <w:sz w:val="15"/>
              </w:rPr>
              <w:t>taloggere</w:t>
            </w:r>
          </w:p>
        </w:tc>
      </w:tr>
      <w:tr>
        <w:trPr>
          <w:trHeight w:val="479" w:hRule="atLeast"/>
        </w:trPr>
        <w:tc>
          <w:tcPr>
            <w:tcW w:w="1418" w:type="dxa"/>
            <w:vMerge/>
            <w:tcBorders>
              <w:top w:val="nil"/>
              <w:bottom w:val="nil"/>
            </w:tcBorders>
            <w:shd w:val="clear" w:color="auto" w:fill="C8E9E6"/>
          </w:tcPr>
          <w:p>
            <w:pPr>
              <w:rPr>
                <w:sz w:val="2"/>
                <w:szCs w:val="2"/>
              </w:rPr>
            </w:pPr>
          </w:p>
        </w:tc>
        <w:tc>
          <w:tcPr>
            <w:tcW w:w="1673" w:type="dxa"/>
            <w:vMerge/>
            <w:tcBorders>
              <w:top w:val="nil"/>
            </w:tcBorders>
            <w:shd w:val="clear" w:color="auto" w:fill="C8E9E6"/>
          </w:tcPr>
          <w:p>
            <w:pPr>
              <w:rPr>
                <w:sz w:val="2"/>
                <w:szCs w:val="2"/>
              </w:rPr>
            </w:pPr>
          </w:p>
        </w:tc>
        <w:tc>
          <w:tcPr>
            <w:tcW w:w="2979" w:type="dxa"/>
            <w:tcBorders>
              <w:top w:val="nil"/>
            </w:tcBorders>
            <w:shd w:val="clear" w:color="auto" w:fill="C8E9E6"/>
          </w:tcPr>
          <w:p>
            <w:pPr>
              <w:pStyle w:val="TableParagraph"/>
              <w:spacing w:line="211" w:lineRule="auto" w:before="76"/>
              <w:ind w:left="108" w:right="122"/>
              <w:rPr>
                <w:sz w:val="15"/>
              </w:rPr>
            </w:pPr>
            <w:r>
              <w:rPr>
                <w:sz w:val="15"/>
              </w:rPr>
              <w:t>Relevant sammenligningsgrundlag / benchmark</w:t>
            </w:r>
          </w:p>
        </w:tc>
        <w:tc>
          <w:tcPr>
            <w:tcW w:w="1417" w:type="dxa"/>
            <w:tcBorders>
              <w:bottom w:val="nil"/>
            </w:tcBorders>
            <w:shd w:val="clear" w:color="auto" w:fill="C8E9E6"/>
          </w:tcPr>
          <w:p>
            <w:pPr>
              <w:pStyle w:val="TableParagraph"/>
              <w:spacing w:line="150" w:lineRule="exact"/>
              <w:ind w:left="108"/>
              <w:rPr>
                <w:sz w:val="15"/>
              </w:rPr>
            </w:pPr>
            <w:r>
              <w:rPr>
                <w:sz w:val="15"/>
              </w:rPr>
              <w:t>Standard-nøg-</w:t>
            </w:r>
          </w:p>
          <w:p>
            <w:pPr>
              <w:pStyle w:val="TableParagraph"/>
              <w:spacing w:line="158" w:lineRule="exact" w:before="13"/>
              <w:ind w:left="108" w:right="226"/>
              <w:rPr>
                <w:sz w:val="15"/>
              </w:rPr>
            </w:pPr>
            <w:r>
              <w:rPr>
                <w:sz w:val="15"/>
              </w:rPr>
              <w:t>letal og lokale nøgletal</w:t>
            </w:r>
          </w:p>
        </w:tc>
        <w:tc>
          <w:tcPr>
            <w:tcW w:w="2118" w:type="dxa"/>
            <w:tcBorders>
              <w:top w:val="nil"/>
              <w:bottom w:val="nil"/>
              <w:right w:val="nil"/>
            </w:tcBorders>
            <w:shd w:val="clear" w:color="auto" w:fill="C8E9E6"/>
          </w:tcPr>
          <w:p>
            <w:pPr>
              <w:pStyle w:val="TableParagraph"/>
              <w:spacing w:line="211" w:lineRule="auto" w:before="76"/>
              <w:ind w:left="107" w:right="415"/>
              <w:rPr>
                <w:sz w:val="15"/>
              </w:rPr>
            </w:pPr>
            <w:r>
              <w:rPr>
                <w:sz w:val="15"/>
              </w:rPr>
              <w:t>SBI/ENS og kommu- nen/regionen</w:t>
            </w:r>
          </w:p>
        </w:tc>
      </w:tr>
      <w:tr>
        <w:trPr>
          <w:trHeight w:val="321" w:hRule="atLeast"/>
        </w:trPr>
        <w:tc>
          <w:tcPr>
            <w:tcW w:w="1418" w:type="dxa"/>
            <w:vMerge/>
            <w:tcBorders>
              <w:top w:val="nil"/>
              <w:bottom w:val="nil"/>
            </w:tcBorders>
            <w:shd w:val="clear" w:color="auto" w:fill="C8E9E6"/>
          </w:tcPr>
          <w:p>
            <w:pPr>
              <w:rPr>
                <w:sz w:val="2"/>
                <w:szCs w:val="2"/>
              </w:rPr>
            </w:pPr>
          </w:p>
        </w:tc>
        <w:tc>
          <w:tcPr>
            <w:tcW w:w="1673" w:type="dxa"/>
            <w:vMerge/>
            <w:tcBorders>
              <w:top w:val="nil"/>
            </w:tcBorders>
            <w:shd w:val="clear" w:color="auto" w:fill="C8E9E6"/>
          </w:tcPr>
          <w:p>
            <w:pPr>
              <w:rPr>
                <w:sz w:val="2"/>
                <w:szCs w:val="2"/>
              </w:rPr>
            </w:pPr>
          </w:p>
        </w:tc>
        <w:tc>
          <w:tcPr>
            <w:tcW w:w="2979" w:type="dxa"/>
            <w:shd w:val="clear" w:color="auto" w:fill="E2F3F0"/>
          </w:tcPr>
          <w:p>
            <w:pPr>
              <w:pStyle w:val="TableParagraph"/>
              <w:spacing w:line="160" w:lineRule="exact" w:before="1"/>
              <w:ind w:left="108" w:right="470"/>
              <w:rPr>
                <w:sz w:val="15"/>
              </w:rPr>
            </w:pPr>
            <w:r>
              <w:rPr>
                <w:sz w:val="15"/>
              </w:rPr>
              <w:t>Indgående kendskab til enkelte bygningers egenskaber</w:t>
            </w:r>
          </w:p>
        </w:tc>
        <w:tc>
          <w:tcPr>
            <w:tcW w:w="1417" w:type="dxa"/>
            <w:tcBorders>
              <w:top w:val="nil"/>
              <w:bottom w:val="nil"/>
            </w:tcBorders>
            <w:shd w:val="clear" w:color="auto" w:fill="E2F3F0"/>
          </w:tcPr>
          <w:p>
            <w:pPr>
              <w:pStyle w:val="TableParagraph"/>
              <w:spacing w:before="57"/>
              <w:ind w:left="108"/>
              <w:rPr>
                <w:sz w:val="15"/>
              </w:rPr>
            </w:pPr>
            <w:r>
              <w:rPr>
                <w:sz w:val="15"/>
              </w:rPr>
              <w:t>Erfaringsdata</w:t>
            </w:r>
          </w:p>
        </w:tc>
        <w:tc>
          <w:tcPr>
            <w:tcW w:w="2118" w:type="dxa"/>
            <w:tcBorders>
              <w:top w:val="nil"/>
              <w:bottom w:val="nil"/>
              <w:right w:val="nil"/>
            </w:tcBorders>
            <w:shd w:val="clear" w:color="auto" w:fill="E2F3F0"/>
          </w:tcPr>
          <w:p>
            <w:pPr>
              <w:pStyle w:val="TableParagraph"/>
              <w:spacing w:before="57"/>
              <w:ind w:left="107"/>
              <w:rPr>
                <w:sz w:val="15"/>
              </w:rPr>
            </w:pPr>
            <w:r>
              <w:rPr>
                <w:sz w:val="15"/>
              </w:rPr>
              <w:t>Driftsmedarbejdere</w:t>
            </w:r>
          </w:p>
        </w:tc>
      </w:tr>
      <w:tr>
        <w:trPr>
          <w:trHeight w:val="479" w:hRule="atLeast"/>
        </w:trPr>
        <w:tc>
          <w:tcPr>
            <w:tcW w:w="1418" w:type="dxa"/>
            <w:vMerge/>
            <w:tcBorders>
              <w:top w:val="nil"/>
              <w:bottom w:val="nil"/>
            </w:tcBorders>
            <w:shd w:val="clear" w:color="auto" w:fill="C8E9E6"/>
          </w:tcPr>
          <w:p>
            <w:pPr>
              <w:rPr>
                <w:sz w:val="2"/>
                <w:szCs w:val="2"/>
              </w:rPr>
            </w:pPr>
          </w:p>
        </w:tc>
        <w:tc>
          <w:tcPr>
            <w:tcW w:w="1673" w:type="dxa"/>
            <w:vMerge/>
            <w:tcBorders>
              <w:top w:val="nil"/>
            </w:tcBorders>
            <w:shd w:val="clear" w:color="auto" w:fill="C8E9E6"/>
          </w:tcPr>
          <w:p>
            <w:pPr>
              <w:rPr>
                <w:sz w:val="2"/>
                <w:szCs w:val="2"/>
              </w:rPr>
            </w:pPr>
          </w:p>
        </w:tc>
        <w:tc>
          <w:tcPr>
            <w:tcW w:w="2979" w:type="dxa"/>
            <w:tcBorders>
              <w:bottom w:val="nil"/>
            </w:tcBorders>
            <w:shd w:val="clear" w:color="auto" w:fill="C8E9E6"/>
          </w:tcPr>
          <w:p>
            <w:pPr>
              <w:pStyle w:val="TableParagraph"/>
              <w:spacing w:line="208" w:lineRule="auto"/>
              <w:ind w:left="108" w:right="160"/>
              <w:rPr>
                <w:sz w:val="15"/>
              </w:rPr>
            </w:pPr>
            <w:r>
              <w:rPr>
                <w:sz w:val="15"/>
              </w:rPr>
              <w:t>Indgående kendskab til bygnings- komponenter og egenskaber for in-</w:t>
            </w:r>
          </w:p>
          <w:p>
            <w:pPr>
              <w:pStyle w:val="TableParagraph"/>
              <w:spacing w:line="144" w:lineRule="exact"/>
              <w:ind w:left="108"/>
              <w:rPr>
                <w:sz w:val="15"/>
              </w:rPr>
            </w:pPr>
            <w:r>
              <w:rPr>
                <w:sz w:val="15"/>
              </w:rPr>
              <w:t>stallationer</w:t>
            </w:r>
          </w:p>
        </w:tc>
        <w:tc>
          <w:tcPr>
            <w:tcW w:w="1417" w:type="dxa"/>
            <w:tcBorders>
              <w:top w:val="nil"/>
              <w:bottom w:val="nil"/>
            </w:tcBorders>
            <w:shd w:val="clear" w:color="auto" w:fill="C8E9E6"/>
          </w:tcPr>
          <w:p>
            <w:pPr>
              <w:pStyle w:val="TableParagraph"/>
              <w:spacing w:line="211" w:lineRule="auto" w:before="76"/>
              <w:ind w:left="108" w:right="82"/>
              <w:rPr>
                <w:sz w:val="15"/>
              </w:rPr>
            </w:pPr>
            <w:r>
              <w:rPr>
                <w:sz w:val="15"/>
              </w:rPr>
              <w:t>Komponentdata og driftsdata</w:t>
            </w:r>
          </w:p>
        </w:tc>
        <w:tc>
          <w:tcPr>
            <w:tcW w:w="2118" w:type="dxa"/>
            <w:tcBorders>
              <w:top w:val="nil"/>
              <w:bottom w:val="nil"/>
              <w:right w:val="nil"/>
            </w:tcBorders>
            <w:shd w:val="clear" w:color="auto" w:fill="C8E9E6"/>
          </w:tcPr>
          <w:p>
            <w:pPr>
              <w:pStyle w:val="TableParagraph"/>
              <w:spacing w:line="211" w:lineRule="auto" w:before="76"/>
              <w:ind w:left="107" w:right="162"/>
              <w:rPr>
                <w:sz w:val="15"/>
              </w:rPr>
            </w:pPr>
            <w:r>
              <w:rPr>
                <w:sz w:val="15"/>
              </w:rPr>
              <w:t>Driftsmedarbejdere, da- tablade, CTS</w:t>
            </w:r>
          </w:p>
        </w:tc>
      </w:tr>
    </w:tbl>
    <w:p>
      <w:pPr>
        <w:spacing w:after="0" w:line="211" w:lineRule="auto"/>
        <w:rPr>
          <w:sz w:val="15"/>
        </w:rPr>
        <w:sectPr>
          <w:type w:val="continuous"/>
          <w:pgSz w:w="11910" w:h="16840"/>
          <w:pgMar w:top="1580" w:bottom="280" w:left="980" w:right="100"/>
        </w:sectPr>
      </w:pPr>
    </w:p>
    <w:p>
      <w:pPr>
        <w:spacing w:before="83"/>
        <w:ind w:left="2635" w:right="-19" w:firstLine="0"/>
        <w:jc w:val="left"/>
        <w:rPr>
          <w:sz w:val="12"/>
        </w:rPr>
      </w:pPr>
      <w:r>
        <w:rPr/>
        <w:pict>
          <v:line style="position:absolute;mso-position-horizontal-relative:page;mso-position-vertical-relative:paragraph;z-index:-173584" from="180.770004pt,3.822214pt" to="291.410004pt,3.822214pt" stroked="true" strokeweight=".48pt" strokecolor="#000000">
            <v:stroke dashstyle="solid"/>
            <w10:wrap type="none"/>
          </v:line>
        </w:pict>
      </w:r>
      <w:r>
        <w:rPr>
          <w:sz w:val="12"/>
        </w:rPr>
        <w:t>Styrelsen for Dataforsyning og Effektivisering og Energistyrelsen</w:t>
      </w:r>
    </w:p>
    <w:p>
      <w:pPr>
        <w:pStyle w:val="BodyText"/>
        <w:spacing w:before="11"/>
        <w:rPr>
          <w:sz w:val="5"/>
        </w:rPr>
      </w:pPr>
      <w:r>
        <w:rPr/>
        <w:br w:type="column"/>
      </w:r>
      <w:r>
        <w:rPr>
          <w:sz w:val="5"/>
        </w:rPr>
      </w:r>
    </w:p>
    <w:p>
      <w:pPr>
        <w:tabs>
          <w:tab w:pos="2871" w:val="left" w:leader="none"/>
        </w:tabs>
        <w:spacing w:line="20" w:lineRule="exact"/>
        <w:ind w:left="405" w:right="0" w:firstLine="0"/>
        <w:rPr>
          <w:sz w:val="2"/>
        </w:rPr>
      </w:pP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2876" w:val="left" w:leader="none"/>
        </w:tabs>
        <w:spacing w:before="0"/>
        <w:ind w:left="410" w:right="0" w:firstLine="0"/>
        <w:jc w:val="left"/>
        <w:rPr>
          <w:sz w:val="12"/>
        </w:rPr>
      </w:pP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620" w:bottom="960" w:left="980" w:right="100"/>
          <w:cols w:num="2" w:equalWidth="0">
            <w:col w:w="4653" w:space="40"/>
            <w:col w:w="6137"/>
          </w:cols>
        </w:sectPr>
      </w:pPr>
    </w:p>
    <w:p>
      <w:pPr>
        <w:pStyle w:val="BodyText"/>
        <w:rPr>
          <w:sz w:val="20"/>
        </w:rPr>
      </w:pPr>
      <w:r>
        <w:rPr/>
        <w:pict>
          <v:group style="position:absolute;margin-left:56pt;margin-top:-.222301pt;width:482.1pt;height:841.1pt;mso-position-horizontal-relative:page;mso-position-vertical-relative:page;z-index:-173560" coordorigin="1120,-4" coordsize="9642,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120;top:2620;width:9642;height:13639" type="#_x0000_t75" stroked="false">
              <v:imagedata r:id="rId63" o:title=""/>
            </v:shape>
            <w10:wrap type="none"/>
          </v:group>
        </w:pict>
      </w:r>
    </w:p>
    <w:p>
      <w:pPr>
        <w:pStyle w:val="BodyText"/>
        <w:rPr>
          <w:sz w:val="20"/>
        </w:rPr>
      </w:pPr>
    </w:p>
    <w:p>
      <w:pPr>
        <w:pStyle w:val="BodyText"/>
        <w:spacing w:before="6"/>
        <w:rPr>
          <w:sz w:val="21"/>
        </w:rPr>
      </w:pPr>
    </w:p>
    <w:p>
      <w:pPr>
        <w:pStyle w:val="Heading1"/>
        <w:spacing w:line="254" w:lineRule="auto"/>
        <w:ind w:firstLine="0"/>
      </w:pPr>
      <w:r>
        <w:rPr/>
        <w:t>Appendix 6: </w:t>
      </w:r>
      <w:bookmarkStart w:name="_bookmark121" w:id="122"/>
      <w:bookmarkEnd w:id="122"/>
      <w:r>
        <w:rPr/>
        <w:t>O</w:t>
      </w:r>
      <w:r>
        <w:rPr/>
        <w:t>ne-pager med use-cases for bygningstyper</w:t>
      </w:r>
    </w:p>
    <w:p>
      <w:pPr>
        <w:spacing w:after="0" w:line="254" w:lineRule="auto"/>
        <w:sectPr>
          <w:type w:val="continuous"/>
          <w:pgSz w:w="11910" w:h="16840"/>
          <w:pgMar w:top="1580" w:bottom="280" w:left="980" w:right="100"/>
        </w:sectPr>
      </w:pPr>
    </w:p>
    <w:p>
      <w:pPr>
        <w:spacing w:before="83"/>
        <w:ind w:left="2635" w:right="-19" w:firstLine="0"/>
        <w:jc w:val="left"/>
        <w:rPr>
          <w:sz w:val="12"/>
        </w:rPr>
      </w:pPr>
      <w:r>
        <w:rPr/>
        <w:pict>
          <v:line style="position:absolute;mso-position-horizontal-relative:page;mso-position-vertical-relative:paragraph;z-index:-173488" from="180.770004pt,3.822214pt" to="291.410004pt,3.822214pt" stroked="true" strokeweight=".48pt" strokecolor="#000000">
            <v:stroke dashstyle="solid"/>
            <w10:wrap type="none"/>
          </v:line>
        </w:pict>
      </w:r>
      <w:r>
        <w:rPr/>
        <w:pict>
          <v:group style="position:absolute;margin-left:56.465145pt;margin-top:-.222301pt;width:480pt;height:841.1pt;mso-position-horizontal-relative:page;mso-position-vertical-relative:page;z-index:-173464" coordorigin="1129,-4" coordsize="9600,16822">
            <v:shape style="position:absolute;left:0;top:-3144;width:2673;height:19953"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v:shape>
            <v:shape style="position:absolute;left:1168;top:1218;width:9561;height:14950" type="#_x0000_t75" stroked="false">
              <v:imagedata r:id="rId64" o:title=""/>
            </v:shape>
            <w10:wrap type="none"/>
          </v:group>
        </w:pict>
      </w:r>
      <w:r>
        <w:rPr>
          <w:sz w:val="12"/>
        </w:rPr>
        <w:t>Styrelsen for Dataforsyning og Effektivisering og Energistyrelsen</w:t>
      </w:r>
    </w:p>
    <w:p>
      <w:pPr>
        <w:pStyle w:val="BodyText"/>
        <w:spacing w:before="11"/>
        <w:rPr>
          <w:sz w:val="5"/>
        </w:rPr>
      </w:pPr>
      <w:r>
        <w:rPr/>
        <w:br w:type="column"/>
      </w:r>
      <w:r>
        <w:rPr>
          <w:sz w:val="5"/>
        </w:rPr>
      </w:r>
    </w:p>
    <w:p>
      <w:pPr>
        <w:tabs>
          <w:tab w:pos="2871" w:val="left" w:leader="none"/>
        </w:tabs>
        <w:spacing w:line="20" w:lineRule="exact"/>
        <w:ind w:left="405" w:right="0" w:firstLine="0"/>
        <w:rPr>
          <w:sz w:val="2"/>
        </w:rPr>
      </w:pP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2876" w:val="left" w:leader="none"/>
        </w:tabs>
        <w:spacing w:before="0"/>
        <w:ind w:left="410" w:right="0" w:firstLine="0"/>
        <w:jc w:val="left"/>
        <w:rPr>
          <w:sz w:val="12"/>
        </w:rPr>
      </w:pP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620" w:bottom="960" w:left="980" w:right="100"/>
          <w:cols w:num="2" w:equalWidth="0">
            <w:col w:w="4653" w:space="40"/>
            <w:col w:w="6137"/>
          </w:cols>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36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spacing w:line="254" w:lineRule="auto"/>
        <w:ind w:right="1038" w:firstLine="0"/>
      </w:pPr>
      <w:bookmarkStart w:name="_bookmark122" w:id="123"/>
      <w:bookmarkEnd w:id="123"/>
      <w:r>
        <w:rPr>
          <w:b w:val="0"/>
        </w:rPr>
      </w:r>
      <w:r>
        <w:rPr/>
        <w:t>Appendix 7: Uddybende resultater fra inter- view med bygningsejere</w:t>
      </w:r>
    </w:p>
    <w:p>
      <w:pPr>
        <w:pStyle w:val="BodyText"/>
        <w:spacing w:before="1"/>
        <w:rPr>
          <w:b/>
          <w:sz w:val="40"/>
        </w:rPr>
      </w:pPr>
    </w:p>
    <w:p>
      <w:pPr>
        <w:pStyle w:val="Heading2"/>
        <w:ind w:firstLine="0"/>
      </w:pPr>
      <w:r>
        <w:rPr/>
        <w:t>Introduktion</w:t>
      </w:r>
    </w:p>
    <w:p>
      <w:pPr>
        <w:pStyle w:val="BodyText"/>
        <w:spacing w:line="278" w:lineRule="auto" w:before="36"/>
        <w:ind w:left="2649" w:right="1049"/>
      </w:pPr>
      <w:r>
        <w:rPr/>
        <w:t>For at kvalificere udviklingen af </w:t>
      </w:r>
      <w:r>
        <w:rPr>
          <w:i/>
        </w:rPr>
        <w:t>use cases</w:t>
      </w:r>
      <w:r>
        <w:rPr/>
        <w:t>, samt </w:t>
      </w:r>
      <w:r>
        <w:rPr>
          <w:i/>
        </w:rPr>
        <w:t>proof of concept</w:t>
      </w:r>
      <w:r>
        <w:rPr/>
        <w:t>, der beskriver hvordan en national steddatabase for indendørs geografi kan understøtte energief- fektivisering, er der gennemført kvalitative interview og en workshop med fagper- soner fra en række offentlige ejendomsorganisationer samt leverandører af soft- wareløsninger til energistyring og facility management.</w:t>
      </w:r>
    </w:p>
    <w:p>
      <w:pPr>
        <w:pStyle w:val="BodyText"/>
        <w:spacing w:before="8"/>
        <w:rPr>
          <w:sz w:val="21"/>
        </w:rPr>
      </w:pPr>
    </w:p>
    <w:p>
      <w:pPr>
        <w:pStyle w:val="BodyText"/>
        <w:spacing w:line="278" w:lineRule="auto" w:before="1"/>
        <w:ind w:left="2649" w:right="1097"/>
      </w:pPr>
      <w:r>
        <w:rPr/>
        <w:t>Interview og workshop havde til formål at indsamle, trykprøve og videreudvikle ideer til anvendelser, hvorigennem steddatabasen kan understøtte energieffektivi- sering, samt identificere barrierer og yderligere potentialer for steddatabasen.</w:t>
      </w:r>
    </w:p>
    <w:p>
      <w:pPr>
        <w:pStyle w:val="BodyText"/>
        <w:spacing w:before="4"/>
        <w:rPr>
          <w:sz w:val="21"/>
        </w:rPr>
      </w:pPr>
    </w:p>
    <w:p>
      <w:pPr>
        <w:pStyle w:val="BodyText"/>
        <w:spacing w:line="278" w:lineRule="auto" w:before="1"/>
        <w:ind w:left="2649" w:right="1140"/>
      </w:pPr>
      <w:r>
        <w:rPr/>
        <w:t>Der er gennemført tre semistrukturerede enkeltpersons-interview og fem gruppe- interview med fagpersoner fra i alt syv offentlige ejendomsorganisationer, herun- der Brønderslev Kommune, Egedal Kommune, Gladsaxe Kommune, Middelfart kommune, Københavns Kommune, Region Syd (Nyt OUH) og Bygningsstyrelsen.</w:t>
      </w:r>
    </w:p>
    <w:p>
      <w:pPr>
        <w:pStyle w:val="BodyText"/>
        <w:spacing w:before="5"/>
        <w:rPr>
          <w:sz w:val="21"/>
        </w:rPr>
      </w:pPr>
    </w:p>
    <w:p>
      <w:pPr>
        <w:pStyle w:val="BodyText"/>
        <w:spacing w:line="278" w:lineRule="auto"/>
        <w:ind w:left="2649" w:right="1071"/>
      </w:pPr>
      <w:r>
        <w:rPr/>
        <w:t>De involverede ejendomsorganisationer er udvalgt ud fra et ønske om at inddrage aktører med en relativt høj grad af digital modenhed og udviklingsparathed i for- hold til ejendomsdrift og energieffektiviseringsindsats. Interviewpersonerne har været ledere og medarbejdere fra energi- og driftsområdet samt IT- og dataområ- det.</w:t>
      </w:r>
    </w:p>
    <w:p>
      <w:pPr>
        <w:pStyle w:val="BodyText"/>
        <w:rPr>
          <w:sz w:val="21"/>
        </w:rPr>
      </w:pPr>
    </w:p>
    <w:p>
      <w:pPr>
        <w:pStyle w:val="Heading2"/>
        <w:ind w:firstLine="0"/>
      </w:pPr>
      <w:r>
        <w:rPr/>
        <w:t>Resultater</w:t>
      </w:r>
    </w:p>
    <w:p>
      <w:pPr>
        <w:pStyle w:val="BodyText"/>
        <w:spacing w:line="278" w:lineRule="auto" w:before="36"/>
        <w:ind w:left="2649" w:right="1249"/>
        <w:jc w:val="both"/>
      </w:pPr>
      <w:r>
        <w:rPr/>
        <w:t>I det følgende gives en uddybende beskrivelse af resultaterne fra analysen af in- terviewdata fra interview med repræsentanter for udvalgte, offentlige bygnings- ejere.</w:t>
      </w:r>
    </w:p>
    <w:p>
      <w:pPr>
        <w:pStyle w:val="BodyText"/>
        <w:spacing w:before="9"/>
        <w:rPr>
          <w:sz w:val="20"/>
        </w:rPr>
      </w:pPr>
    </w:p>
    <w:p>
      <w:pPr>
        <w:pStyle w:val="Heading2"/>
        <w:ind w:firstLine="0"/>
      </w:pPr>
      <w:r>
        <w:rPr/>
        <w:t>Fokus og behov i ejendomsorganisationerne</w:t>
      </w:r>
    </w:p>
    <w:p>
      <w:pPr>
        <w:pStyle w:val="BodyText"/>
        <w:spacing w:line="278" w:lineRule="auto" w:before="38"/>
        <w:ind w:left="2649" w:right="1041"/>
        <w:jc w:val="both"/>
      </w:pPr>
      <w:r>
        <w:rPr/>
        <w:t>For at forstå de interviewede aktørers perspektiv på mulige anvendelser, potentia- ler og barrierer for en national steddatabase, er det vigtigt at forstå deres aktuelle behov og fokus i ejendomsdriften, særligt i forhold til data og energieffektivisering. De mest relevante af disse forhold beskrives herunder.</w:t>
      </w:r>
    </w:p>
    <w:p>
      <w:pPr>
        <w:pStyle w:val="BodyText"/>
        <w:spacing w:before="9"/>
        <w:rPr>
          <w:sz w:val="21"/>
        </w:rPr>
      </w:pPr>
    </w:p>
    <w:p>
      <w:pPr>
        <w:pStyle w:val="Heading3"/>
        <w:ind w:firstLine="0"/>
      </w:pPr>
      <w:r>
        <w:rPr/>
        <w:t>Gradvis centralisering</w:t>
      </w:r>
    </w:p>
    <w:p>
      <w:pPr>
        <w:pStyle w:val="BodyText"/>
        <w:spacing w:line="278" w:lineRule="auto" w:before="35"/>
        <w:ind w:left="2649" w:right="1094"/>
      </w:pPr>
      <w:r>
        <w:rPr/>
        <w:t>Fælles for mange af de interviewede aktører er, at de enten har eller arbejder på at centralisere ejendomsdriften, herunder energieffektiviseringsindsatsen. Dette sker bl.a. via implementering af centrale energistyringssystemer og organisatori- ske ændringer. Det betyder ofte at de decentrale tekniske servicemedarbejdere, der er tilknyttet enkelte bygninger, i øget grad superviseres af den centrale ejen- domsorganisation, hvor driften og forbruget overvåges. Udviklingen af en national steddatabase kan understøtte muligheden for detaljeret, central overvågning, sty- ring og sikring af effektiv drift.</w:t>
      </w:r>
    </w:p>
    <w:p>
      <w:pPr>
        <w:pStyle w:val="BodyText"/>
        <w:spacing w:before="10"/>
        <w:rPr>
          <w:sz w:val="21"/>
        </w:rPr>
      </w:pPr>
    </w:p>
    <w:p>
      <w:pPr>
        <w:pStyle w:val="Heading3"/>
        <w:ind w:firstLine="0"/>
      </w:pPr>
      <w:r>
        <w:rPr/>
        <w:t>Udfordringer med forsyningsdata</w:t>
      </w:r>
    </w:p>
    <w:p>
      <w:pPr>
        <w:pStyle w:val="BodyText"/>
        <w:spacing w:line="278" w:lineRule="auto" w:before="34"/>
        <w:ind w:left="2649" w:right="1062"/>
      </w:pPr>
      <w:r>
        <w:rPr/>
        <w:t>Fælles for de fleste af de interviewede aktører er, at de oplever betydelige udfor- dringer med at indsamle valide, hyppigt opdaterede forsyningsdata (særligt for vand og varme) på hovedmålerniveau, dvs. på ejendoms- eller bygningsniveau. Af samme grund er mange skeptiske overfor tanken om at skulle monitorere byg- ningsdrift og energiforbrug på rumniveau. Mange oplever det som urealistisk i for- hold til deres nuværende situation. Samtidigt blev det også påpeget, at dét, der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27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14"/>
      </w:pPr>
      <w:r>
        <w:rPr/>
        <w:t>blev betragtet som fiktion i går meget vel kan blive realitet i morgen. Med henvis- ning til et nyligt implementeret energistyringssystem, der indsamler timedata for forbruget i alle større bygninger, fortalte en energimedarbejder:</w:t>
      </w:r>
    </w:p>
    <w:p>
      <w:pPr>
        <w:pStyle w:val="BodyText"/>
        <w:spacing w:before="8"/>
        <w:rPr>
          <w:sz w:val="18"/>
        </w:rPr>
      </w:pPr>
    </w:p>
    <w:p>
      <w:pPr>
        <w:spacing w:before="0"/>
        <w:ind w:left="3045" w:right="1637" w:firstLine="0"/>
        <w:jc w:val="left"/>
        <w:rPr>
          <w:rFonts w:ascii="Palatino Linotype" w:hAnsi="Palatino Linotype"/>
          <w:i/>
          <w:sz w:val="19"/>
        </w:rPr>
      </w:pPr>
      <w:r>
        <w:rPr>
          <w:rFonts w:ascii="Palatino Linotype" w:hAnsi="Palatino Linotype"/>
          <w:i/>
          <w:sz w:val="19"/>
        </w:rPr>
        <w:t>[Energistyringssystemet] var også fiktion – timedata. Der var mange, der sagde, </w:t>
      </w:r>
      <w:r>
        <w:rPr>
          <w:rFonts w:ascii="Palatino Linotype" w:hAnsi="Palatino Linotype"/>
          <w:i/>
          <w:sz w:val="19"/>
        </w:rPr>
        <w:t>det var fiktion. Men nu er det her.</w:t>
      </w:r>
    </w:p>
    <w:p>
      <w:pPr>
        <w:spacing w:before="1"/>
        <w:ind w:left="3045" w:right="0" w:firstLine="0"/>
        <w:jc w:val="left"/>
        <w:rPr>
          <w:rFonts w:ascii="Palatino Linotype"/>
          <w:sz w:val="19"/>
        </w:rPr>
      </w:pPr>
      <w:r>
        <w:rPr>
          <w:rFonts w:ascii="Palatino Linotype"/>
          <w:sz w:val="19"/>
        </w:rPr>
        <w:t>Energimedarbejder</w:t>
      </w:r>
    </w:p>
    <w:p>
      <w:pPr>
        <w:pStyle w:val="BodyText"/>
        <w:spacing w:before="4"/>
        <w:rPr>
          <w:rFonts w:ascii="Palatino Linotype"/>
          <w:sz w:val="20"/>
        </w:rPr>
      </w:pPr>
    </w:p>
    <w:p>
      <w:pPr>
        <w:pStyle w:val="BodyText"/>
        <w:spacing w:line="278" w:lineRule="auto"/>
        <w:ind w:left="2649" w:right="1115"/>
      </w:pPr>
      <w:r>
        <w:rPr/>
        <w:t>I forlængelse heraf påpegede en IT-medarbejder, at datamængder og detalje- ringsgrader, der i dag virker uoverskuelige og uhåndterbare, formentligt vil kunne håndteres uden problemer om 5-7 år i kraft af nye og bedre systemer.</w:t>
      </w:r>
    </w:p>
    <w:p>
      <w:pPr>
        <w:pStyle w:val="BodyText"/>
        <w:spacing w:before="9"/>
        <w:rPr>
          <w:sz w:val="21"/>
        </w:rPr>
      </w:pPr>
    </w:p>
    <w:p>
      <w:pPr>
        <w:pStyle w:val="Heading3"/>
        <w:ind w:firstLine="0"/>
      </w:pPr>
      <w:r>
        <w:rPr/>
        <w:t>Arealoptimering i fokus</w:t>
      </w:r>
    </w:p>
    <w:p>
      <w:pPr>
        <w:pStyle w:val="BodyText"/>
        <w:spacing w:line="278" w:lineRule="auto" w:before="34"/>
        <w:ind w:left="2649" w:right="1040"/>
      </w:pPr>
      <w:r>
        <w:rPr/>
        <w:t>Et vigtigt fællestræk for mange af ejendomsorganisationer er, at de har et ekspli- cit, ofte politisk forankret fokus på arealoptimering af bygningsmassen. Målet er at skære overflødige kvadratmeter fra og udnytte kapaciteten i den eksisterende bygningsmasse optimalt, fx ved at invitere andre brugergrupper ind på skolerne efter skoletid, etablere multifunktionelle rum og bygninger og ved at nyindrette administrationsbygninger, så der bliver flere arbejdspladser på de samme kvadrat- meter. Derigennem kan der realiseres besparelser på flere niveauer, fx husleje, vedligeholdelse, rengøring og energiforbrug.</w:t>
      </w:r>
    </w:p>
    <w:p>
      <w:pPr>
        <w:pStyle w:val="BodyText"/>
        <w:spacing w:before="10"/>
        <w:rPr>
          <w:sz w:val="18"/>
        </w:rPr>
      </w:pPr>
    </w:p>
    <w:p>
      <w:pPr>
        <w:spacing w:before="0"/>
        <w:ind w:left="3045" w:right="1438" w:firstLine="0"/>
        <w:jc w:val="left"/>
        <w:rPr>
          <w:rFonts w:ascii="Palatino Linotype" w:hAnsi="Palatino Linotype"/>
          <w:i/>
          <w:sz w:val="19"/>
        </w:rPr>
      </w:pPr>
      <w:r>
        <w:rPr>
          <w:rFonts w:ascii="Palatino Linotype" w:hAnsi="Palatino Linotype"/>
          <w:i/>
          <w:sz w:val="19"/>
        </w:rPr>
        <w:t>Kommunen</w:t>
      </w:r>
      <w:r>
        <w:rPr>
          <w:rFonts w:ascii="Palatino Linotype" w:hAnsi="Palatino Linotype"/>
          <w:i/>
          <w:spacing w:val="-3"/>
          <w:sz w:val="19"/>
        </w:rPr>
        <w:t> </w:t>
      </w:r>
      <w:r>
        <w:rPr>
          <w:rFonts w:ascii="Palatino Linotype" w:hAnsi="Palatino Linotype"/>
          <w:i/>
          <w:sz w:val="19"/>
        </w:rPr>
        <w:t>har</w:t>
      </w:r>
      <w:r>
        <w:rPr>
          <w:rFonts w:ascii="Palatino Linotype" w:hAnsi="Palatino Linotype"/>
          <w:i/>
          <w:spacing w:val="-2"/>
          <w:sz w:val="19"/>
        </w:rPr>
        <w:t> </w:t>
      </w:r>
      <w:r>
        <w:rPr>
          <w:rFonts w:ascii="Palatino Linotype" w:hAnsi="Palatino Linotype"/>
          <w:i/>
          <w:sz w:val="19"/>
        </w:rPr>
        <w:t>en</w:t>
      </w:r>
      <w:r>
        <w:rPr>
          <w:rFonts w:ascii="Palatino Linotype" w:hAnsi="Palatino Linotype"/>
          <w:i/>
          <w:spacing w:val="-3"/>
          <w:sz w:val="19"/>
        </w:rPr>
        <w:t> </w:t>
      </w:r>
      <w:r>
        <w:rPr>
          <w:rFonts w:ascii="Palatino Linotype" w:hAnsi="Palatino Linotype"/>
          <w:i/>
          <w:sz w:val="19"/>
        </w:rPr>
        <w:t>dagsorden</w:t>
      </w:r>
      <w:r>
        <w:rPr>
          <w:rFonts w:ascii="Palatino Linotype" w:hAnsi="Palatino Linotype"/>
          <w:i/>
          <w:spacing w:val="-2"/>
          <w:sz w:val="19"/>
        </w:rPr>
        <w:t> </w:t>
      </w:r>
      <w:r>
        <w:rPr>
          <w:rFonts w:ascii="Palatino Linotype" w:hAnsi="Palatino Linotype"/>
          <w:i/>
          <w:sz w:val="19"/>
        </w:rPr>
        <w:t>om</w:t>
      </w:r>
      <w:r>
        <w:rPr>
          <w:rFonts w:ascii="Palatino Linotype" w:hAnsi="Palatino Linotype"/>
          <w:i/>
          <w:spacing w:val="-4"/>
          <w:sz w:val="19"/>
        </w:rPr>
        <w:t> </w:t>
      </w:r>
      <w:r>
        <w:rPr>
          <w:rFonts w:ascii="Palatino Linotype" w:hAnsi="Palatino Linotype"/>
          <w:i/>
          <w:sz w:val="19"/>
        </w:rPr>
        <w:t>at</w:t>
      </w:r>
      <w:r>
        <w:rPr>
          <w:rFonts w:ascii="Palatino Linotype" w:hAnsi="Palatino Linotype"/>
          <w:i/>
          <w:spacing w:val="-3"/>
          <w:sz w:val="19"/>
        </w:rPr>
        <w:t> </w:t>
      </w:r>
      <w:r>
        <w:rPr>
          <w:rFonts w:ascii="Palatino Linotype" w:hAnsi="Palatino Linotype"/>
          <w:i/>
          <w:sz w:val="19"/>
        </w:rPr>
        <w:t>reducere</w:t>
      </w:r>
      <w:r>
        <w:rPr>
          <w:rFonts w:ascii="Palatino Linotype" w:hAnsi="Palatino Linotype"/>
          <w:i/>
          <w:spacing w:val="-3"/>
          <w:sz w:val="19"/>
        </w:rPr>
        <w:t> </w:t>
      </w:r>
      <w:r>
        <w:rPr>
          <w:rFonts w:ascii="Palatino Linotype" w:hAnsi="Palatino Linotype"/>
          <w:i/>
          <w:sz w:val="19"/>
        </w:rPr>
        <w:t>bygningsmassen</w:t>
      </w:r>
      <w:r>
        <w:rPr>
          <w:rFonts w:ascii="Palatino Linotype" w:hAnsi="Palatino Linotype"/>
          <w:i/>
          <w:spacing w:val="-4"/>
          <w:sz w:val="19"/>
        </w:rPr>
        <w:t> </w:t>
      </w:r>
      <w:r>
        <w:rPr>
          <w:rFonts w:ascii="Palatino Linotype" w:hAnsi="Palatino Linotype"/>
          <w:i/>
          <w:sz w:val="19"/>
        </w:rPr>
        <w:t>og</w:t>
      </w:r>
      <w:r>
        <w:rPr>
          <w:rFonts w:ascii="Palatino Linotype" w:hAnsi="Palatino Linotype"/>
          <w:i/>
          <w:spacing w:val="-2"/>
          <w:sz w:val="19"/>
        </w:rPr>
        <w:t> </w:t>
      </w:r>
      <w:r>
        <w:rPr>
          <w:rFonts w:ascii="Palatino Linotype" w:hAnsi="Palatino Linotype"/>
          <w:i/>
          <w:sz w:val="19"/>
        </w:rPr>
        <w:t>en</w:t>
      </w:r>
      <w:r>
        <w:rPr>
          <w:rFonts w:ascii="Palatino Linotype" w:hAnsi="Palatino Linotype"/>
          <w:i/>
          <w:spacing w:val="-2"/>
          <w:sz w:val="19"/>
        </w:rPr>
        <w:t> </w:t>
      </w:r>
      <w:r>
        <w:rPr>
          <w:rFonts w:ascii="Palatino Linotype" w:hAnsi="Palatino Linotype"/>
          <w:i/>
          <w:sz w:val="19"/>
        </w:rPr>
        <w:t>måde</w:t>
      </w:r>
      <w:r>
        <w:rPr>
          <w:rFonts w:ascii="Palatino Linotype" w:hAnsi="Palatino Linotype"/>
          <w:i/>
          <w:spacing w:val="-3"/>
          <w:sz w:val="19"/>
        </w:rPr>
        <w:t> </w:t>
      </w:r>
      <w:r>
        <w:rPr>
          <w:rFonts w:ascii="Palatino Linotype" w:hAnsi="Palatino Linotype"/>
          <w:i/>
          <w:sz w:val="19"/>
        </w:rPr>
        <w:t>er</w:t>
      </w:r>
      <w:r>
        <w:rPr>
          <w:rFonts w:ascii="Palatino Linotype" w:hAnsi="Palatino Linotype"/>
          <w:i/>
          <w:spacing w:val="-4"/>
          <w:sz w:val="19"/>
        </w:rPr>
        <w:t> </w:t>
      </w:r>
      <w:r>
        <w:rPr>
          <w:rFonts w:ascii="Palatino Linotype" w:hAnsi="Palatino Linotype"/>
          <w:i/>
          <w:sz w:val="19"/>
        </w:rPr>
        <w:t>at</w:t>
      </w:r>
      <w:r>
        <w:rPr>
          <w:rFonts w:ascii="Palatino Linotype" w:hAnsi="Palatino Linotype"/>
          <w:i/>
          <w:spacing w:val="-3"/>
          <w:sz w:val="19"/>
        </w:rPr>
        <w:t> </w:t>
      </w:r>
      <w:r>
        <w:rPr>
          <w:rFonts w:ascii="Palatino Linotype" w:hAnsi="Palatino Linotype"/>
          <w:i/>
          <w:sz w:val="19"/>
        </w:rPr>
        <w:t>ud- </w:t>
      </w:r>
      <w:r>
        <w:rPr>
          <w:rFonts w:ascii="Palatino Linotype" w:hAnsi="Palatino Linotype"/>
          <w:i/>
          <w:sz w:val="19"/>
        </w:rPr>
        <w:t>nytte bygningsmassen mere. Skoler der står tomme ved 15 tiden og så begynder foreningslivet. Men de tager ned i foreningshuset i stedet. Og nogle gange er det en god ide. Men til møder osv. kunne man godt benytte de lokaler, der var der i for- vejen.</w:t>
      </w:r>
    </w:p>
    <w:p>
      <w:pPr>
        <w:spacing w:before="0"/>
        <w:ind w:left="3045" w:right="0" w:firstLine="0"/>
        <w:jc w:val="left"/>
        <w:rPr>
          <w:rFonts w:ascii="Palatino Linotype"/>
          <w:sz w:val="19"/>
        </w:rPr>
      </w:pPr>
      <w:r>
        <w:rPr>
          <w:rFonts w:ascii="Palatino Linotype"/>
          <w:sz w:val="19"/>
        </w:rPr>
        <w:t>Driftsleder</w:t>
      </w:r>
    </w:p>
    <w:p>
      <w:pPr>
        <w:pStyle w:val="BodyText"/>
        <w:rPr>
          <w:rFonts w:ascii="Palatino Linotype"/>
          <w:sz w:val="22"/>
        </w:rPr>
      </w:pPr>
    </w:p>
    <w:p>
      <w:pPr>
        <w:spacing w:before="0"/>
        <w:ind w:left="2649" w:right="0" w:firstLine="0"/>
        <w:jc w:val="left"/>
        <w:rPr>
          <w:b/>
          <w:sz w:val="20"/>
        </w:rPr>
      </w:pPr>
      <w:r>
        <w:rPr>
          <w:b/>
          <w:sz w:val="20"/>
        </w:rPr>
        <w:t>Skoler i fokus</w:t>
      </w:r>
    </w:p>
    <w:p>
      <w:pPr>
        <w:pStyle w:val="BodyText"/>
        <w:spacing w:line="278" w:lineRule="auto" w:before="34"/>
        <w:ind w:left="2649" w:right="1198"/>
        <w:jc w:val="both"/>
      </w:pPr>
      <w:r>
        <w:rPr/>
        <w:t>Skoler er den enkeltstående bygningstype, der er størst fokus på i kommunerne. Det skyldes, at skoler udgør op mod 40% af de kommunale kvadratmeter, og at de ofte rummer et betragteligt potentiale for energieffektivisering samtidigt med, at der pga. den høje personbelastning i de enkelte rum, er behov for løbende fo- kus indeklimaet.</w:t>
      </w:r>
    </w:p>
    <w:p>
      <w:pPr>
        <w:pStyle w:val="BodyText"/>
        <w:spacing w:before="9"/>
        <w:rPr>
          <w:sz w:val="18"/>
        </w:rPr>
      </w:pPr>
    </w:p>
    <w:p>
      <w:pPr>
        <w:spacing w:before="0"/>
        <w:ind w:left="3045" w:right="0" w:firstLine="0"/>
        <w:jc w:val="left"/>
        <w:rPr>
          <w:rFonts w:ascii="Palatino Linotype" w:hAnsi="Palatino Linotype"/>
          <w:i/>
          <w:sz w:val="19"/>
        </w:rPr>
      </w:pPr>
      <w:r>
        <w:rPr>
          <w:rFonts w:ascii="Palatino Linotype" w:hAnsi="Palatino Linotype"/>
          <w:i/>
          <w:sz w:val="19"/>
        </w:rPr>
        <w:t>Interviewer: ”Er der særlige bygningstyper i fokus?”</w:t>
      </w:r>
    </w:p>
    <w:p>
      <w:pPr>
        <w:spacing w:before="0"/>
        <w:ind w:left="3045" w:right="1678" w:firstLine="0"/>
        <w:jc w:val="both"/>
        <w:rPr>
          <w:rFonts w:ascii="Palatino Linotype" w:hAnsi="Palatino Linotype"/>
          <w:i/>
          <w:sz w:val="19"/>
        </w:rPr>
      </w:pPr>
      <w:r>
        <w:rPr>
          <w:rFonts w:ascii="Palatino Linotype" w:hAnsi="Palatino Linotype"/>
          <w:i/>
          <w:sz w:val="19"/>
        </w:rPr>
        <w:t>Interviewperson: ”Skoler. Omkring halvdelen [af de kommunale m2] er skoler – </w:t>
      </w:r>
      <w:r>
        <w:rPr>
          <w:rFonts w:ascii="Palatino Linotype" w:hAnsi="Palatino Linotype"/>
          <w:i/>
          <w:sz w:val="19"/>
        </w:rPr>
        <w:t>ufattelig meget energi, og stort slid på bygningerne […] [Der er] hele tiden krav om, at vi skal spare på energien.”</w:t>
      </w:r>
    </w:p>
    <w:p>
      <w:pPr>
        <w:spacing w:line="256" w:lineRule="exact" w:before="0"/>
        <w:ind w:left="3045" w:right="0" w:firstLine="0"/>
        <w:jc w:val="left"/>
        <w:rPr>
          <w:rFonts w:ascii="Palatino Linotype"/>
          <w:sz w:val="19"/>
        </w:rPr>
      </w:pPr>
      <w:r>
        <w:rPr>
          <w:rFonts w:ascii="Palatino Linotype"/>
          <w:sz w:val="19"/>
        </w:rPr>
        <w:t>Ejendoms- og energimedarbejder</w:t>
      </w:r>
    </w:p>
    <w:p>
      <w:pPr>
        <w:pStyle w:val="BodyText"/>
        <w:spacing w:before="4"/>
        <w:rPr>
          <w:rFonts w:ascii="Palatino Linotype"/>
          <w:sz w:val="20"/>
        </w:rPr>
      </w:pPr>
    </w:p>
    <w:p>
      <w:pPr>
        <w:pStyle w:val="BodyText"/>
        <w:spacing w:line="278" w:lineRule="auto"/>
        <w:ind w:left="2649" w:right="1127"/>
      </w:pPr>
      <w:r>
        <w:rPr/>
        <w:t>Samtidigt adskiller skoler sig ved relativt stor slitage, hvilket stiller særligt krav til indretning og installationer, og et særligt stort potentiale for multifunktionel an- vendelse.</w:t>
      </w:r>
    </w:p>
    <w:p>
      <w:pPr>
        <w:pStyle w:val="BodyText"/>
        <w:rPr>
          <w:sz w:val="21"/>
        </w:rPr>
      </w:pPr>
    </w:p>
    <w:p>
      <w:pPr>
        <w:pStyle w:val="Heading2"/>
        <w:ind w:firstLine="0"/>
      </w:pPr>
      <w:r>
        <w:rPr/>
        <w:t>En national steddatabase og energieffektivisering</w:t>
      </w:r>
    </w:p>
    <w:p>
      <w:pPr>
        <w:pStyle w:val="BodyText"/>
        <w:spacing w:line="278" w:lineRule="auto" w:before="35"/>
        <w:ind w:left="2649" w:right="1033"/>
      </w:pPr>
      <w:r>
        <w:rPr/>
        <w:t>Spørgsmålet om, hvordan og i hvilket omfang en national steddatabase ville kunne understøtte energieffektiviseringsindsatsen i offentlige ejendomme, afhænger dels af de konkrete anvendelsesmuligheder og dels af datatilgængelighed og –detalje- ringsgrad.</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17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3"/>
        </w:rPr>
      </w:pPr>
    </w:p>
    <w:p>
      <w:pPr>
        <w:pStyle w:val="Heading3"/>
        <w:spacing w:before="99"/>
        <w:ind w:firstLine="0"/>
      </w:pPr>
      <w:r>
        <w:rPr/>
        <w:t>Det rette detaljeringsniveau</w:t>
      </w:r>
    </w:p>
    <w:p>
      <w:pPr>
        <w:pStyle w:val="BodyText"/>
        <w:spacing w:line="278" w:lineRule="auto" w:before="34"/>
        <w:ind w:left="2649" w:right="1062"/>
      </w:pPr>
      <w:r>
        <w:rPr/>
        <w:t>De interviewede aktører påpeger, at arbejdet med at energieffektivisere bygninger meget sjældent tager udgangspunkt i enkelte rum, men typisk fokuserer på hele bygningskroppen eller zoner af den (fx etager eller fløje). Derfor er det også pri- mært energidata på bygnings- eller zoneniveau de har brug for – og mange kæm- per i dag med at få adgang til energiforbrugsdata på dette niveau i en passende kvalitet.</w:t>
      </w:r>
    </w:p>
    <w:p>
      <w:pPr>
        <w:pStyle w:val="BodyText"/>
        <w:spacing w:before="9"/>
        <w:rPr>
          <w:sz w:val="18"/>
        </w:rPr>
      </w:pPr>
    </w:p>
    <w:p>
      <w:pPr>
        <w:spacing w:before="1"/>
        <w:ind w:left="3045" w:right="0" w:firstLine="0"/>
        <w:jc w:val="left"/>
        <w:rPr>
          <w:rFonts w:ascii="Palatino Linotype" w:hAnsi="Palatino Linotype"/>
          <w:i/>
          <w:sz w:val="19"/>
        </w:rPr>
      </w:pPr>
      <w:r>
        <w:rPr>
          <w:rFonts w:ascii="Palatino Linotype" w:hAnsi="Palatino Linotype"/>
          <w:i/>
          <w:sz w:val="19"/>
        </w:rPr>
        <w:t>Interviewer: ”Hvilket niveau er relevant?”</w:t>
      </w:r>
    </w:p>
    <w:p>
      <w:pPr>
        <w:spacing w:before="0"/>
        <w:ind w:left="3045" w:right="1812" w:firstLine="0"/>
        <w:jc w:val="left"/>
        <w:rPr>
          <w:rFonts w:ascii="Palatino Linotype" w:hAnsi="Palatino Linotype"/>
          <w:i/>
          <w:sz w:val="19"/>
        </w:rPr>
      </w:pPr>
      <w:r>
        <w:rPr>
          <w:rFonts w:ascii="Palatino Linotype" w:hAnsi="Palatino Linotype"/>
          <w:i/>
          <w:sz w:val="19"/>
        </w:rPr>
        <w:t>Interviewperson: ”Nok på afdelingsniveau eller blokniveau. Lokaleniveau ville </w:t>
      </w:r>
      <w:r>
        <w:rPr>
          <w:rFonts w:ascii="Palatino Linotype" w:hAnsi="Palatino Linotype"/>
          <w:i/>
          <w:sz w:val="19"/>
        </w:rPr>
        <w:t>være for dyrt, tror jeg.”</w:t>
      </w:r>
    </w:p>
    <w:p>
      <w:pPr>
        <w:spacing w:line="255" w:lineRule="exact" w:before="0"/>
        <w:ind w:left="3045" w:right="0" w:firstLine="0"/>
        <w:jc w:val="left"/>
        <w:rPr>
          <w:rFonts w:ascii="Palatino Linotype"/>
          <w:sz w:val="19"/>
        </w:rPr>
      </w:pPr>
      <w:r>
        <w:rPr>
          <w:rFonts w:ascii="Palatino Linotype"/>
          <w:sz w:val="19"/>
        </w:rPr>
        <w:t>Driftsleder</w:t>
      </w:r>
    </w:p>
    <w:p>
      <w:pPr>
        <w:pStyle w:val="BodyText"/>
        <w:spacing w:before="12"/>
        <w:rPr>
          <w:rFonts w:ascii="Palatino Linotype"/>
        </w:rPr>
      </w:pPr>
    </w:p>
    <w:p>
      <w:pPr>
        <w:spacing w:before="0"/>
        <w:ind w:left="3045" w:right="1453" w:firstLine="0"/>
        <w:jc w:val="left"/>
        <w:rPr>
          <w:rFonts w:ascii="Palatino Linotype" w:hAnsi="Palatino Linotype"/>
          <w:i/>
          <w:sz w:val="19"/>
        </w:rPr>
      </w:pPr>
      <w:r>
        <w:rPr>
          <w:rFonts w:ascii="Palatino Linotype" w:hAnsi="Palatino Linotype"/>
          <w:i/>
          <w:sz w:val="19"/>
        </w:rPr>
        <w:t>Vi kan vel godt sige, at der ikke er noget der foregår på rumniveau […] Nogle </w:t>
      </w:r>
      <w:r>
        <w:rPr>
          <w:rFonts w:ascii="Palatino Linotype" w:hAnsi="Palatino Linotype"/>
          <w:i/>
          <w:sz w:val="19"/>
        </w:rPr>
        <w:t>gange bygningsafsnit, nogle gange enkelte anlæg. […] Men det er ikke rumniveau. Ejendomme, bygningsniveau, fløjniveau, anlægsniveeau. Ikke rumniveau.</w:t>
      </w:r>
    </w:p>
    <w:p>
      <w:pPr>
        <w:spacing w:before="1"/>
        <w:ind w:left="3045" w:right="0" w:firstLine="0"/>
        <w:jc w:val="left"/>
        <w:rPr>
          <w:rFonts w:ascii="Palatino Linotype"/>
          <w:sz w:val="19"/>
        </w:rPr>
      </w:pPr>
      <w:r>
        <w:rPr>
          <w:rFonts w:ascii="Palatino Linotype"/>
          <w:sz w:val="19"/>
        </w:rPr>
        <w:t>Energimedarbejder</w:t>
      </w:r>
    </w:p>
    <w:p>
      <w:pPr>
        <w:pStyle w:val="BodyText"/>
        <w:spacing w:before="9"/>
        <w:rPr>
          <w:rFonts w:ascii="Palatino Linotype"/>
        </w:rPr>
      </w:pPr>
    </w:p>
    <w:p>
      <w:pPr>
        <w:spacing w:before="0"/>
        <w:ind w:left="3045" w:right="0" w:firstLine="0"/>
        <w:jc w:val="left"/>
        <w:rPr>
          <w:rFonts w:ascii="Palatino Linotype" w:hAnsi="Palatino Linotype"/>
          <w:i/>
          <w:sz w:val="19"/>
        </w:rPr>
      </w:pPr>
      <w:r>
        <w:rPr>
          <w:rFonts w:ascii="Palatino Linotype" w:hAnsi="Palatino Linotype"/>
          <w:i/>
          <w:sz w:val="19"/>
        </w:rPr>
        <w:t>Jeg tror på, at hvis det skal give mening, så skal der være et niveau over rumniveau</w:t>
      </w:r>
    </w:p>
    <w:p>
      <w:pPr>
        <w:spacing w:before="0"/>
        <w:ind w:left="3045" w:right="1429" w:firstLine="0"/>
        <w:jc w:val="left"/>
        <w:rPr>
          <w:rFonts w:ascii="Palatino Linotype" w:hAnsi="Palatino Linotype"/>
          <w:i/>
          <w:sz w:val="19"/>
        </w:rPr>
      </w:pPr>
      <w:r>
        <w:rPr>
          <w:rFonts w:ascii="Palatino Linotype" w:hAnsi="Palatino Linotype"/>
          <w:i/>
          <w:sz w:val="19"/>
        </w:rPr>
        <w:t>– zoner, fløje – som tilsammen udgør et forbrugsgrundlag. [ift.] energiforbrug: tror </w:t>
      </w:r>
      <w:r>
        <w:rPr>
          <w:rFonts w:ascii="Palatino Linotype" w:hAnsi="Palatino Linotype"/>
          <w:i/>
          <w:sz w:val="19"/>
        </w:rPr>
        <w:t>det er vigtigt at samle rum i klumper.</w:t>
      </w:r>
    </w:p>
    <w:p>
      <w:pPr>
        <w:spacing w:before="1"/>
        <w:ind w:left="3045" w:right="0" w:firstLine="0"/>
        <w:jc w:val="left"/>
        <w:rPr>
          <w:rFonts w:ascii="Palatino Linotype"/>
          <w:sz w:val="19"/>
        </w:rPr>
      </w:pPr>
      <w:r>
        <w:rPr>
          <w:rFonts w:ascii="Palatino Linotype"/>
          <w:sz w:val="19"/>
        </w:rPr>
        <w:t>Chef</w:t>
      </w:r>
    </w:p>
    <w:p>
      <w:pPr>
        <w:pStyle w:val="BodyText"/>
        <w:spacing w:before="9"/>
        <w:rPr>
          <w:rFonts w:ascii="Palatino Linotype"/>
        </w:rPr>
      </w:pPr>
    </w:p>
    <w:p>
      <w:pPr>
        <w:spacing w:before="0"/>
        <w:ind w:left="3045" w:right="1073" w:firstLine="0"/>
        <w:jc w:val="left"/>
        <w:rPr>
          <w:rFonts w:ascii="Palatino Linotype"/>
          <w:i/>
          <w:sz w:val="19"/>
        </w:rPr>
      </w:pPr>
      <w:r>
        <w:rPr>
          <w:rFonts w:ascii="Palatino Linotype"/>
          <w:i/>
          <w:sz w:val="19"/>
        </w:rPr>
        <w:t>Men rent energiteknisk der er det stadig hovedtallene du bruger til at spotte byg- </w:t>
      </w:r>
      <w:r>
        <w:rPr>
          <w:rFonts w:ascii="Palatino Linotype"/>
          <w:i/>
          <w:sz w:val="19"/>
        </w:rPr>
        <w:t>ningen.</w:t>
      </w:r>
    </w:p>
    <w:p>
      <w:pPr>
        <w:spacing w:before="1"/>
        <w:ind w:left="3045" w:right="0" w:firstLine="0"/>
        <w:jc w:val="left"/>
        <w:rPr>
          <w:rFonts w:ascii="Palatino Linotype"/>
          <w:sz w:val="19"/>
        </w:rPr>
      </w:pPr>
      <w:r>
        <w:rPr>
          <w:rFonts w:ascii="Palatino Linotype"/>
          <w:sz w:val="19"/>
        </w:rPr>
        <w:t>Energimedarbejder</w:t>
      </w:r>
    </w:p>
    <w:p>
      <w:pPr>
        <w:pStyle w:val="BodyText"/>
        <w:spacing w:before="4"/>
        <w:rPr>
          <w:rFonts w:ascii="Palatino Linotype"/>
          <w:sz w:val="20"/>
        </w:rPr>
      </w:pPr>
    </w:p>
    <w:p>
      <w:pPr>
        <w:pStyle w:val="BodyText"/>
        <w:spacing w:line="278" w:lineRule="auto"/>
        <w:ind w:left="2649" w:right="1260"/>
      </w:pPr>
      <w:r>
        <w:rPr/>
        <w:t>Ligeledes påpeges det, at de omkostninger, der vil være forbundet med at etab- lere målepunkter for energiforbrug på rumniveau, næppe vil kunne tjenes hjem via de energibesparelser, der eventuelt kan opnås på baggrund af disse data.</w:t>
      </w:r>
    </w:p>
    <w:p>
      <w:pPr>
        <w:pStyle w:val="BodyText"/>
        <w:spacing w:before="5"/>
        <w:rPr>
          <w:sz w:val="21"/>
        </w:rPr>
      </w:pPr>
    </w:p>
    <w:p>
      <w:pPr>
        <w:pStyle w:val="BodyText"/>
        <w:spacing w:line="278" w:lineRule="auto"/>
        <w:ind w:left="2649" w:right="1286"/>
      </w:pPr>
      <w:r>
        <w:rPr/>
        <w:t>Dette understøtter, at man skal kunne aggregere energidata og andre relevante data til et zoneniveau, hvis den skal være operationel og relevant at bruge for energimedarbejderne i praksis.</w:t>
      </w:r>
    </w:p>
    <w:p>
      <w:pPr>
        <w:pStyle w:val="BodyText"/>
        <w:spacing w:before="9"/>
        <w:rPr>
          <w:sz w:val="21"/>
        </w:rPr>
      </w:pPr>
    </w:p>
    <w:p>
      <w:pPr>
        <w:pStyle w:val="Heading3"/>
        <w:ind w:firstLine="0"/>
      </w:pPr>
      <w:r>
        <w:rPr/>
        <w:t>Identificering af anvendelser for steddatabasen</w:t>
      </w:r>
    </w:p>
    <w:p>
      <w:pPr>
        <w:pStyle w:val="BodyText"/>
        <w:spacing w:line="278" w:lineRule="auto" w:before="34"/>
        <w:ind w:left="2649" w:right="1037"/>
      </w:pPr>
      <w:r>
        <w:rPr/>
        <w:t>Ingen af de interviewede aktører udpegede spontant konkrete anvendelser, når de blev bedt dem om at reflektere over, hvad en national steddatabase ville kunne bruges til i forhold til energieffektivisering. Dette indikerer, at anvendelsespotenti- alet i forhold til energieffektivisering opleves som begrænset. Dette skal dog ses i lyset af, at det ofte er vanskeligt for potentielle brugere at forestille sig, hvordan helt nye – eller som i dette tilfælde endnu ikkeeksisterende løsninger – kan anven- des i praksis i fremtiden. Potentialet kan derfor på sigt vise sig at være større end antaget.</w:t>
      </w:r>
    </w:p>
    <w:p>
      <w:pPr>
        <w:pStyle w:val="BodyText"/>
        <w:spacing w:before="9"/>
        <w:rPr>
          <w:sz w:val="21"/>
        </w:rPr>
      </w:pPr>
    </w:p>
    <w:p>
      <w:pPr>
        <w:pStyle w:val="BodyText"/>
        <w:spacing w:line="278" w:lineRule="auto" w:before="1"/>
        <w:ind w:left="2649" w:right="1058"/>
      </w:pPr>
      <w:r>
        <w:rPr/>
        <w:t>For at indkredse anvendelsesmuligheder og potentialer for steddatabasen, præ- senterede NIRAS under interviewene en række forslag til mulige anvendelser, som interviewpersonerne blev bedt om at forholde sig til og vurdere. Resultatet af denne dialog viser, at aktørerne vurderer, at de største potentialer for steddataba- sens mulighed for at understøtte energieffektivisering, knytter sig til produktion af stedfæstede aktivitetsdata og visualisering af stedfæstede driftsdata. Derudover vurderer aktørerne, at steddatabasen kan have en positiv, understøttende effekt på offentlige ejendomsorganisationernes mulighed for at arbejde databaseret og omkostningseffektivt med energieffektivisering, hvis den gør det muligt at sam-</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305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28"/>
        <w:rPr>
          <w:sz w:val="11"/>
        </w:rPr>
      </w:pPr>
      <w:r>
        <w:rPr/>
        <w:t>menkoble og analysere data fra adskilte datasiloer (fx energistyrings-, FM-, og lo- kalebookingsystemer), fastsætte fælles standarder for dataformater og udvikle fælles omkostningseffektive systemløsninger.</w:t>
      </w:r>
      <w:r>
        <w:rPr>
          <w:position w:val="6"/>
          <w:sz w:val="11"/>
        </w:rPr>
        <w:t>36</w:t>
      </w:r>
    </w:p>
    <w:p>
      <w:pPr>
        <w:pStyle w:val="BodyText"/>
        <w:spacing w:before="8"/>
        <w:rPr>
          <w:sz w:val="21"/>
        </w:rPr>
      </w:pPr>
    </w:p>
    <w:p>
      <w:pPr>
        <w:pStyle w:val="Heading3"/>
        <w:ind w:firstLine="0"/>
      </w:pPr>
      <w:r>
        <w:rPr/>
        <w:t>Produktion af stedfæstede aktivitetsdata</w:t>
      </w:r>
    </w:p>
    <w:p>
      <w:pPr>
        <w:pStyle w:val="BodyText"/>
        <w:spacing w:line="278" w:lineRule="auto" w:before="35"/>
        <w:ind w:left="2649" w:right="1033"/>
      </w:pPr>
      <w:r>
        <w:rPr/>
        <w:t>Ved at muliggøre præcis lokalisering og samkøring af data fra fx fra sensorer (PIR, temperatur, CO2 m.v.), Wi-Fi og alarm-, låse- og bookingsystemer kan steddata- basen skabe grundlag for produktion af stedfæstede aktivitetsdata. Ejendomsorga- nisationerne efterspørger aktivitetsdata om den løbende anvendelse og personbe- lastning af bygninger og rum. Disse data vil give et stærkt forbedret beslutnings- grundlag for arealoptimering og øgede muligheder for behovsstyring af installatio- ner og forbrug.</w:t>
      </w:r>
    </w:p>
    <w:p>
      <w:pPr>
        <w:pStyle w:val="BodyText"/>
        <w:spacing w:before="9"/>
        <w:rPr>
          <w:sz w:val="18"/>
        </w:rPr>
      </w:pPr>
    </w:p>
    <w:p>
      <w:pPr>
        <w:spacing w:before="1"/>
        <w:ind w:left="3045" w:right="1353" w:firstLine="0"/>
        <w:jc w:val="left"/>
        <w:rPr>
          <w:rFonts w:ascii="Palatino Linotype" w:hAnsi="Palatino Linotype"/>
          <w:i/>
          <w:sz w:val="19"/>
        </w:rPr>
      </w:pPr>
      <w:r>
        <w:rPr>
          <w:rFonts w:ascii="Palatino Linotype" w:hAnsi="Palatino Linotype"/>
          <w:i/>
          <w:sz w:val="19"/>
        </w:rPr>
        <w:t>Der er fokus på […] at få et overblik over, hvem der bruger de forskellige lokaler </w:t>
      </w:r>
      <w:r>
        <w:rPr>
          <w:rFonts w:ascii="Palatino Linotype" w:hAnsi="Palatino Linotype"/>
          <w:i/>
          <w:sz w:val="19"/>
        </w:rPr>
        <w:t>hvornår og hvornår er der noget ledigt, det ville man kunne få gavn af i vores kom- mune. Det er helt sikkert. Hvis man kan få udnyttet lokalerne kan man måske re- ducere kommunens kvadratmeter med 5-10.000, og det er jo også en energibespa- relse.</w:t>
      </w:r>
    </w:p>
    <w:p>
      <w:pPr>
        <w:spacing w:before="0"/>
        <w:ind w:left="3045" w:right="0" w:firstLine="0"/>
        <w:jc w:val="left"/>
        <w:rPr>
          <w:rFonts w:ascii="Palatino Linotype"/>
          <w:sz w:val="19"/>
        </w:rPr>
      </w:pPr>
      <w:r>
        <w:rPr>
          <w:rFonts w:ascii="Palatino Linotype"/>
          <w:sz w:val="19"/>
        </w:rPr>
        <w:t>Driftsleder</w:t>
      </w:r>
    </w:p>
    <w:p>
      <w:pPr>
        <w:pStyle w:val="BodyText"/>
        <w:spacing w:before="10"/>
        <w:rPr>
          <w:rFonts w:ascii="Palatino Linotype"/>
        </w:rPr>
      </w:pPr>
    </w:p>
    <w:p>
      <w:pPr>
        <w:spacing w:before="1"/>
        <w:ind w:left="3045" w:right="0" w:firstLine="0"/>
        <w:jc w:val="left"/>
        <w:rPr>
          <w:rFonts w:ascii="Palatino Linotype" w:hAnsi="Palatino Linotype"/>
          <w:i/>
          <w:sz w:val="19"/>
        </w:rPr>
      </w:pPr>
      <w:r>
        <w:rPr>
          <w:rFonts w:ascii="Palatino Linotype" w:hAnsi="Palatino Linotype"/>
          <w:i/>
          <w:sz w:val="19"/>
        </w:rPr>
        <w:t>Interviewer: ”Ville brugsdata være værdifuldt?”</w:t>
      </w:r>
    </w:p>
    <w:p>
      <w:pPr>
        <w:spacing w:before="0"/>
        <w:ind w:left="3045" w:right="1437" w:firstLine="0"/>
        <w:jc w:val="left"/>
        <w:rPr>
          <w:rFonts w:ascii="Palatino Linotype" w:hAnsi="Palatino Linotype"/>
          <w:i/>
          <w:sz w:val="19"/>
        </w:rPr>
      </w:pPr>
      <w:r>
        <w:rPr>
          <w:rFonts w:ascii="Palatino Linotype" w:hAnsi="Palatino Linotype"/>
          <w:i/>
          <w:sz w:val="19"/>
        </w:rPr>
        <w:t>Interviewperson: ”Helt klart, i forhold til ‘multifunktionelle km2-projektet’. Ja, kan </w:t>
      </w:r>
      <w:r>
        <w:rPr>
          <w:rFonts w:ascii="Palatino Linotype" w:hAnsi="Palatino Linotype"/>
          <w:i/>
          <w:sz w:val="19"/>
        </w:rPr>
        <w:t>vi flytte rundt på nogle mennesker, så vi kun skal varme nogle dele af bygnin- gerne.”</w:t>
      </w:r>
    </w:p>
    <w:p>
      <w:pPr>
        <w:spacing w:line="255" w:lineRule="exact" w:before="0"/>
        <w:ind w:left="3045" w:right="0" w:firstLine="0"/>
        <w:jc w:val="left"/>
        <w:rPr>
          <w:rFonts w:ascii="Palatino Linotype"/>
          <w:sz w:val="19"/>
        </w:rPr>
      </w:pPr>
      <w:r>
        <w:rPr>
          <w:rFonts w:ascii="Palatino Linotype"/>
          <w:sz w:val="19"/>
        </w:rPr>
        <w:t>Ejendoms- og energimedarbejder</w:t>
      </w:r>
    </w:p>
    <w:p>
      <w:pPr>
        <w:pStyle w:val="BodyText"/>
        <w:spacing w:before="11"/>
        <w:rPr>
          <w:rFonts w:ascii="Palatino Linotype"/>
        </w:rPr>
      </w:pPr>
    </w:p>
    <w:p>
      <w:pPr>
        <w:spacing w:before="1"/>
        <w:ind w:left="3045" w:right="1736" w:firstLine="0"/>
        <w:jc w:val="left"/>
        <w:rPr>
          <w:rFonts w:ascii="Palatino Linotype" w:hAnsi="Palatino Linotype"/>
          <w:sz w:val="19"/>
        </w:rPr>
      </w:pPr>
      <w:r>
        <w:rPr>
          <w:rFonts w:ascii="Palatino Linotype" w:hAnsi="Palatino Linotype"/>
          <w:i/>
          <w:sz w:val="19"/>
        </w:rPr>
        <w:t>Hvis man kan finde ud af: hvor mange mennesker, kommer der ind, og skabe en </w:t>
      </w:r>
      <w:r>
        <w:rPr>
          <w:rFonts w:ascii="Palatino Linotype" w:hAnsi="Palatino Linotype"/>
          <w:i/>
          <w:sz w:val="19"/>
        </w:rPr>
        <w:t>sammenhæng imellem det, så er det en måde at styre på […] Så man sikrer det bedst mulige indeklima til lavest mulige omkostning. Adfærd og data-kobling. </w:t>
      </w:r>
      <w:r>
        <w:rPr>
          <w:rFonts w:ascii="Palatino Linotype" w:hAnsi="Palatino Linotype"/>
          <w:sz w:val="19"/>
        </w:rPr>
        <w:t>Ejendoms- og energikonsulent</w:t>
      </w:r>
    </w:p>
    <w:p>
      <w:pPr>
        <w:pStyle w:val="BodyText"/>
        <w:spacing w:before="10"/>
        <w:rPr>
          <w:rFonts w:ascii="Palatino Linotype"/>
        </w:rPr>
      </w:pPr>
    </w:p>
    <w:p>
      <w:pPr>
        <w:spacing w:before="0"/>
        <w:ind w:left="3045" w:right="0" w:firstLine="0"/>
        <w:jc w:val="left"/>
        <w:rPr>
          <w:rFonts w:ascii="Palatino Linotype" w:hAnsi="Palatino Linotype"/>
          <w:i/>
          <w:sz w:val="19"/>
        </w:rPr>
      </w:pPr>
      <w:r>
        <w:rPr>
          <w:rFonts w:ascii="Palatino Linotype" w:hAnsi="Palatino Linotype"/>
          <w:i/>
          <w:sz w:val="19"/>
        </w:rPr>
        <w:t>Det giver stor værdi, [hvis det] kobles sammen med indretning og arealoptimering</w:t>
      </w:r>
    </w:p>
    <w:p>
      <w:pPr>
        <w:spacing w:before="0"/>
        <w:ind w:left="3045" w:right="0" w:firstLine="0"/>
        <w:jc w:val="left"/>
        <w:rPr>
          <w:rFonts w:ascii="Palatino Linotype"/>
          <w:sz w:val="19"/>
        </w:rPr>
      </w:pPr>
      <w:r>
        <w:rPr>
          <w:rFonts w:ascii="Palatino Linotype"/>
          <w:sz w:val="19"/>
        </w:rPr>
        <w:t>Ejendoms- og energimedarbejder</w:t>
      </w:r>
    </w:p>
    <w:p>
      <w:pPr>
        <w:pStyle w:val="BodyText"/>
        <w:rPr>
          <w:rFonts w:ascii="Palatino Linotype"/>
          <w:sz w:val="22"/>
        </w:rPr>
      </w:pPr>
    </w:p>
    <w:p>
      <w:pPr>
        <w:spacing w:before="0"/>
        <w:ind w:left="2649" w:right="0" w:firstLine="0"/>
        <w:jc w:val="left"/>
        <w:rPr>
          <w:b/>
          <w:sz w:val="20"/>
        </w:rPr>
      </w:pPr>
      <w:r>
        <w:rPr>
          <w:b/>
          <w:sz w:val="20"/>
        </w:rPr>
        <w:t>Visualisering af stedfæstede driftsdata</w:t>
      </w:r>
    </w:p>
    <w:p>
      <w:pPr>
        <w:pStyle w:val="BodyText"/>
        <w:spacing w:line="278" w:lineRule="auto" w:before="34"/>
        <w:ind w:left="2649" w:right="1118"/>
      </w:pPr>
      <w:r>
        <w:rPr/>
        <w:t>Ved at stedfæste og visualisere driftsdata for bygninger og rum, kan steddataba- sen skabe et præcist overblik over driften. Flere af de interviewede aktører vurde- rer, at dette vil være værdifuldt, da et hyppigt opdateret, præcist overblik over energi- og driftsdata på bygnings-, zone- eller rumniveau vil give grundlag for driftsoptimering (fx via overvågning og planlagt vedligehold), energirenovering (screening og prioritering på tværs af porteføljen) samt effektiv service og hurti- gere fejlfinding. Samtidigt påpeges det, at visualiseringer gør det lettere at over- skue store datamængder, og at man ved hjælp af farvekodet overvågning let kan identificere bygninger og rum med for høje forbrugstal.</w:t>
      </w:r>
    </w:p>
    <w:p>
      <w:pPr>
        <w:pStyle w:val="BodyText"/>
        <w:spacing w:before="11"/>
        <w:rPr>
          <w:sz w:val="18"/>
        </w:rPr>
      </w:pPr>
    </w:p>
    <w:p>
      <w:pPr>
        <w:spacing w:before="0"/>
        <w:ind w:left="3045" w:right="1675" w:firstLine="0"/>
        <w:jc w:val="left"/>
        <w:rPr>
          <w:rFonts w:ascii="Palatino Linotype" w:hAnsi="Palatino Linotype"/>
          <w:i/>
          <w:sz w:val="19"/>
        </w:rPr>
      </w:pPr>
      <w:r>
        <w:rPr>
          <w:rFonts w:ascii="Palatino Linotype" w:hAnsi="Palatino Linotype"/>
          <w:i/>
          <w:sz w:val="19"/>
        </w:rPr>
        <w:t>Det er meget nemmere for mig at se det her, end en masse tabeller. Og så kunne </w:t>
      </w:r>
      <w:r>
        <w:rPr>
          <w:rFonts w:ascii="Palatino Linotype" w:hAnsi="Palatino Linotype"/>
          <w:i/>
          <w:sz w:val="19"/>
        </w:rPr>
        <w:t>den vise hvis der er højt energiforbrug, så er den rød eller gul, det kan jeg forstå</w:t>
      </w:r>
    </w:p>
    <w:p>
      <w:pPr>
        <w:pStyle w:val="BodyText"/>
        <w:rPr>
          <w:rFonts w:ascii="Palatino Linotype"/>
          <w:i/>
          <w:sz w:val="20"/>
        </w:rPr>
      </w:pPr>
    </w:p>
    <w:p>
      <w:pPr>
        <w:pStyle w:val="BodyText"/>
        <w:spacing w:before="2"/>
        <w:rPr>
          <w:rFonts w:ascii="Palatino Linotype"/>
          <w:i/>
          <w:sz w:val="27"/>
        </w:rPr>
      </w:pPr>
      <w:r>
        <w:rPr/>
        <w:pict>
          <v:line style="position:absolute;mso-position-horizontal-relative:page;mso-position-vertical-relative:paragraph;z-index:7544;mso-wrap-distance-left:0;mso-wrap-distance-right:0" from="181.490005pt,20.538509pt" to="325.510005pt,20.538509pt" stroked="true" strokeweight=".47998pt" strokecolor="#000000">
            <v:stroke dashstyle="solid"/>
            <w10:wrap type="topAndBottom"/>
          </v:line>
        </w:pict>
      </w:r>
    </w:p>
    <w:p>
      <w:pPr>
        <w:pStyle w:val="BodyText"/>
        <w:spacing w:before="8"/>
        <w:rPr>
          <w:rFonts w:ascii="Palatino Linotype"/>
          <w:i/>
          <w:sz w:val="15"/>
        </w:rPr>
      </w:pPr>
    </w:p>
    <w:p>
      <w:pPr>
        <w:spacing w:before="102"/>
        <w:ind w:left="2649" w:right="1044" w:firstLine="0"/>
        <w:jc w:val="left"/>
        <w:rPr>
          <w:sz w:val="14"/>
        </w:rPr>
      </w:pPr>
      <w:r>
        <w:rPr>
          <w:position w:val="5"/>
          <w:sz w:val="9"/>
        </w:rPr>
        <w:t>36 </w:t>
      </w:r>
      <w:r>
        <w:rPr>
          <w:sz w:val="14"/>
        </w:rPr>
        <w:t>Fælles for flere af de beskrevne anvendelsespotentialer er, at de allerede i dag kan realiseres af ambitiøse ejendomsorganisationer – helt uden en fælles, national løsning. Men tilgængeligheden af en national steddatabase formodes at ville understøtte </w:t>
      </w:r>
      <w:r>
        <w:rPr>
          <w:i/>
          <w:sz w:val="14"/>
        </w:rPr>
        <w:t>flere </w:t>
      </w:r>
      <w:r>
        <w:rPr>
          <w:sz w:val="14"/>
        </w:rPr>
        <w:t>ejendomsorganisationer i at realisere de beskrevne muligheder.</w:t>
      </w:r>
    </w:p>
    <w:p>
      <w:pPr>
        <w:spacing w:after="0"/>
        <w:jc w:val="left"/>
        <w:rPr>
          <w:sz w:val="14"/>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96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5"/>
        </w:rPr>
      </w:pPr>
    </w:p>
    <w:p>
      <w:pPr>
        <w:spacing w:before="39"/>
        <w:ind w:left="3045" w:right="0" w:firstLine="0"/>
        <w:jc w:val="left"/>
        <w:rPr>
          <w:rFonts w:ascii="Palatino Linotype" w:hAnsi="Palatino Linotype"/>
          <w:i/>
          <w:sz w:val="19"/>
        </w:rPr>
      </w:pPr>
      <w:r>
        <w:rPr>
          <w:rFonts w:ascii="Palatino Linotype" w:hAnsi="Palatino Linotype"/>
          <w:i/>
          <w:sz w:val="19"/>
        </w:rPr>
        <w:t>[…] men også til at styre efter.</w:t>
      </w:r>
    </w:p>
    <w:p>
      <w:pPr>
        <w:spacing w:before="1"/>
        <w:ind w:left="3045" w:right="0" w:firstLine="0"/>
        <w:jc w:val="left"/>
        <w:rPr>
          <w:rFonts w:ascii="Palatino Linotype"/>
          <w:sz w:val="19"/>
        </w:rPr>
      </w:pPr>
      <w:r>
        <w:rPr>
          <w:rFonts w:ascii="Palatino Linotype"/>
          <w:sz w:val="19"/>
        </w:rPr>
        <w:t>IT- og datamedarbejder</w:t>
      </w:r>
    </w:p>
    <w:p>
      <w:pPr>
        <w:pStyle w:val="BodyText"/>
        <w:spacing w:before="8"/>
        <w:rPr>
          <w:rFonts w:ascii="Palatino Linotype"/>
        </w:rPr>
      </w:pPr>
    </w:p>
    <w:p>
      <w:pPr>
        <w:spacing w:before="0"/>
        <w:ind w:left="3045" w:right="1444" w:firstLine="0"/>
        <w:jc w:val="both"/>
        <w:rPr>
          <w:rFonts w:ascii="Palatino Linotype" w:hAnsi="Palatino Linotype"/>
          <w:i/>
          <w:sz w:val="19"/>
        </w:rPr>
      </w:pPr>
      <w:r>
        <w:rPr>
          <w:rFonts w:ascii="Palatino Linotype" w:hAnsi="Palatino Linotype"/>
          <w:i/>
          <w:sz w:val="19"/>
        </w:rPr>
        <w:t>Jeg ville kunne forudsige problemer, inden det går galt. Har jeg bygningen delt op</w:t>
      </w:r>
      <w:r>
        <w:rPr>
          <w:rFonts w:ascii="Palatino Linotype" w:hAnsi="Palatino Linotype"/>
          <w:i/>
          <w:spacing w:val="-34"/>
          <w:sz w:val="19"/>
        </w:rPr>
        <w:t> </w:t>
      </w:r>
      <w:r>
        <w:rPr>
          <w:rFonts w:ascii="Palatino Linotype" w:hAnsi="Palatino Linotype"/>
          <w:i/>
          <w:sz w:val="19"/>
        </w:rPr>
        <w:t>i </w:t>
      </w:r>
      <w:r>
        <w:rPr>
          <w:rFonts w:ascii="Palatino Linotype" w:hAnsi="Palatino Linotype"/>
          <w:i/>
          <w:sz w:val="19"/>
        </w:rPr>
        <w:t>zoner, der ville jeg sige at hele 1. sal i bygningen, der er ikke noget flow. Der er no- get</w:t>
      </w:r>
      <w:r>
        <w:rPr>
          <w:rFonts w:ascii="Palatino Linotype" w:hAnsi="Palatino Linotype"/>
          <w:i/>
          <w:spacing w:val="-2"/>
          <w:sz w:val="19"/>
        </w:rPr>
        <w:t> </w:t>
      </w:r>
      <w:r>
        <w:rPr>
          <w:rFonts w:ascii="Palatino Linotype" w:hAnsi="Palatino Linotype"/>
          <w:i/>
          <w:sz w:val="19"/>
        </w:rPr>
        <w:t>galt.</w:t>
      </w:r>
    </w:p>
    <w:p>
      <w:pPr>
        <w:spacing w:before="2"/>
        <w:ind w:left="3045" w:right="0" w:firstLine="0"/>
        <w:jc w:val="left"/>
        <w:rPr>
          <w:rFonts w:ascii="Palatino Linotype"/>
          <w:sz w:val="19"/>
        </w:rPr>
      </w:pPr>
      <w:r>
        <w:rPr>
          <w:rFonts w:ascii="Palatino Linotype"/>
          <w:sz w:val="19"/>
        </w:rPr>
        <w:t>Energimedarbejder</w:t>
      </w:r>
    </w:p>
    <w:p>
      <w:pPr>
        <w:pStyle w:val="BodyText"/>
        <w:spacing w:before="13"/>
        <w:rPr>
          <w:rFonts w:ascii="Palatino Linotype"/>
          <w:sz w:val="21"/>
        </w:rPr>
      </w:pPr>
    </w:p>
    <w:p>
      <w:pPr>
        <w:pStyle w:val="BodyText"/>
        <w:spacing w:line="278" w:lineRule="auto"/>
        <w:ind w:left="2649" w:right="1100"/>
      </w:pPr>
      <w:r>
        <w:rPr>
          <w:b/>
          <w:sz w:val="20"/>
        </w:rPr>
        <w:t>Understøttelse af databaseret drift og energiledelse </w:t>
      </w:r>
      <w:r>
        <w:rPr/>
        <w:t>Interviewresultaterne indikerer, at en national steddatabase kan have en positiv afsmittende effekt på offentlige ejendomsorganisationers mulighed for at arbejde omkostningseffektivt og databaseret med energieffektivisering. Dels ved at mulig- gøre sammenkobling af data fra forskellige systemer, og dels via fastsættelse af fælles standarder for og krav til data.</w:t>
      </w:r>
    </w:p>
    <w:p>
      <w:pPr>
        <w:pStyle w:val="BodyText"/>
        <w:spacing w:before="8"/>
        <w:rPr>
          <w:sz w:val="22"/>
        </w:rPr>
      </w:pPr>
    </w:p>
    <w:p>
      <w:pPr>
        <w:spacing w:before="0"/>
        <w:ind w:left="2649" w:right="0" w:firstLine="0"/>
        <w:jc w:val="left"/>
        <w:rPr>
          <w:i/>
          <w:sz w:val="17"/>
        </w:rPr>
      </w:pPr>
      <w:r>
        <w:rPr>
          <w:i/>
          <w:sz w:val="17"/>
        </w:rPr>
        <w:t>Sammenkobling og analyse af data</w:t>
      </w:r>
    </w:p>
    <w:p>
      <w:pPr>
        <w:pStyle w:val="BodyText"/>
        <w:spacing w:line="278" w:lineRule="auto" w:before="34"/>
        <w:ind w:left="2649" w:right="1056"/>
      </w:pPr>
      <w:r>
        <w:rPr/>
        <w:t>I det omfang, at steddatabasen kan bruges til at sammenkoble og analysere data fra forskellige systemer og </w:t>
      </w:r>
      <w:r>
        <w:rPr>
          <w:i/>
        </w:rPr>
        <w:t>datasiloer </w:t>
      </w:r>
      <w:r>
        <w:rPr/>
        <w:t>(fx data fra CTS-, forsynings-, FM-, lokale- bookings- og alarmsystemer) vil det have værdi for driften. Det vil gøre det muligt at aktivere data, der p.t. ikke anvendes til energieffektivisering (fx lokalebookin- ger) og skabe et bedre tværgående overblik, og dermed gøre det muligt at udpege områder med potentielle energibesparelser og gennemføre driftsoptimeringer.</w:t>
      </w:r>
    </w:p>
    <w:p>
      <w:pPr>
        <w:pStyle w:val="BodyText"/>
        <w:spacing w:before="11"/>
        <w:rPr>
          <w:sz w:val="18"/>
        </w:rPr>
      </w:pPr>
    </w:p>
    <w:p>
      <w:pPr>
        <w:spacing w:before="0"/>
        <w:ind w:left="3045" w:right="1468" w:firstLine="0"/>
        <w:jc w:val="left"/>
        <w:rPr>
          <w:rFonts w:ascii="Palatino Linotype" w:hAnsi="Palatino Linotype"/>
          <w:i/>
          <w:sz w:val="19"/>
        </w:rPr>
      </w:pPr>
      <w:r>
        <w:rPr>
          <w:rFonts w:ascii="Palatino Linotype" w:hAnsi="Palatino Linotype"/>
          <w:i/>
          <w:sz w:val="19"/>
        </w:rPr>
        <w:t>Der kommer flere og flere data, men de ligger i forskellige siloer. Så hvordan kan vi </w:t>
      </w:r>
      <w:r>
        <w:rPr>
          <w:rFonts w:ascii="Palatino Linotype" w:hAnsi="Palatino Linotype"/>
          <w:i/>
          <w:sz w:val="19"/>
        </w:rPr>
        <w:t>kombinere det og bruge det til rationelle beslutninger?</w:t>
      </w:r>
    </w:p>
    <w:p>
      <w:pPr>
        <w:spacing w:line="255" w:lineRule="exact" w:before="0"/>
        <w:ind w:left="3045" w:right="0" w:firstLine="0"/>
        <w:jc w:val="left"/>
        <w:rPr>
          <w:rFonts w:ascii="Palatino Linotype"/>
          <w:sz w:val="19"/>
        </w:rPr>
      </w:pPr>
      <w:r>
        <w:rPr>
          <w:rFonts w:ascii="Palatino Linotype"/>
          <w:sz w:val="19"/>
        </w:rPr>
        <w:t>Ejendoms- og energimedarbejder</w:t>
      </w:r>
    </w:p>
    <w:p>
      <w:pPr>
        <w:pStyle w:val="BodyText"/>
        <w:spacing w:before="11"/>
        <w:rPr>
          <w:rFonts w:ascii="Palatino Linotype"/>
        </w:rPr>
      </w:pPr>
    </w:p>
    <w:p>
      <w:pPr>
        <w:spacing w:before="0"/>
        <w:ind w:left="3045" w:right="1625" w:firstLine="0"/>
        <w:jc w:val="left"/>
        <w:rPr>
          <w:rFonts w:ascii="Palatino Linotype" w:hAnsi="Palatino Linotype"/>
          <w:sz w:val="19"/>
        </w:rPr>
      </w:pPr>
      <w:r>
        <w:rPr>
          <w:rFonts w:ascii="Palatino Linotype" w:hAnsi="Palatino Linotype"/>
          <w:i/>
          <w:sz w:val="19"/>
        </w:rPr>
        <w:t>Men [man skal] ikke kun se det som energidata, det kan gå på tværs: FM-data og </w:t>
      </w:r>
      <w:r>
        <w:rPr>
          <w:rFonts w:ascii="Palatino Linotype" w:hAnsi="Palatino Linotype"/>
          <w:i/>
          <w:sz w:val="19"/>
        </w:rPr>
        <w:t>rengøringsdamen kan se, hvor der er gjort rent – så man samler alle de her ting. </w:t>
      </w:r>
      <w:r>
        <w:rPr>
          <w:rFonts w:ascii="Palatino Linotype" w:hAnsi="Palatino Linotype"/>
          <w:sz w:val="19"/>
        </w:rPr>
        <w:t>IT- og datamedarbejder</w:t>
      </w:r>
    </w:p>
    <w:p>
      <w:pPr>
        <w:pStyle w:val="BodyText"/>
        <w:spacing w:before="3"/>
        <w:rPr>
          <w:rFonts w:ascii="Palatino Linotype"/>
          <w:sz w:val="23"/>
        </w:rPr>
      </w:pPr>
    </w:p>
    <w:p>
      <w:pPr>
        <w:spacing w:before="0"/>
        <w:ind w:left="2649" w:right="0" w:firstLine="0"/>
        <w:jc w:val="left"/>
        <w:rPr>
          <w:i/>
          <w:sz w:val="17"/>
        </w:rPr>
      </w:pPr>
      <w:r>
        <w:rPr>
          <w:i/>
          <w:sz w:val="17"/>
        </w:rPr>
        <w:t>Fælles standarder og stordriftsfordele</w:t>
      </w:r>
    </w:p>
    <w:p>
      <w:pPr>
        <w:pStyle w:val="BodyText"/>
        <w:spacing w:line="278" w:lineRule="auto" w:before="34"/>
        <w:ind w:left="2649" w:right="1056"/>
      </w:pPr>
      <w:r>
        <w:rPr/>
        <w:t>Steddatabasen vil kræve, at der udvikles og fastlægges fælles sprog og mini- mumsstandarder for dataformater m.v., hvilket vil gøre det lettere for ejendoms- organisationerne at udarbejde præcise kravspecifikationer og give dem større flek- sibilitet ved valg og skift af systemer, leverandører m.v. Samtidigt forventes det, at steddatasen vil understøtte udviklingen af fælles, omkostningseffektive syste- mer og løsninger, og dermed give mulighed for stordriftsfordele.</w:t>
      </w:r>
    </w:p>
    <w:p>
      <w:pPr>
        <w:pStyle w:val="BodyText"/>
        <w:spacing w:before="9"/>
        <w:rPr>
          <w:sz w:val="18"/>
        </w:rPr>
      </w:pPr>
    </w:p>
    <w:p>
      <w:pPr>
        <w:spacing w:before="0"/>
        <w:ind w:left="3045" w:right="1492" w:firstLine="0"/>
        <w:jc w:val="left"/>
        <w:rPr>
          <w:rFonts w:ascii="Palatino Linotype" w:hAnsi="Palatino Linotype"/>
          <w:i/>
          <w:sz w:val="19"/>
        </w:rPr>
      </w:pPr>
      <w:r>
        <w:rPr>
          <w:rFonts w:ascii="Palatino Linotype" w:hAnsi="Palatino Linotype"/>
          <w:i/>
          <w:sz w:val="19"/>
        </w:rPr>
        <w:t>Det med en fast standard, at man ikke kommer i lukkede protokoller og lukkede sy- </w:t>
      </w:r>
      <w:r>
        <w:rPr>
          <w:rFonts w:ascii="Palatino Linotype" w:hAnsi="Palatino Linotype"/>
          <w:i/>
          <w:sz w:val="19"/>
        </w:rPr>
        <w:t>stemer. Så kan man udbyde det i konkurrence, så man ikke blive låst af forskellige udbyderes systemer. Det er vi lidt ift. CTS og sådan noget. Man kan ikke bare ringe til nabo CTS systemet og bede dem reparere fejlen, så vil de skifte over til de- res system. Det er svært at have ordentligt konkurrenceniveau på de ting, også ift. service.</w:t>
      </w:r>
    </w:p>
    <w:p>
      <w:pPr>
        <w:spacing w:before="1"/>
        <w:ind w:left="3045" w:right="0" w:firstLine="0"/>
        <w:jc w:val="left"/>
        <w:rPr>
          <w:rFonts w:ascii="Palatino Linotype"/>
          <w:sz w:val="19"/>
        </w:rPr>
      </w:pPr>
      <w:r>
        <w:rPr>
          <w:rFonts w:ascii="Palatino Linotype"/>
          <w:sz w:val="19"/>
        </w:rPr>
        <w:t>Driftsleder</w:t>
      </w:r>
    </w:p>
    <w:p>
      <w:pPr>
        <w:pStyle w:val="BodyText"/>
        <w:spacing w:before="11"/>
        <w:rPr>
          <w:rFonts w:ascii="Palatino Linotype"/>
        </w:rPr>
      </w:pPr>
    </w:p>
    <w:p>
      <w:pPr>
        <w:spacing w:before="0"/>
        <w:ind w:left="3045" w:right="1547" w:firstLine="0"/>
        <w:jc w:val="both"/>
        <w:rPr>
          <w:rFonts w:ascii="Palatino Linotype" w:hAnsi="Palatino Linotype"/>
          <w:i/>
          <w:sz w:val="19"/>
        </w:rPr>
      </w:pPr>
      <w:r>
        <w:rPr>
          <w:rFonts w:ascii="Palatino Linotype" w:hAnsi="Palatino Linotype"/>
          <w:i/>
          <w:sz w:val="19"/>
        </w:rPr>
        <w:t>Hvordan får man de data, hvad er de egentlig? Der er forskel på Excel-ark og pdf- </w:t>
      </w:r>
      <w:r>
        <w:rPr>
          <w:rFonts w:ascii="Palatino Linotype" w:hAnsi="Palatino Linotype"/>
          <w:i/>
          <w:sz w:val="19"/>
        </w:rPr>
        <w:t>filer. Og værdier, km2, længde, bredde, osv. Du skal have lavet nogle standardise- rede løsninger på tværs af landet for at få det til at lade sig gøre.</w:t>
      </w:r>
    </w:p>
    <w:p>
      <w:pPr>
        <w:spacing w:before="1"/>
        <w:ind w:left="3045" w:right="0" w:firstLine="0"/>
        <w:jc w:val="left"/>
        <w:rPr>
          <w:rFonts w:ascii="Palatino Linotype"/>
          <w:sz w:val="19"/>
        </w:rPr>
      </w:pPr>
      <w:r>
        <w:rPr>
          <w:rFonts w:ascii="Palatino Linotype"/>
          <w:sz w:val="19"/>
        </w:rPr>
        <w:t>Ejendoms- og energimedarbejder</w:t>
      </w:r>
    </w:p>
    <w:p>
      <w:pPr>
        <w:spacing w:after="0"/>
        <w:jc w:val="left"/>
        <w:rPr>
          <w:rFonts w:ascii="Palatino Linotype"/>
          <w:sz w:val="19"/>
        </w:rPr>
        <w:sectPr>
          <w:type w:val="continuous"/>
          <w:pgSz w:w="11910" w:h="16840"/>
          <w:pgMar w:top="1580" w:bottom="280" w:left="980" w:right="10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86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5"/>
        </w:rPr>
      </w:pPr>
    </w:p>
    <w:p>
      <w:pPr>
        <w:spacing w:before="39"/>
        <w:ind w:left="3045" w:right="0" w:firstLine="0"/>
        <w:jc w:val="left"/>
        <w:rPr>
          <w:rFonts w:ascii="Palatino Linotype" w:hAnsi="Palatino Linotype"/>
          <w:i/>
          <w:sz w:val="19"/>
        </w:rPr>
      </w:pPr>
      <w:r>
        <w:rPr>
          <w:rFonts w:ascii="Palatino Linotype" w:hAnsi="Palatino Linotype"/>
          <w:i/>
          <w:sz w:val="19"/>
        </w:rPr>
        <w:t>Det ville på sigt give anledning til stordriftsfordele hvis vi alle griber det an på</w:t>
      </w:r>
    </w:p>
    <w:p>
      <w:pPr>
        <w:spacing w:before="1"/>
        <w:ind w:left="3045" w:right="1353" w:firstLine="0"/>
        <w:jc w:val="left"/>
        <w:rPr>
          <w:rFonts w:ascii="Palatino Linotype" w:hAnsi="Palatino Linotype"/>
          <w:i/>
          <w:sz w:val="19"/>
        </w:rPr>
      </w:pPr>
      <w:r>
        <w:rPr>
          <w:rFonts w:ascii="Palatino Linotype" w:hAnsi="Palatino Linotype"/>
          <w:i/>
          <w:sz w:val="19"/>
        </w:rPr>
        <w:t>samme måde. […] et eller andet nationalt system er nødvendigt […] Så er det let- </w:t>
      </w:r>
      <w:r>
        <w:rPr>
          <w:rFonts w:ascii="Palatino Linotype" w:hAnsi="Palatino Linotype"/>
          <w:i/>
          <w:sz w:val="19"/>
        </w:rPr>
        <w:t>tere at få flere aktører [dvs. leverandører] ind. Af og til snøres sækken jo ellers [dvs. binding til en leverandør]. Det ville give rigtigt meget mening – også for markedet</w:t>
      </w:r>
    </w:p>
    <w:p>
      <w:pPr>
        <w:spacing w:line="255" w:lineRule="exact" w:before="0"/>
        <w:ind w:left="3045" w:right="0" w:firstLine="0"/>
        <w:jc w:val="left"/>
        <w:rPr>
          <w:rFonts w:ascii="Palatino Linotype" w:hAnsi="Palatino Linotype"/>
          <w:i/>
          <w:sz w:val="19"/>
        </w:rPr>
      </w:pPr>
      <w:r>
        <w:rPr>
          <w:rFonts w:ascii="Palatino Linotype" w:hAnsi="Palatino Linotype"/>
          <w:i/>
          <w:sz w:val="19"/>
        </w:rPr>
        <w:t>– de ser, det her er ikke Wild West.</w:t>
      </w:r>
    </w:p>
    <w:p>
      <w:pPr>
        <w:spacing w:before="0"/>
        <w:ind w:left="3045" w:right="0" w:firstLine="0"/>
        <w:jc w:val="left"/>
        <w:rPr>
          <w:rFonts w:ascii="Palatino Linotype"/>
          <w:sz w:val="19"/>
        </w:rPr>
      </w:pPr>
      <w:r>
        <w:rPr>
          <w:rFonts w:ascii="Palatino Linotype"/>
          <w:sz w:val="19"/>
        </w:rPr>
        <w:t>Chef</w:t>
      </w:r>
    </w:p>
    <w:p>
      <w:pPr>
        <w:pStyle w:val="BodyText"/>
        <w:spacing w:before="13"/>
        <w:rPr>
          <w:rFonts w:ascii="Palatino Linotype"/>
          <w:sz w:val="21"/>
        </w:rPr>
      </w:pPr>
    </w:p>
    <w:p>
      <w:pPr>
        <w:spacing w:before="0"/>
        <w:ind w:left="2649" w:right="0" w:firstLine="0"/>
        <w:jc w:val="left"/>
        <w:rPr>
          <w:b/>
          <w:sz w:val="20"/>
        </w:rPr>
      </w:pPr>
      <w:r>
        <w:rPr>
          <w:b/>
          <w:sz w:val="20"/>
        </w:rPr>
        <w:t>Supplerende anvendelsesmuligheder</w:t>
      </w:r>
    </w:p>
    <w:p>
      <w:pPr>
        <w:pStyle w:val="BodyText"/>
        <w:spacing w:line="278" w:lineRule="auto" w:before="34"/>
        <w:ind w:left="2649" w:right="1054"/>
      </w:pPr>
      <w:r>
        <w:rPr/>
        <w:t>Fælles for flere af de interviewede aktører var, at de undervejs i interviewet fore- slog forskellige supplerende anvendelser af steddatabasen udover energieffektivi- sering. De primære af disse drejede sig om rengøring, logistik og navigation, men også muligheden for at bruge steddatabasen til planlagt vedligehold (ved at koble stedfæstede data om installationers driftstider og forventede levetider), og forbed- rede beredskabsplaner blev fremlagt.</w:t>
      </w:r>
    </w:p>
    <w:p>
      <w:pPr>
        <w:pStyle w:val="BodyText"/>
        <w:spacing w:before="10"/>
        <w:rPr>
          <w:sz w:val="18"/>
        </w:rPr>
      </w:pPr>
    </w:p>
    <w:p>
      <w:pPr>
        <w:spacing w:before="0"/>
        <w:ind w:left="3045" w:right="1353" w:firstLine="0"/>
        <w:jc w:val="left"/>
        <w:rPr>
          <w:rFonts w:ascii="Palatino Linotype" w:hAnsi="Palatino Linotype"/>
          <w:i/>
          <w:sz w:val="19"/>
        </w:rPr>
      </w:pPr>
      <w:r>
        <w:rPr>
          <w:rFonts w:ascii="Palatino Linotype" w:hAnsi="Palatino Linotype"/>
          <w:i/>
          <w:sz w:val="19"/>
        </w:rPr>
        <w:t>Ift. rengøring, der kan man jo også se – hvis et lokale ikke er brugt, er der ingen </w:t>
      </w:r>
      <w:r>
        <w:rPr>
          <w:rFonts w:ascii="Palatino Linotype" w:hAnsi="Palatino Linotype"/>
          <w:i/>
          <w:sz w:val="19"/>
        </w:rPr>
        <w:t>grund til at gøre rent. Den vej rundt kunne man lave ressourcebesparelser. I sidste ende kan man sige, at vedligeholdelse kan jo godt styre lidt efter, hvor meget tin- gene bliver benyttet. Fx timetæller på nogle ting, det kunne overføres til bygnings- mæssige ting, nu har det lokale været brugt så meget så skal det lysstofrør skiftes. Planlagt vedligehold ud fra hvor meget det bliver brugt. Det kan man få via pir- følere, via alarmsystemer.</w:t>
      </w:r>
    </w:p>
    <w:p>
      <w:pPr>
        <w:spacing w:before="1"/>
        <w:ind w:left="3045" w:right="0" w:firstLine="0"/>
        <w:jc w:val="left"/>
        <w:rPr>
          <w:rFonts w:ascii="Palatino Linotype"/>
          <w:sz w:val="19"/>
        </w:rPr>
      </w:pPr>
      <w:r>
        <w:rPr>
          <w:rFonts w:ascii="Palatino Linotype"/>
          <w:sz w:val="19"/>
        </w:rPr>
        <w:t>Driftsleder</w:t>
      </w:r>
    </w:p>
    <w:p>
      <w:pPr>
        <w:pStyle w:val="BodyText"/>
        <w:spacing w:before="9"/>
        <w:rPr>
          <w:rFonts w:ascii="Palatino Linotype"/>
        </w:rPr>
      </w:pPr>
    </w:p>
    <w:p>
      <w:pPr>
        <w:spacing w:before="0"/>
        <w:ind w:left="3045" w:right="1499" w:firstLine="0"/>
        <w:jc w:val="left"/>
        <w:rPr>
          <w:rFonts w:ascii="Palatino Linotype" w:hAnsi="Palatino Linotype"/>
          <w:i/>
          <w:sz w:val="19"/>
        </w:rPr>
      </w:pPr>
      <w:r>
        <w:rPr>
          <w:rFonts w:ascii="Palatino Linotype" w:hAnsi="Palatino Linotype"/>
          <w:i/>
          <w:sz w:val="19"/>
        </w:rPr>
        <w:t>Et nationalt ”indendørs adresseregister” med mapning til udendørs geografi giver </w:t>
      </w:r>
      <w:r>
        <w:rPr>
          <w:rFonts w:ascii="Palatino Linotype" w:hAnsi="Palatino Linotype"/>
          <w:i/>
          <w:sz w:val="19"/>
        </w:rPr>
        <w:t>sømløs ude/inde navigation via ”åbne” navigationsapplikationer.</w:t>
      </w:r>
    </w:p>
    <w:p>
      <w:pPr>
        <w:spacing w:before="1"/>
        <w:ind w:left="3045" w:right="0" w:firstLine="0"/>
        <w:jc w:val="left"/>
        <w:rPr>
          <w:rFonts w:ascii="Palatino Linotype"/>
          <w:sz w:val="19"/>
        </w:rPr>
      </w:pPr>
      <w:r>
        <w:rPr>
          <w:rFonts w:ascii="Palatino Linotype"/>
          <w:sz w:val="19"/>
        </w:rPr>
        <w:t>Workshopkommentar, projektleder, region</w:t>
      </w:r>
    </w:p>
    <w:p>
      <w:pPr>
        <w:pStyle w:val="BodyText"/>
        <w:spacing w:before="4"/>
        <w:rPr>
          <w:rFonts w:ascii="Palatino Linotype"/>
          <w:sz w:val="21"/>
        </w:rPr>
      </w:pPr>
    </w:p>
    <w:p>
      <w:pPr>
        <w:spacing w:before="0"/>
        <w:ind w:left="2649" w:right="0" w:firstLine="0"/>
        <w:jc w:val="left"/>
        <w:rPr>
          <w:b/>
          <w:sz w:val="24"/>
        </w:rPr>
      </w:pPr>
      <w:r>
        <w:rPr>
          <w:b/>
          <w:sz w:val="24"/>
        </w:rPr>
        <w:t>Steddatabasens relevans i forskellige bygningstyper</w:t>
      </w:r>
    </w:p>
    <w:p>
      <w:pPr>
        <w:pStyle w:val="BodyText"/>
        <w:spacing w:line="278" w:lineRule="auto" w:before="36"/>
        <w:ind w:left="2649" w:right="1087"/>
      </w:pPr>
      <w:r>
        <w:rPr/>
        <w:t>For at kunne kvalificere udarbejdelsen af </w:t>
      </w:r>
      <w:r>
        <w:rPr>
          <w:i/>
        </w:rPr>
        <w:t>use cases </w:t>
      </w:r>
      <w:r>
        <w:rPr/>
        <w:t>for fem forskellige bygningsty- per (Administration, Hospital, Skole, Institution og Multihaller) er der i interview med de offentlige ejendomsorganisationer blevet spurgt ind til steddatabasens re- levans og potentiale i forhold til forskellige bygninger. Dette har dog vist, at det snarere er bygningernes alder, stand og størrelse end deres anvendelse, der har betydning for, en indendørs steddatabases relevans og potentiale ift. at under- støtte energieffektivisering af den konkrete bygning.</w:t>
      </w:r>
    </w:p>
    <w:p>
      <w:pPr>
        <w:pStyle w:val="BodyText"/>
        <w:spacing w:before="6"/>
        <w:rPr>
          <w:sz w:val="21"/>
        </w:rPr>
      </w:pPr>
    </w:p>
    <w:p>
      <w:pPr>
        <w:pStyle w:val="BodyText"/>
        <w:spacing w:line="278" w:lineRule="auto"/>
        <w:ind w:left="2649" w:right="1030"/>
      </w:pPr>
      <w:r>
        <w:rPr/>
        <w:t>Generelt er det vanskeligt at udpege konkrete forskelle i anvendelse og relevans baseret på bygningstype. Det skyldes, at der ofte er lige så store interne forskelle i den enkelte bygningstype, som der er mellem de forskellige bygningstyper. Det påpeges dog, at steddatabasen kan understøtte centraliseret driftsstyring, hvilket især vil være en fordel i mindre bygninger uden servicefolk – som fx institutioner.</w:t>
      </w:r>
    </w:p>
    <w:p>
      <w:pPr>
        <w:pStyle w:val="BodyText"/>
        <w:spacing w:before="9"/>
        <w:rPr>
          <w:sz w:val="18"/>
        </w:rPr>
      </w:pPr>
    </w:p>
    <w:p>
      <w:pPr>
        <w:spacing w:before="0"/>
        <w:ind w:left="3045" w:right="1575" w:firstLine="0"/>
        <w:jc w:val="left"/>
        <w:rPr>
          <w:rFonts w:ascii="Palatino Linotype" w:hAnsi="Palatino Linotype"/>
          <w:sz w:val="19"/>
        </w:rPr>
      </w:pPr>
      <w:r>
        <w:rPr>
          <w:rFonts w:ascii="Palatino Linotype" w:hAnsi="Palatino Linotype"/>
          <w:i/>
          <w:sz w:val="19"/>
        </w:rPr>
        <w:t>De steder hvor flere har adgang og hvor der ikke er faste serviceledere og -pedeller </w:t>
      </w:r>
      <w:r>
        <w:rPr>
          <w:rFonts w:ascii="Palatino Linotype" w:hAnsi="Palatino Linotype"/>
          <w:i/>
          <w:sz w:val="19"/>
        </w:rPr>
        <w:t>kunne det være relevant. Der er udfordringerne større. Skoler har serviceledere. </w:t>
      </w:r>
      <w:r>
        <w:rPr>
          <w:rFonts w:ascii="Palatino Linotype" w:hAnsi="Palatino Linotype"/>
          <w:sz w:val="19"/>
        </w:rPr>
        <w:t>Driftsleder</w:t>
      </w:r>
    </w:p>
    <w:p>
      <w:pPr>
        <w:pStyle w:val="BodyText"/>
        <w:spacing w:before="5"/>
        <w:rPr>
          <w:rFonts w:ascii="Palatino Linotype"/>
          <w:sz w:val="20"/>
        </w:rPr>
      </w:pPr>
    </w:p>
    <w:p>
      <w:pPr>
        <w:pStyle w:val="BodyText"/>
        <w:spacing w:line="278" w:lineRule="auto"/>
        <w:ind w:left="2649" w:right="1105"/>
      </w:pPr>
      <w:r>
        <w:rPr/>
        <w:t>Men omvendt påpeges det også, at steddatabasen formentligt vil have størst rele- vans og potentiale i store komplekse bygningsmasser.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76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4"/>
        <w:rPr>
          <w:sz w:val="22"/>
        </w:rPr>
      </w:pPr>
    </w:p>
    <w:p>
      <w:pPr>
        <w:pStyle w:val="Heading2"/>
        <w:spacing w:line="261" w:lineRule="auto" w:before="100"/>
        <w:ind w:right="1295" w:firstLine="0"/>
      </w:pPr>
      <w:r>
        <w:rPr/>
        <w:t>Barrierer og udfordringer for en national steddata- base ift. energieffektivisering</w:t>
      </w:r>
    </w:p>
    <w:p>
      <w:pPr>
        <w:pStyle w:val="BodyText"/>
        <w:spacing w:line="278" w:lineRule="auto" w:before="13"/>
        <w:ind w:left="2649" w:right="1028"/>
      </w:pPr>
      <w:r>
        <w:rPr/>
        <w:t>De interviewede aktører har udpeget en række udfordringer og barrierer for reali- sering af en national steddatabase og dens mulighed for at understøtte energief- fektivisering. Disse forhold, der bør være opmærksomhedspunkter i den videre ud- viklingsproces, beskrives herunder.</w:t>
      </w:r>
    </w:p>
    <w:p>
      <w:pPr>
        <w:pStyle w:val="BodyText"/>
        <w:spacing w:before="8"/>
        <w:rPr>
          <w:sz w:val="21"/>
        </w:rPr>
      </w:pPr>
    </w:p>
    <w:p>
      <w:pPr>
        <w:pStyle w:val="Heading3"/>
        <w:spacing w:before="1"/>
        <w:ind w:firstLine="0"/>
      </w:pPr>
      <w:r>
        <w:rPr/>
        <w:t>Omkostninger og ressourcer</w:t>
      </w:r>
    </w:p>
    <w:p>
      <w:pPr>
        <w:pStyle w:val="BodyText"/>
        <w:spacing w:line="278" w:lineRule="auto" w:before="34"/>
        <w:ind w:left="2649" w:right="1051"/>
      </w:pPr>
      <w:r>
        <w:rPr/>
        <w:t>Flere af interviewpersonerne forventer, at etablering og vedligehold af en stedda- tabase vil være kræve betydelige ressourcer – både ift. at konvertere eksisterende bygningstegninger ind i steddatabasen og ift. at etablere den nødvendige målerin- frastruktur, det kræves at skabe brugbare data om energiforbrug og aktivitet i de enkelte rum, zoner og bygninger. Flere nævner, at det kræver en overbevisende business case, hvis beslutningstagerne i deres organisation skal overbevises om at investere i steddatabasen. Flere spørger ligeledes efter, hvem der skal afholdes omkostninger og timeforbruget til etablering og vedligehold af steddatabasen?</w:t>
      </w:r>
    </w:p>
    <w:p>
      <w:pPr>
        <w:pStyle w:val="BodyText"/>
        <w:spacing w:before="10"/>
        <w:rPr>
          <w:sz w:val="18"/>
        </w:rPr>
      </w:pPr>
    </w:p>
    <w:p>
      <w:pPr>
        <w:spacing w:before="0"/>
        <w:ind w:left="3045" w:right="1449" w:firstLine="0"/>
        <w:jc w:val="left"/>
        <w:rPr>
          <w:rFonts w:ascii="Palatino Linotype" w:hAnsi="Palatino Linotype"/>
          <w:i/>
          <w:sz w:val="19"/>
        </w:rPr>
      </w:pPr>
      <w:r>
        <w:rPr>
          <w:rFonts w:ascii="Palatino Linotype" w:hAnsi="Palatino Linotype"/>
          <w:i/>
          <w:sz w:val="19"/>
        </w:rPr>
        <w:t>At skaffe data, at få de her modeller, og at være sikker på at det er rigtigt. Og kan </w:t>
      </w:r>
      <w:r>
        <w:rPr>
          <w:rFonts w:ascii="Palatino Linotype" w:hAnsi="Palatino Linotype"/>
          <w:i/>
          <w:sz w:val="19"/>
        </w:rPr>
        <w:t>man stole på de tal man får ind. Det er et meget stort arbejde, dataindsamling er så svært.</w:t>
      </w:r>
    </w:p>
    <w:p>
      <w:pPr>
        <w:spacing w:line="255" w:lineRule="exact" w:before="0"/>
        <w:ind w:left="3045" w:right="0" w:firstLine="0"/>
        <w:jc w:val="left"/>
        <w:rPr>
          <w:rFonts w:ascii="Palatino Linotype"/>
          <w:sz w:val="19"/>
        </w:rPr>
      </w:pPr>
      <w:r>
        <w:rPr>
          <w:rFonts w:ascii="Palatino Linotype"/>
          <w:sz w:val="19"/>
        </w:rPr>
        <w:t>IT- og datamedarbejder</w:t>
      </w:r>
    </w:p>
    <w:p>
      <w:pPr>
        <w:pStyle w:val="BodyText"/>
        <w:spacing w:before="11"/>
        <w:rPr>
          <w:rFonts w:ascii="Palatino Linotype"/>
        </w:rPr>
      </w:pPr>
    </w:p>
    <w:p>
      <w:pPr>
        <w:spacing w:before="0"/>
        <w:ind w:left="3045" w:right="0" w:firstLine="0"/>
        <w:jc w:val="left"/>
        <w:rPr>
          <w:rFonts w:ascii="Palatino Linotype"/>
          <w:i/>
          <w:sz w:val="19"/>
        </w:rPr>
      </w:pPr>
      <w:r>
        <w:rPr>
          <w:rFonts w:ascii="Palatino Linotype"/>
          <w:i/>
          <w:sz w:val="19"/>
        </w:rPr>
        <w:t>Jeg tror ikke det er urealistisk, men der skal postes tid, energi og penge i det.</w:t>
      </w:r>
    </w:p>
    <w:p>
      <w:pPr>
        <w:spacing w:before="1"/>
        <w:ind w:left="3045" w:right="0" w:firstLine="0"/>
        <w:jc w:val="left"/>
        <w:rPr>
          <w:rFonts w:ascii="Palatino Linotype"/>
          <w:sz w:val="19"/>
        </w:rPr>
      </w:pPr>
      <w:r>
        <w:rPr>
          <w:rFonts w:ascii="Palatino Linotype"/>
          <w:sz w:val="19"/>
        </w:rPr>
        <w:t>Energi- og ejendomsmedarbejder</w:t>
      </w:r>
    </w:p>
    <w:p>
      <w:pPr>
        <w:pStyle w:val="BodyText"/>
        <w:spacing w:before="11"/>
        <w:rPr>
          <w:rFonts w:ascii="Palatino Linotype"/>
        </w:rPr>
      </w:pPr>
    </w:p>
    <w:p>
      <w:pPr>
        <w:spacing w:before="0"/>
        <w:ind w:left="3045" w:right="0" w:firstLine="0"/>
        <w:jc w:val="left"/>
        <w:rPr>
          <w:rFonts w:ascii="Palatino Linotype"/>
          <w:i/>
          <w:sz w:val="19"/>
        </w:rPr>
      </w:pPr>
      <w:r>
        <w:rPr>
          <w:rFonts w:ascii="Palatino Linotype"/>
          <w:i/>
          <w:sz w:val="19"/>
        </w:rPr>
        <w:t>Hvor meget kan vi spare og hvor store omkostninger er der ved det?</w:t>
      </w:r>
    </w:p>
    <w:p>
      <w:pPr>
        <w:spacing w:before="1"/>
        <w:ind w:left="3045" w:right="0" w:firstLine="0"/>
        <w:jc w:val="left"/>
        <w:rPr>
          <w:rFonts w:ascii="Palatino Linotype"/>
          <w:sz w:val="19"/>
        </w:rPr>
      </w:pPr>
      <w:r>
        <w:rPr>
          <w:rFonts w:ascii="Palatino Linotype"/>
          <w:sz w:val="19"/>
        </w:rPr>
        <w:t>Energimedarbejder</w:t>
      </w:r>
    </w:p>
    <w:p>
      <w:pPr>
        <w:pStyle w:val="BodyText"/>
        <w:spacing w:before="10"/>
        <w:rPr>
          <w:rFonts w:ascii="Palatino Linotype"/>
          <w:sz w:val="21"/>
        </w:rPr>
      </w:pPr>
    </w:p>
    <w:p>
      <w:pPr>
        <w:spacing w:before="1"/>
        <w:ind w:left="2649" w:right="0" w:firstLine="0"/>
        <w:jc w:val="left"/>
        <w:rPr>
          <w:b/>
          <w:sz w:val="20"/>
        </w:rPr>
      </w:pPr>
      <w:r>
        <w:rPr>
          <w:b/>
          <w:sz w:val="20"/>
        </w:rPr>
        <w:t>Energi er ikke</w:t>
      </w:r>
      <w:r>
        <w:rPr>
          <w:b/>
          <w:spacing w:val="-15"/>
          <w:sz w:val="20"/>
        </w:rPr>
        <w:t> </w:t>
      </w:r>
      <w:r>
        <w:rPr>
          <w:b/>
          <w:sz w:val="20"/>
        </w:rPr>
        <w:t>nok</w:t>
      </w:r>
    </w:p>
    <w:p>
      <w:pPr>
        <w:pStyle w:val="BodyText"/>
        <w:spacing w:line="278" w:lineRule="auto" w:before="34"/>
        <w:ind w:left="2649" w:right="1042"/>
      </w:pPr>
      <w:r>
        <w:rPr/>
        <w:t>Generelt vurderes det, at energieffektiviseringspotentialet alene langt fra er stort nok til at finansiere udviklingen af en steddatabase. Aktørerne påpeger, at den vir- kelige værdi af steddatabasen nok skal høste på eller i synergi med andre anven- delsesområder, såsom navigation, logistik, rengøring mv.</w:t>
      </w:r>
    </w:p>
    <w:p>
      <w:pPr>
        <w:pStyle w:val="BodyText"/>
        <w:spacing w:before="8"/>
        <w:rPr>
          <w:sz w:val="18"/>
        </w:rPr>
      </w:pPr>
    </w:p>
    <w:p>
      <w:pPr>
        <w:spacing w:before="0"/>
        <w:ind w:left="3045" w:right="0" w:firstLine="0"/>
        <w:jc w:val="left"/>
        <w:rPr>
          <w:rFonts w:ascii="Palatino Linotype" w:hAnsi="Palatino Linotype"/>
          <w:i/>
          <w:sz w:val="19"/>
        </w:rPr>
      </w:pPr>
      <w:r>
        <w:rPr>
          <w:rFonts w:ascii="Palatino Linotype" w:hAnsi="Palatino Linotype"/>
          <w:i/>
          <w:sz w:val="19"/>
        </w:rPr>
        <w:t>Men det skal være til større og flere formål end energi-optimering.</w:t>
      </w:r>
    </w:p>
    <w:p>
      <w:pPr>
        <w:spacing w:before="1"/>
        <w:ind w:left="3045" w:right="0" w:firstLine="0"/>
        <w:jc w:val="left"/>
        <w:rPr>
          <w:rFonts w:ascii="Palatino Linotype"/>
          <w:sz w:val="19"/>
        </w:rPr>
      </w:pPr>
      <w:r>
        <w:rPr>
          <w:rFonts w:ascii="Palatino Linotype"/>
          <w:sz w:val="19"/>
        </w:rPr>
        <w:t>Energimedarbejder</w:t>
      </w:r>
    </w:p>
    <w:p>
      <w:pPr>
        <w:pStyle w:val="BodyText"/>
        <w:spacing w:before="11"/>
        <w:rPr>
          <w:rFonts w:ascii="Palatino Linotype"/>
        </w:rPr>
      </w:pPr>
    </w:p>
    <w:p>
      <w:pPr>
        <w:spacing w:before="0"/>
        <w:ind w:left="3045" w:right="1437" w:firstLine="0"/>
        <w:jc w:val="left"/>
        <w:rPr>
          <w:rFonts w:ascii="Palatino Linotype" w:hAnsi="Palatino Linotype"/>
          <w:i/>
          <w:sz w:val="19"/>
        </w:rPr>
      </w:pPr>
      <w:r>
        <w:rPr>
          <w:rFonts w:ascii="Palatino Linotype" w:hAnsi="Palatino Linotype"/>
          <w:i/>
          <w:sz w:val="19"/>
        </w:rPr>
        <w:t>Vi har snakket meget om energi. Energi er ikke det mest spændende for mig. Kort- </w:t>
      </w:r>
      <w:r>
        <w:rPr>
          <w:rFonts w:ascii="Palatino Linotype" w:hAnsi="Palatino Linotype"/>
          <w:i/>
          <w:sz w:val="19"/>
        </w:rPr>
        <w:t>materiale, topologi, postruter, optimere skridt. [Det er mere] interessant – kan man lave en shortest path? Koble tingene sammen. En gang, der bliver lukket ned, så ændrer graferne sig dynamisk, robotterne kører denne vej?</w:t>
      </w:r>
    </w:p>
    <w:p>
      <w:pPr>
        <w:spacing w:before="2"/>
        <w:ind w:left="3045" w:right="0" w:firstLine="0"/>
        <w:jc w:val="left"/>
        <w:rPr>
          <w:rFonts w:ascii="Palatino Linotype"/>
          <w:sz w:val="19"/>
        </w:rPr>
      </w:pPr>
      <w:r>
        <w:rPr>
          <w:rFonts w:ascii="Palatino Linotype"/>
          <w:sz w:val="19"/>
        </w:rPr>
        <w:t>IT- og datamedarbejder</w:t>
      </w:r>
    </w:p>
    <w:p>
      <w:pPr>
        <w:pStyle w:val="BodyText"/>
        <w:spacing w:before="11"/>
        <w:rPr>
          <w:rFonts w:ascii="Palatino Linotype"/>
          <w:sz w:val="21"/>
        </w:rPr>
      </w:pPr>
    </w:p>
    <w:p>
      <w:pPr>
        <w:spacing w:before="0"/>
        <w:ind w:left="2649" w:right="0" w:firstLine="0"/>
        <w:jc w:val="left"/>
        <w:rPr>
          <w:b/>
          <w:sz w:val="20"/>
        </w:rPr>
      </w:pPr>
      <w:r>
        <w:rPr>
          <w:b/>
          <w:sz w:val="20"/>
        </w:rPr>
        <w:t>Datasikkerhed</w:t>
      </w:r>
    </w:p>
    <w:p>
      <w:pPr>
        <w:pStyle w:val="BodyText"/>
        <w:spacing w:line="278" w:lineRule="auto" w:before="34"/>
        <w:ind w:left="2649" w:right="1273"/>
        <w:jc w:val="both"/>
      </w:pPr>
      <w:r>
        <w:rPr/>
        <w:t>Flere udtrykker bekymring for datasikkerheden ift. en national steddatabase, og understreger at dataadgangen skal reguleres, så det sikres at fortrolige data om bygningsopbygning eller anvendelser kun kommer godkendte aktører i hænde.</w:t>
      </w:r>
    </w:p>
    <w:p>
      <w:pPr>
        <w:pStyle w:val="BodyText"/>
        <w:spacing w:before="8"/>
        <w:rPr>
          <w:sz w:val="18"/>
        </w:rPr>
      </w:pPr>
    </w:p>
    <w:p>
      <w:pPr>
        <w:spacing w:before="0"/>
        <w:ind w:left="3045" w:right="0" w:firstLine="0"/>
        <w:jc w:val="left"/>
        <w:rPr>
          <w:rFonts w:ascii="Palatino Linotype" w:hAnsi="Palatino Linotype"/>
          <w:i/>
          <w:sz w:val="19"/>
        </w:rPr>
      </w:pPr>
      <w:r>
        <w:rPr>
          <w:rFonts w:ascii="Palatino Linotype" w:hAnsi="Palatino Linotype"/>
          <w:i/>
          <w:sz w:val="19"/>
        </w:rPr>
        <w:t>[Hvis] man vil gøre [det] offentlig tilgængeligt, det sætter allerede en masse barrie-</w:t>
      </w:r>
    </w:p>
    <w:p>
      <w:pPr>
        <w:spacing w:before="1"/>
        <w:ind w:left="3045" w:right="0" w:firstLine="0"/>
        <w:jc w:val="left"/>
        <w:rPr>
          <w:rFonts w:ascii="Palatino Linotype" w:hAnsi="Palatino Linotype"/>
          <w:i/>
          <w:sz w:val="19"/>
        </w:rPr>
      </w:pPr>
      <w:r>
        <w:rPr>
          <w:rFonts w:ascii="Palatino Linotype" w:hAnsi="Palatino Linotype"/>
          <w:i/>
          <w:sz w:val="19"/>
        </w:rPr>
        <w:t>rer op for mig. […Det] giver mange begrænsninger i forhold til sikkerhed.</w:t>
      </w:r>
    </w:p>
    <w:p>
      <w:pPr>
        <w:spacing w:before="0"/>
        <w:ind w:left="3045" w:right="0" w:firstLine="0"/>
        <w:jc w:val="left"/>
        <w:rPr>
          <w:rFonts w:ascii="Palatino Linotype"/>
          <w:sz w:val="19"/>
        </w:rPr>
      </w:pPr>
      <w:r>
        <w:rPr>
          <w:rFonts w:ascii="Palatino Linotype"/>
          <w:sz w:val="19"/>
        </w:rPr>
        <w:t>Ejendoms- og energimedarbejder</w:t>
      </w:r>
    </w:p>
    <w:p>
      <w:pPr>
        <w:pStyle w:val="BodyText"/>
        <w:rPr>
          <w:rFonts w:ascii="Palatino Linotype"/>
          <w:sz w:val="22"/>
        </w:rPr>
      </w:pPr>
    </w:p>
    <w:p>
      <w:pPr>
        <w:spacing w:before="0"/>
        <w:ind w:left="2649" w:right="0" w:firstLine="0"/>
        <w:jc w:val="left"/>
        <w:rPr>
          <w:b/>
          <w:sz w:val="20"/>
        </w:rPr>
      </w:pPr>
      <w:r>
        <w:rPr>
          <w:b/>
          <w:sz w:val="20"/>
        </w:rPr>
        <w:t>Bekymring for uoverskuelige datamængder</w:t>
      </w:r>
    </w:p>
    <w:p>
      <w:pPr>
        <w:spacing w:after="0"/>
        <w:jc w:val="left"/>
        <w:rPr>
          <w:sz w:val="20"/>
        </w:rPr>
        <w:sectPr>
          <w:type w:val="continuous"/>
          <w:pgSz w:w="11910" w:h="16840"/>
          <w:pgMar w:top="1580" w:bottom="280" w:left="980" w:right="100"/>
        </w:sectPr>
      </w:pPr>
    </w:p>
    <w:p>
      <w:pPr>
        <w:pStyle w:val="BodyText"/>
        <w:rPr>
          <w:b/>
          <w:sz w:val="20"/>
        </w:rPr>
      </w:pPr>
    </w:p>
    <w:p>
      <w:pPr>
        <w:pStyle w:val="BodyText"/>
        <w:rPr>
          <w:b/>
          <w:sz w:val="20"/>
        </w:rPr>
      </w:pPr>
    </w:p>
    <w:p>
      <w:pPr>
        <w:pStyle w:val="BodyText"/>
        <w:spacing w:before="11"/>
        <w:rPr>
          <w:b/>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67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235"/>
        <w:jc w:val="both"/>
      </w:pPr>
      <w:r>
        <w:rPr/>
        <w:t>Flere af energi- og driftsmedarbejderne påpeger, at data kun giver mening, hvis man ved, hvad man skal bruge dem til. De udtrykker bekymring for, om databa- sen vil generere data, de ikke formår at omsætte til værdi i praksis.</w:t>
      </w:r>
    </w:p>
    <w:p>
      <w:pPr>
        <w:pStyle w:val="BodyText"/>
        <w:spacing w:before="8"/>
        <w:rPr>
          <w:sz w:val="18"/>
        </w:rPr>
      </w:pPr>
    </w:p>
    <w:p>
      <w:pPr>
        <w:spacing w:before="0"/>
        <w:ind w:left="3045" w:right="1526" w:firstLine="0"/>
        <w:jc w:val="left"/>
        <w:rPr>
          <w:rFonts w:ascii="Palatino Linotype" w:hAnsi="Palatino Linotype"/>
          <w:i/>
          <w:sz w:val="19"/>
        </w:rPr>
      </w:pPr>
      <w:r>
        <w:rPr>
          <w:rFonts w:ascii="Palatino Linotype" w:hAnsi="Palatino Linotype"/>
          <w:i/>
          <w:sz w:val="19"/>
        </w:rPr>
        <w:t>Man kan sagtens slå ud med armene og sige, at jeg skal have data på alting. På </w:t>
      </w:r>
      <w:r>
        <w:rPr>
          <w:rFonts w:ascii="Palatino Linotype" w:hAnsi="Palatino Linotype"/>
          <w:i/>
          <w:sz w:val="19"/>
        </w:rPr>
        <w:t>varmen, flowet, strømmen osv. Men et eller andet sted, skal du også forholde til at håndtere den mængde data du får hjem.</w:t>
      </w:r>
    </w:p>
    <w:p>
      <w:pPr>
        <w:spacing w:before="1"/>
        <w:ind w:left="3045" w:right="0" w:firstLine="0"/>
        <w:jc w:val="left"/>
        <w:rPr>
          <w:rFonts w:ascii="Palatino Linotype"/>
          <w:sz w:val="19"/>
        </w:rPr>
      </w:pPr>
      <w:r>
        <w:rPr>
          <w:rFonts w:ascii="Palatino Linotype"/>
          <w:sz w:val="19"/>
        </w:rPr>
        <w:t>Energimedarbejder</w:t>
      </w:r>
    </w:p>
    <w:p>
      <w:pPr>
        <w:pStyle w:val="BodyText"/>
        <w:spacing w:before="9"/>
        <w:rPr>
          <w:rFonts w:ascii="Palatino Linotype"/>
        </w:rPr>
      </w:pPr>
    </w:p>
    <w:p>
      <w:pPr>
        <w:spacing w:before="0"/>
        <w:ind w:left="3045" w:right="1444" w:firstLine="0"/>
        <w:jc w:val="left"/>
        <w:rPr>
          <w:rFonts w:ascii="Palatino Linotype" w:hAnsi="Palatino Linotype"/>
          <w:i/>
          <w:sz w:val="19"/>
        </w:rPr>
      </w:pPr>
      <w:r>
        <w:rPr>
          <w:rFonts w:ascii="Palatino Linotype" w:hAnsi="Palatino Linotype"/>
          <w:i/>
          <w:sz w:val="19"/>
        </w:rPr>
        <w:t>Datamængden.. det er med at være lidt kritisk ift. data. Inden man bare siger ja tak </w:t>
      </w:r>
      <w:r>
        <w:rPr>
          <w:rFonts w:ascii="Palatino Linotype" w:hAnsi="Palatino Linotype"/>
          <w:i/>
          <w:sz w:val="19"/>
        </w:rPr>
        <w:t>til det hele […] Og hvis vi skal til at indtaste det ind i nogle værktøjer, så skal man være sikker på at man kan høste noget ud af det. Man må ikke bygge data op, som man ikke er i stand til at vedlige.</w:t>
      </w:r>
    </w:p>
    <w:p>
      <w:pPr>
        <w:spacing w:before="3"/>
        <w:ind w:left="3045" w:right="0" w:firstLine="0"/>
        <w:jc w:val="left"/>
        <w:rPr>
          <w:rFonts w:ascii="Palatino Linotype"/>
          <w:sz w:val="19"/>
        </w:rPr>
      </w:pPr>
      <w:r>
        <w:rPr>
          <w:rFonts w:ascii="Palatino Linotype"/>
          <w:sz w:val="19"/>
        </w:rPr>
        <w:t>Chef</w:t>
      </w:r>
    </w:p>
    <w:p>
      <w:pPr>
        <w:spacing w:after="0"/>
        <w:jc w:val="left"/>
        <w:rPr>
          <w:rFonts w:ascii="Palatino Linotype"/>
          <w:sz w:val="19"/>
        </w:rPr>
        <w:sectPr>
          <w:type w:val="continuous"/>
          <w:pgSz w:w="11910" w:h="16840"/>
          <w:pgMar w:top="1580" w:bottom="280" w:left="980" w:right="10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55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1"/>
        </w:rPr>
      </w:pPr>
    </w:p>
    <w:p>
      <w:pPr>
        <w:pStyle w:val="Heading1"/>
        <w:spacing w:line="254" w:lineRule="auto"/>
        <w:ind w:right="1038" w:firstLine="0"/>
      </w:pPr>
      <w:bookmarkStart w:name="_bookmark123" w:id="124"/>
      <w:bookmarkEnd w:id="124"/>
      <w:r>
        <w:rPr>
          <w:b w:val="0"/>
        </w:rPr>
      </w:r>
      <w:r>
        <w:rPr/>
        <w:t>Appendix 8: Uddybende resultater fra inter- view med tredjepartsaktører</w:t>
      </w:r>
    </w:p>
    <w:p>
      <w:pPr>
        <w:pStyle w:val="BodyText"/>
        <w:spacing w:before="1"/>
        <w:rPr>
          <w:b/>
          <w:sz w:val="40"/>
        </w:rPr>
      </w:pPr>
    </w:p>
    <w:p>
      <w:pPr>
        <w:pStyle w:val="Heading2"/>
        <w:ind w:firstLine="0"/>
      </w:pPr>
      <w:r>
        <w:rPr/>
        <w:t>Introduktion</w:t>
      </w:r>
    </w:p>
    <w:p>
      <w:pPr>
        <w:pStyle w:val="BodyText"/>
        <w:spacing w:line="278" w:lineRule="auto" w:before="36"/>
        <w:ind w:left="2649" w:right="1074"/>
      </w:pPr>
      <w:r>
        <w:rPr/>
        <w:t>For at afdække markedsperspektiver på en national steddatabase med særligt fo- kus på anvendelser, forretningspotentialer, markedsbehov, barrierer og mulighe- der for realisering, har NIRAS gennemført kvalitative interview med udvalgte tred- jepartsaktører.</w:t>
      </w:r>
    </w:p>
    <w:p>
      <w:pPr>
        <w:pStyle w:val="BodyText"/>
        <w:spacing w:before="8"/>
        <w:rPr>
          <w:sz w:val="21"/>
        </w:rPr>
      </w:pPr>
    </w:p>
    <w:p>
      <w:pPr>
        <w:pStyle w:val="BodyText"/>
        <w:spacing w:line="278" w:lineRule="auto"/>
        <w:ind w:left="2649" w:right="1051"/>
      </w:pPr>
      <w:r>
        <w:rPr/>
        <w:t>Der er gennemført kvalitative interview med i fem tredjepartsaktører, heraf fire le- verandører af softwaresystemer til drift, styring og energieffektivisering på ejen- domsområdet</w:t>
      </w:r>
      <w:r>
        <w:rPr>
          <w:position w:val="6"/>
          <w:sz w:val="11"/>
        </w:rPr>
        <w:t>37 </w:t>
      </w:r>
      <w:r>
        <w:rPr/>
        <w:t>samt én rådgiver med speciale i udvikling af digitale koncepter og energiløsninger.</w:t>
      </w:r>
    </w:p>
    <w:p>
      <w:pPr>
        <w:pStyle w:val="BodyText"/>
        <w:spacing w:before="5"/>
        <w:rPr>
          <w:sz w:val="21"/>
        </w:rPr>
      </w:pPr>
    </w:p>
    <w:p>
      <w:pPr>
        <w:pStyle w:val="BodyText"/>
        <w:spacing w:line="278" w:lineRule="auto" w:before="1"/>
        <w:ind w:left="2649" w:right="1207"/>
      </w:pPr>
      <w:r>
        <w:rPr/>
        <w:t>Tilsammen forsyner de interviewede virksomheder et stort antal danske kommu- ner med driftsstyrings- og energiledelsessystemer, ligesom de betjener en lang række store aktører på det private ejendomsmarked. Virksomhederne er udvik- lingsorienterede og har en god fornemmelse af kundernes behov og af, hvad der rører sig i markedet.</w:t>
      </w:r>
    </w:p>
    <w:p>
      <w:pPr>
        <w:pStyle w:val="BodyText"/>
        <w:spacing w:before="5"/>
        <w:rPr>
          <w:sz w:val="21"/>
        </w:rPr>
      </w:pPr>
    </w:p>
    <w:p>
      <w:pPr>
        <w:pStyle w:val="BodyText"/>
        <w:spacing w:line="278" w:lineRule="auto"/>
        <w:ind w:left="2649" w:right="1195"/>
      </w:pPr>
      <w:r>
        <w:rPr/>
        <w:t>Interviewene er gennemført som semistrukturerede, kvalitative telefoniske inter- view med en eller to medarbejdere fra hver af de pågældende virksomheder. In- terviewpersonerne har bestået af repræsentanter fra virksomhedernes ledelse, ofte suppleret af faglige medarbejdere med detailkendskab til virksomhedens sy- stemer og løsninger på området for energistyring og bygningsdrift.</w:t>
      </w:r>
    </w:p>
    <w:p>
      <w:pPr>
        <w:pStyle w:val="BodyText"/>
        <w:spacing w:before="9"/>
        <w:rPr>
          <w:sz w:val="21"/>
        </w:rPr>
      </w:pPr>
    </w:p>
    <w:p>
      <w:pPr>
        <w:pStyle w:val="BodyText"/>
        <w:spacing w:line="278" w:lineRule="auto"/>
        <w:ind w:left="2649" w:right="1075"/>
      </w:pPr>
      <w:r>
        <w:rPr/>
        <w:t>I det følgende gives en uddybende beskrivelse af interviewresultaterne med sær- ligt fokus på de forretningspotentialer, anvendelsesmuligheder, barrierer og forbe- hold som de interviewede virksomheder har fremhævet i interview i forhold til en national steddatabase.</w:t>
      </w:r>
    </w:p>
    <w:p>
      <w:pPr>
        <w:pStyle w:val="BodyText"/>
        <w:spacing w:before="9"/>
        <w:rPr>
          <w:sz w:val="20"/>
        </w:rPr>
      </w:pPr>
    </w:p>
    <w:p>
      <w:pPr>
        <w:pStyle w:val="Heading2"/>
        <w:ind w:firstLine="0"/>
      </w:pPr>
      <w:r>
        <w:rPr/>
        <w:t>Forretningspotentialer og anvendelser</w:t>
      </w:r>
    </w:p>
    <w:p>
      <w:pPr>
        <w:pStyle w:val="BodyText"/>
        <w:spacing w:line="278" w:lineRule="auto" w:before="36"/>
        <w:ind w:left="2649" w:right="1204"/>
      </w:pPr>
      <w:r>
        <w:rPr/>
        <w:t>De interviewede tredjepartsaktører ser følgende forretningspotentialer og anven- delsesmuligheder for projektet.</w:t>
      </w:r>
    </w:p>
    <w:p>
      <w:pPr>
        <w:pStyle w:val="BodyText"/>
        <w:spacing w:before="8"/>
        <w:rPr>
          <w:sz w:val="21"/>
        </w:rPr>
      </w:pPr>
    </w:p>
    <w:p>
      <w:pPr>
        <w:pStyle w:val="Heading3"/>
        <w:ind w:firstLine="0"/>
      </w:pPr>
      <w:r>
        <w:rPr/>
        <w:t>Forretningspotentiale for tredjepartsaktører</w:t>
      </w:r>
    </w:p>
    <w:p>
      <w:pPr>
        <w:pStyle w:val="BodyText"/>
        <w:spacing w:line="278" w:lineRule="auto" w:before="34"/>
        <w:ind w:left="2649" w:right="1113"/>
      </w:pPr>
      <w:r>
        <w:rPr/>
        <w:t>Flere af de interviewede aktører udtrykker en umiddelbar begejstring for tanken om en national steddatabase og infrastruktur for indendørs geografi. Det skyldes, at de ser gode muligheder for at projektet kan være med til at understøtte, at de- res kunder får styr på stamdata for deres bygninger.</w:t>
      </w:r>
    </w:p>
    <w:p>
      <w:pPr>
        <w:pStyle w:val="BodyText"/>
        <w:spacing w:before="8"/>
        <w:rPr>
          <w:sz w:val="21"/>
        </w:rPr>
      </w:pPr>
    </w:p>
    <w:p>
      <w:pPr>
        <w:pStyle w:val="BodyText"/>
        <w:spacing w:line="278" w:lineRule="auto"/>
        <w:ind w:left="2649" w:right="1045"/>
      </w:pPr>
      <w:r>
        <w:rPr/>
        <w:t>Mange af softwareleverandørerne oplever, at deres kunder kun bruger et meget begrænset udsnit af de funktionaliteter, som deres energistyrings- eller facility managementsystemer rummer, simpelthen fordi de mangler data eller datakom- petencer. Hvis kunderne allerede havde adgang til geodata for bygningernes indre geografi, ville det være lettere for dem at komme i gang med at bruge systemerne og give mulighed for at få større udbytte af dem.</w:t>
      </w:r>
    </w:p>
    <w:p>
      <w:pPr>
        <w:pStyle w:val="BodyText"/>
        <w:spacing w:before="9"/>
        <w:rPr>
          <w:sz w:val="18"/>
        </w:rPr>
      </w:pPr>
    </w:p>
    <w:p>
      <w:pPr>
        <w:spacing w:before="1"/>
        <w:ind w:left="3045" w:right="1353" w:firstLine="0"/>
        <w:jc w:val="left"/>
        <w:rPr>
          <w:rFonts w:ascii="Palatino Linotype" w:hAnsi="Palatino Linotype"/>
          <w:i/>
          <w:sz w:val="19"/>
        </w:rPr>
      </w:pPr>
      <w:r>
        <w:rPr/>
        <w:pict>
          <v:line style="position:absolute;mso-position-horizontal-relative:page;mso-position-vertical-relative:paragraph;z-index:8048;mso-wrap-distance-left:0;mso-wrap-distance-right:0" from="181.490005pt,32.363155pt" to="325.510005pt,32.363155pt" stroked="true" strokeweight=".47998pt" strokecolor="#000000">
            <v:stroke dashstyle="solid"/>
            <w10:wrap type="topAndBottom"/>
          </v:line>
        </w:pict>
      </w:r>
      <w:r>
        <w:rPr>
          <w:rFonts w:ascii="Palatino Linotype" w:hAnsi="Palatino Linotype"/>
          <w:i/>
          <w:sz w:val="19"/>
        </w:rPr>
        <w:t>Det [steddatabasen] ville give vores kunder en hurtigere start, i opstartsfasen, hvis </w:t>
      </w:r>
      <w:r>
        <w:rPr>
          <w:rFonts w:ascii="Palatino Linotype" w:hAnsi="Palatino Linotype"/>
          <w:i/>
          <w:sz w:val="19"/>
        </w:rPr>
        <w:t>de begynder at bruge [vores system], og i et samfundsøkonomiske perspektiv vil det</w:t>
      </w:r>
    </w:p>
    <w:p>
      <w:pPr>
        <w:pStyle w:val="BodyText"/>
        <w:spacing w:before="8"/>
        <w:rPr>
          <w:rFonts w:ascii="Palatino Linotype"/>
          <w:i/>
          <w:sz w:val="15"/>
        </w:rPr>
      </w:pPr>
    </w:p>
    <w:p>
      <w:pPr>
        <w:spacing w:before="101"/>
        <w:ind w:left="2649" w:right="0" w:firstLine="0"/>
        <w:jc w:val="left"/>
        <w:rPr>
          <w:sz w:val="15"/>
        </w:rPr>
      </w:pPr>
      <w:r>
        <w:rPr>
          <w:position w:val="5"/>
          <w:sz w:val="10"/>
        </w:rPr>
        <w:t>37 </w:t>
      </w:r>
      <w:r>
        <w:rPr>
          <w:sz w:val="15"/>
        </w:rPr>
        <w:t>Systemerne retter sig bl.a. mod </w:t>
      </w:r>
      <w:r>
        <w:rPr>
          <w:i/>
          <w:sz w:val="15"/>
        </w:rPr>
        <w:t>facility management </w:t>
      </w:r>
      <w:r>
        <w:rPr>
          <w:sz w:val="15"/>
        </w:rPr>
        <w:t>(FM), </w:t>
      </w:r>
      <w:r>
        <w:rPr>
          <w:i/>
          <w:sz w:val="15"/>
        </w:rPr>
        <w:t>energy management </w:t>
      </w:r>
      <w:r>
        <w:rPr>
          <w:sz w:val="15"/>
        </w:rPr>
        <w:t>(EMS) og</w:t>
      </w:r>
    </w:p>
    <w:p>
      <w:pPr>
        <w:spacing w:before="0"/>
        <w:ind w:left="2649" w:right="0" w:firstLine="0"/>
        <w:jc w:val="left"/>
        <w:rPr>
          <w:sz w:val="15"/>
        </w:rPr>
      </w:pPr>
      <w:r>
        <w:rPr>
          <w:i/>
          <w:sz w:val="15"/>
        </w:rPr>
        <w:t>open metering </w:t>
      </w:r>
      <w:r>
        <w:rPr>
          <w:sz w:val="15"/>
        </w:rPr>
        <w:t>(OMS).</w:t>
      </w:r>
    </w:p>
    <w:p>
      <w:pPr>
        <w:spacing w:after="0"/>
        <w:jc w:val="left"/>
        <w:rPr>
          <w:sz w:val="15"/>
        </w:rPr>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45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5"/>
        </w:rPr>
      </w:pPr>
    </w:p>
    <w:p>
      <w:pPr>
        <w:spacing w:before="39"/>
        <w:ind w:left="3045" w:right="0" w:firstLine="0"/>
        <w:jc w:val="left"/>
        <w:rPr>
          <w:rFonts w:ascii="Palatino Linotype" w:hAnsi="Palatino Linotype"/>
          <w:i/>
          <w:sz w:val="19"/>
        </w:rPr>
      </w:pPr>
      <w:r>
        <w:rPr>
          <w:rFonts w:ascii="Palatino Linotype" w:hAnsi="Palatino Linotype"/>
          <w:i/>
          <w:sz w:val="19"/>
        </w:rPr>
        <w:t>være at bibeholde data, holde stamdata i live.</w:t>
      </w:r>
    </w:p>
    <w:p>
      <w:pPr>
        <w:spacing w:before="1"/>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3"/>
        <w:rPr>
          <w:rFonts w:ascii="Palatino Linotype"/>
          <w:sz w:val="20"/>
        </w:rPr>
      </w:pPr>
    </w:p>
    <w:p>
      <w:pPr>
        <w:pStyle w:val="BodyText"/>
        <w:spacing w:line="278" w:lineRule="auto"/>
        <w:ind w:left="2649" w:right="1026"/>
      </w:pPr>
      <w:r>
        <w:rPr/>
        <w:t>Flere ser en steddatabase som en naturlig forlængelse af BBR, og bruger deres nu- værende anvendelse af BBR-data som en analogi for, hvordan data en steddata- base vil kunne skabe nye funktionaliteter og muligheder.</w:t>
      </w:r>
    </w:p>
    <w:p>
      <w:pPr>
        <w:pStyle w:val="BodyText"/>
        <w:spacing w:before="8"/>
        <w:rPr>
          <w:sz w:val="18"/>
        </w:rPr>
      </w:pPr>
    </w:p>
    <w:p>
      <w:pPr>
        <w:spacing w:before="1"/>
        <w:ind w:left="3045" w:right="1477" w:firstLine="0"/>
        <w:jc w:val="left"/>
        <w:rPr>
          <w:rFonts w:ascii="Palatino Linotype" w:hAnsi="Palatino Linotype"/>
          <w:i/>
          <w:sz w:val="19"/>
        </w:rPr>
      </w:pPr>
      <w:r>
        <w:rPr>
          <w:rFonts w:ascii="Palatino Linotype" w:hAnsi="Palatino Linotype"/>
          <w:i/>
          <w:sz w:val="19"/>
        </w:rPr>
        <w:t>[Interviewer: Har du nogen betænkeligheder i forhold til udvikling af en national </w:t>
      </w:r>
      <w:r>
        <w:rPr>
          <w:rFonts w:ascii="Palatino Linotype" w:hAnsi="Palatino Linotype"/>
          <w:i/>
          <w:sz w:val="19"/>
        </w:rPr>
        <w:t>steddatabase?] Ikke i forhold til vores forretning. BBR er i virkeligheden et arkiv af stamdata. Det her bare en udvidelse af det koncept. Vi bygger bare funktioner oven på det, om du vil. Jo flere stamdata – jo flere funktioner [i vores system].</w:t>
      </w:r>
    </w:p>
    <w:p>
      <w:pPr>
        <w:spacing w:line="256" w:lineRule="exact"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4"/>
        <w:rPr>
          <w:rFonts w:ascii="Palatino Linotype"/>
          <w:sz w:val="20"/>
        </w:rPr>
      </w:pPr>
    </w:p>
    <w:p>
      <w:pPr>
        <w:pStyle w:val="BodyText"/>
        <w:spacing w:line="278" w:lineRule="auto"/>
        <w:ind w:left="2649" w:right="1064"/>
      </w:pPr>
      <w:r>
        <w:rPr/>
        <w:t>De interviewede aktører vurderer ikke, at en national steddatabase vil konflikte el- ler konkurrere med deres ydelser – vel at mærke så længe den ikke indeholder domænespecifikke data. Tværtimod ser de gode perspektiver i at kunne bruge lo- kalitetsdata som referencenøgler i deres egne systemer. Sådanne referencenøgler vil muliggøre nye sammenstillinger af data – og det er netop i sammenstillingen mellem andre data, at de domænespecifikke data giver værdi.</w:t>
      </w:r>
    </w:p>
    <w:p>
      <w:pPr>
        <w:pStyle w:val="BodyText"/>
        <w:spacing w:before="9"/>
        <w:rPr>
          <w:sz w:val="18"/>
        </w:rPr>
      </w:pPr>
    </w:p>
    <w:p>
      <w:pPr>
        <w:spacing w:before="0"/>
        <w:ind w:left="3045" w:right="1481" w:firstLine="0"/>
        <w:jc w:val="both"/>
        <w:rPr>
          <w:rFonts w:ascii="Palatino Linotype" w:hAnsi="Palatino Linotype"/>
          <w:i/>
          <w:sz w:val="19"/>
        </w:rPr>
      </w:pPr>
      <w:r>
        <w:rPr>
          <w:rFonts w:ascii="Palatino Linotype" w:hAnsi="Palatino Linotype"/>
          <w:i/>
          <w:sz w:val="19"/>
        </w:rPr>
        <w:t>Det man skal huske med alt data, og specielt energidata, det er at der ikke rigtigt</w:t>
      </w:r>
      <w:r>
        <w:rPr>
          <w:rFonts w:ascii="Palatino Linotype" w:hAnsi="Palatino Linotype"/>
          <w:i/>
          <w:spacing w:val="-34"/>
          <w:sz w:val="19"/>
        </w:rPr>
        <w:t> </w:t>
      </w:r>
      <w:r>
        <w:rPr>
          <w:rFonts w:ascii="Palatino Linotype" w:hAnsi="Palatino Linotype"/>
          <w:i/>
          <w:sz w:val="19"/>
        </w:rPr>
        <w:t>er </w:t>
      </w:r>
      <w:r>
        <w:rPr>
          <w:rFonts w:ascii="Palatino Linotype" w:hAnsi="Palatino Linotype"/>
          <w:i/>
          <w:sz w:val="19"/>
        </w:rPr>
        <w:t>gode eksempler på data, du kan bruge enestående. Det er jo ikke andeledes med det her. Det er med til at understøtte et mere præcist billede af nogen</w:t>
      </w:r>
      <w:r>
        <w:rPr>
          <w:rFonts w:ascii="Palatino Linotype" w:hAnsi="Palatino Linotype"/>
          <w:i/>
          <w:spacing w:val="-13"/>
          <w:sz w:val="19"/>
        </w:rPr>
        <w:t> </w:t>
      </w:r>
      <w:r>
        <w:rPr>
          <w:rFonts w:ascii="Palatino Linotype" w:hAnsi="Palatino Linotype"/>
          <w:i/>
          <w:sz w:val="19"/>
        </w:rPr>
        <w:t>ting.</w:t>
      </w:r>
    </w:p>
    <w:p>
      <w:pPr>
        <w:spacing w:before="2"/>
        <w:ind w:left="3045" w:right="0" w:firstLine="0"/>
        <w:jc w:val="left"/>
        <w:rPr>
          <w:rFonts w:ascii="Palatino Linotype" w:hAnsi="Palatino Linotype"/>
          <w:sz w:val="19"/>
        </w:rPr>
      </w:pPr>
      <w:r>
        <w:rPr>
          <w:rFonts w:ascii="Palatino Linotype" w:hAnsi="Palatino Linotype"/>
          <w:sz w:val="19"/>
        </w:rPr>
        <w:t>Rådgiver indenfor energi</w:t>
      </w:r>
    </w:p>
    <w:p>
      <w:pPr>
        <w:pStyle w:val="BodyText"/>
        <w:spacing w:before="2"/>
        <w:rPr>
          <w:rFonts w:ascii="Palatino Linotype"/>
          <w:sz w:val="20"/>
        </w:rPr>
      </w:pPr>
    </w:p>
    <w:p>
      <w:pPr>
        <w:pStyle w:val="BodyText"/>
        <w:spacing w:line="278" w:lineRule="auto"/>
        <w:ind w:left="2649" w:right="1024"/>
      </w:pPr>
      <w:r>
        <w:rPr/>
        <w:t>Det er dog primært de tredjeparts aktører, der leverer softwareløsninger, der ræk- ker ud over energiområdet, der kan se et direkte forretningspotentiale. Aktører der leverer rene energistyringsydelser kan godt se synergi, men ikke direkte forret- ningspotentialer i projektet, da værdien i forhold til energieffektiviserings vurderes at være begrænset. Nogle påpeger dog, at der kan være et forretningspotentiale i det, såfremt en større del af bygningsmassen end det offentliges bygninger ind- drages.</w:t>
      </w:r>
    </w:p>
    <w:p>
      <w:pPr>
        <w:pStyle w:val="BodyText"/>
        <w:spacing w:before="11"/>
        <w:rPr>
          <w:sz w:val="18"/>
        </w:rPr>
      </w:pPr>
    </w:p>
    <w:p>
      <w:pPr>
        <w:spacing w:before="1"/>
        <w:ind w:left="3045" w:right="1557" w:firstLine="0"/>
        <w:jc w:val="left"/>
        <w:rPr>
          <w:rFonts w:ascii="Palatino Linotype" w:hAnsi="Palatino Linotype"/>
          <w:i/>
          <w:sz w:val="19"/>
        </w:rPr>
      </w:pPr>
      <w:r>
        <w:rPr>
          <w:rFonts w:ascii="Palatino Linotype" w:hAnsi="Palatino Linotype"/>
          <w:i/>
          <w:sz w:val="19"/>
        </w:rPr>
        <w:t>Jeg vil tænke, at i det omfang det kommer ud også i den private boligmasse, dér </w:t>
      </w:r>
      <w:r>
        <w:rPr>
          <w:rFonts w:ascii="Palatino Linotype" w:hAnsi="Palatino Linotype"/>
          <w:i/>
          <w:sz w:val="19"/>
        </w:rPr>
        <w:t>kunne jeg se, at det kunne give noget for os. Men ift. step 1, der er det offentlige – det vil give noget, men det vil ikke være væsentligt. Men bliver det udbredt til at alle ejendomme i Danmark, så kunne jeg se, at det kunne give noget værdi i vores forretning. Og er det så koblet op på BBR, så kunne det give god mening. Men så længe det kun er et lille udsnit af bygningsmassen, så er det mere for interessens skyld – at man synes det er spændende – men noget decideret forretningsmæssigt kan jeg ikke lige se.</w:t>
      </w:r>
    </w:p>
    <w:p>
      <w:pPr>
        <w:spacing w:line="256" w:lineRule="exact"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3"/>
        <w:rPr>
          <w:rFonts w:ascii="Palatino Linotype"/>
          <w:sz w:val="20"/>
        </w:rPr>
      </w:pPr>
    </w:p>
    <w:p>
      <w:pPr>
        <w:pStyle w:val="BodyText"/>
        <w:spacing w:line="278" w:lineRule="auto" w:before="1"/>
        <w:ind w:left="2649" w:right="1199"/>
        <w:jc w:val="both"/>
      </w:pPr>
      <w:r>
        <w:rPr/>
        <w:t>Af eksempler på den værdi, der kan ligge uden for den offentlige bygningsmasse kan nævnes en mere præcis og omkostningseffektiv måde at beregne fordelings- regnskaber for boligforeninger og udlejningsejendomme på.</w:t>
      </w:r>
    </w:p>
    <w:p>
      <w:pPr>
        <w:pStyle w:val="BodyText"/>
        <w:spacing w:before="8"/>
        <w:rPr>
          <w:sz w:val="21"/>
        </w:rPr>
      </w:pPr>
    </w:p>
    <w:p>
      <w:pPr>
        <w:pStyle w:val="BodyText"/>
        <w:spacing w:line="278" w:lineRule="auto"/>
        <w:ind w:left="2649" w:right="1036"/>
      </w:pPr>
      <w:r>
        <w:rPr>
          <w:b/>
          <w:sz w:val="20"/>
        </w:rPr>
        <w:t>Understøttelse af digitalisering og datadreven bygningsdrift </w:t>
      </w:r>
      <w:r>
        <w:rPr/>
        <w:t>Flere af de interviewede aktører påpeger, at en steddatabase og datainfrastruktur ville kunne medvirke til at accelerere omstillingen til datadreven bygningsdrift i det offentlige. Særligt hvis steddatabasen vil gøre det lettere at få adgang til de nød- vendige energidata.</w:t>
      </w:r>
    </w:p>
    <w:p>
      <w:pPr>
        <w:pStyle w:val="BodyText"/>
        <w:spacing w:before="4"/>
        <w:rPr>
          <w:sz w:val="18"/>
        </w:rPr>
      </w:pPr>
    </w:p>
    <w:p>
      <w:pPr>
        <w:spacing w:before="0"/>
        <w:ind w:left="3045" w:right="1461" w:firstLine="0"/>
        <w:jc w:val="left"/>
        <w:rPr>
          <w:rFonts w:ascii="Palatino Linotype" w:hAnsi="Palatino Linotype"/>
          <w:i/>
          <w:sz w:val="19"/>
        </w:rPr>
      </w:pPr>
      <w:r>
        <w:rPr>
          <w:rFonts w:ascii="Palatino Linotype" w:hAnsi="Palatino Linotype"/>
          <w:i/>
          <w:sz w:val="19"/>
        </w:rPr>
        <w:t>Essensen og ideen er fantastisk. Det, som er udfordringen ift. energieffektivisering, </w:t>
      </w:r>
      <w:r>
        <w:rPr>
          <w:rFonts w:ascii="Palatino Linotype" w:hAnsi="Palatino Linotype"/>
          <w:i/>
          <w:sz w:val="19"/>
        </w:rPr>
        <w:t>er tilgang til data, dét, at man har adgang. I forhold til regeringens [energi]mål, så</w:t>
      </w:r>
    </w:p>
    <w:p>
      <w:pPr>
        <w:spacing w:after="0"/>
        <w:jc w:val="left"/>
        <w:rPr>
          <w:rFonts w:ascii="Palatino Linotype" w:hAnsi="Palatino Linotype"/>
          <w:sz w:val="19"/>
        </w:rPr>
        <w:sectPr>
          <w:type w:val="continuous"/>
          <w:pgSz w:w="11910" w:h="16840"/>
          <w:pgMar w:top="1580" w:bottom="280" w:left="980" w:right="100"/>
        </w:sectPr>
      </w:pPr>
    </w:p>
    <w:p>
      <w:pPr>
        <w:pStyle w:val="BodyText"/>
        <w:rPr>
          <w:rFonts w:ascii="Palatino Linotype"/>
          <w:i/>
          <w:sz w:val="20"/>
        </w:rPr>
      </w:pPr>
    </w:p>
    <w:p>
      <w:pPr>
        <w:pStyle w:val="BodyText"/>
        <w:rPr>
          <w:rFonts w:ascii="Palatino Linotype"/>
          <w:i/>
          <w:sz w:val="20"/>
        </w:rPr>
      </w:pPr>
    </w:p>
    <w:p>
      <w:pPr>
        <w:pStyle w:val="BodyText"/>
        <w:spacing w:before="3"/>
        <w:rPr>
          <w:rFonts w:ascii="Palatino Linotype"/>
          <w:i/>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36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5"/>
        </w:rPr>
      </w:pPr>
    </w:p>
    <w:p>
      <w:pPr>
        <w:spacing w:before="39"/>
        <w:ind w:left="3045" w:right="0" w:firstLine="0"/>
        <w:jc w:val="left"/>
        <w:rPr>
          <w:rFonts w:ascii="Palatino Linotype" w:hAnsi="Palatino Linotype"/>
          <w:i/>
          <w:sz w:val="19"/>
        </w:rPr>
      </w:pPr>
      <w:r>
        <w:rPr>
          <w:rFonts w:ascii="Palatino Linotype" w:hAnsi="Palatino Linotype"/>
          <w:i/>
          <w:sz w:val="19"/>
        </w:rPr>
        <w:t>vil det her være essentielt for at få noget til at accelerere.</w:t>
      </w:r>
    </w:p>
    <w:p>
      <w:pPr>
        <w:spacing w:before="1"/>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3"/>
        <w:rPr>
          <w:rFonts w:ascii="Palatino Linotype"/>
          <w:sz w:val="20"/>
        </w:rPr>
      </w:pPr>
    </w:p>
    <w:p>
      <w:pPr>
        <w:pStyle w:val="BodyText"/>
        <w:spacing w:line="278" w:lineRule="auto"/>
        <w:ind w:left="2649" w:right="1303"/>
      </w:pPr>
      <w:r>
        <w:rPr/>
        <w:t>Flere ser en mulighed for, at en national steddatabasen kan fungere som incita- ment for de bygningsejere, der endnu ikke har styr på data.</w:t>
      </w:r>
    </w:p>
    <w:p>
      <w:pPr>
        <w:pStyle w:val="BodyText"/>
        <w:spacing w:before="8"/>
        <w:rPr>
          <w:sz w:val="18"/>
        </w:rPr>
      </w:pPr>
    </w:p>
    <w:p>
      <w:pPr>
        <w:spacing w:before="0"/>
        <w:ind w:left="3045" w:right="1038" w:firstLine="0"/>
        <w:jc w:val="left"/>
        <w:rPr>
          <w:rFonts w:ascii="Palatino Linotype" w:hAnsi="Palatino Linotype"/>
          <w:i/>
          <w:sz w:val="19"/>
        </w:rPr>
      </w:pPr>
      <w:r>
        <w:rPr>
          <w:rFonts w:ascii="Palatino Linotype" w:hAnsi="Palatino Linotype"/>
          <w:i/>
          <w:sz w:val="19"/>
        </w:rPr>
        <w:t>[De bygningsejere], der ikke har [detaljerede data], burde overveje at få det. [Sted- </w:t>
      </w:r>
      <w:r>
        <w:rPr>
          <w:rFonts w:ascii="Palatino Linotype" w:hAnsi="Palatino Linotype"/>
          <w:i/>
          <w:sz w:val="19"/>
        </w:rPr>
        <w:t>databasen] kan jo være et incitament til at få flere med.</w:t>
      </w:r>
    </w:p>
    <w:p>
      <w:pPr>
        <w:spacing w:line="255" w:lineRule="exact"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rPr>
          <w:rFonts w:ascii="Palatino Linotype"/>
          <w:sz w:val="22"/>
        </w:rPr>
      </w:pPr>
    </w:p>
    <w:p>
      <w:pPr>
        <w:spacing w:before="0"/>
        <w:ind w:left="2649" w:right="0" w:firstLine="0"/>
        <w:jc w:val="left"/>
        <w:rPr>
          <w:b/>
          <w:sz w:val="20"/>
        </w:rPr>
      </w:pPr>
      <w:r>
        <w:rPr>
          <w:b/>
          <w:sz w:val="20"/>
        </w:rPr>
        <w:t>Begrænset potentiale i forhold til energieffektivisering</w:t>
      </w:r>
    </w:p>
    <w:p>
      <w:pPr>
        <w:pStyle w:val="BodyText"/>
        <w:spacing w:before="10"/>
        <w:rPr>
          <w:b/>
          <w:sz w:val="19"/>
        </w:rPr>
      </w:pPr>
    </w:p>
    <w:p>
      <w:pPr>
        <w:spacing w:before="1"/>
        <w:ind w:left="3045" w:right="0" w:firstLine="0"/>
        <w:jc w:val="left"/>
        <w:rPr>
          <w:rFonts w:ascii="Palatino Linotype" w:hAnsi="Palatino Linotype"/>
          <w:i/>
          <w:sz w:val="19"/>
        </w:rPr>
      </w:pPr>
      <w:r>
        <w:rPr>
          <w:rFonts w:ascii="Palatino Linotype" w:hAnsi="Palatino Linotype"/>
          <w:i/>
          <w:sz w:val="19"/>
        </w:rPr>
        <w:t>Jeg har svært ved at finde killer app’en [dvs. en helt oplagt use case] på det her.</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078"/>
      </w:pPr>
      <w:r>
        <w:rPr/>
        <w:t>Flere af de interviewede tredjepartsaktører deler en opfattelse af, at det ikke er i forhold til energieffektivisering, der ville kunne høstes størst udbytte af en stedda- tabase. De påpeger, at hvis en steddatabases eneste formål er at understøtte energieffektivisering, så er projektet ikke realistisk.</w:t>
      </w:r>
    </w:p>
    <w:p>
      <w:pPr>
        <w:pStyle w:val="BodyText"/>
        <w:spacing w:before="8"/>
        <w:rPr>
          <w:sz w:val="18"/>
        </w:rPr>
      </w:pPr>
    </w:p>
    <w:p>
      <w:pPr>
        <w:spacing w:before="0"/>
        <w:ind w:left="3045" w:right="1497" w:firstLine="0"/>
        <w:jc w:val="both"/>
        <w:rPr>
          <w:rFonts w:ascii="Palatino Linotype" w:hAnsi="Palatino Linotype"/>
          <w:i/>
          <w:sz w:val="19"/>
        </w:rPr>
      </w:pPr>
      <w:r>
        <w:rPr>
          <w:rFonts w:ascii="Palatino Linotype" w:hAnsi="Palatino Linotype"/>
          <w:i/>
          <w:sz w:val="19"/>
        </w:rPr>
        <w:t>Var energi det primære [fokus] synes jeg, det var et noget sjovt spor, at begynde at </w:t>
      </w:r>
      <w:r>
        <w:rPr>
          <w:rFonts w:ascii="Palatino Linotype" w:hAnsi="Palatino Linotype"/>
          <w:i/>
          <w:sz w:val="19"/>
        </w:rPr>
        <w:t>kaste sig ud i. Jeg bryder mit hoved og forsøger at finde en use case for det hvordan det kan gavne en bygningsejer, hvis man kendte den indre geografi.</w:t>
      </w:r>
    </w:p>
    <w:p>
      <w:pPr>
        <w:spacing w:before="2"/>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2"/>
        <w:rPr>
          <w:rFonts w:ascii="Palatino Linotype"/>
          <w:sz w:val="20"/>
        </w:rPr>
      </w:pPr>
    </w:p>
    <w:p>
      <w:pPr>
        <w:pStyle w:val="BodyText"/>
        <w:spacing w:line="278" w:lineRule="auto"/>
        <w:ind w:left="2649" w:right="1052"/>
      </w:pPr>
      <w:r>
        <w:rPr/>
        <w:t>Mange af de interviewede aktører ved af erfaring, at mange bygningsejere stadig har udfordringer med at indsamle og analysere helt grundlæggende energi- og bygningsdata for deres ejendomsportefølje. På det grundlag vurderer de, at det på nuværende tidspunkt – og et stykke ud fremtiden – vil være urealistisk at tro at den store gruppe af (offentlige) bygningsejere vil være i stand til at få værdi af at indsamle og analysere data på rumniveau i energieffektiviseringsøjemed.</w:t>
      </w:r>
    </w:p>
    <w:p>
      <w:pPr>
        <w:pStyle w:val="BodyText"/>
        <w:spacing w:before="11"/>
        <w:rPr>
          <w:sz w:val="18"/>
        </w:rPr>
      </w:pPr>
    </w:p>
    <w:p>
      <w:pPr>
        <w:spacing w:before="0"/>
        <w:ind w:left="3045" w:right="1441" w:firstLine="0"/>
        <w:jc w:val="left"/>
        <w:rPr>
          <w:rFonts w:ascii="Palatino Linotype" w:hAnsi="Palatino Linotype"/>
          <w:i/>
          <w:sz w:val="19"/>
        </w:rPr>
      </w:pPr>
      <w:r>
        <w:rPr>
          <w:rFonts w:ascii="Palatino Linotype" w:hAnsi="Palatino Linotype"/>
          <w:i/>
          <w:sz w:val="19"/>
        </w:rPr>
        <w:t>Åh, jeg synes stadig den er perifer i forhold til, hvad er ellers foregår. Jeg forudser </w:t>
      </w:r>
      <w:r>
        <w:rPr>
          <w:rFonts w:ascii="Palatino Linotype" w:hAnsi="Palatino Linotype"/>
          <w:i/>
          <w:sz w:val="19"/>
        </w:rPr>
        <w:t>et stort arbejde og en del medfølgende investeringer for at kortlægge en bygnings indre energiforbrug, det skal være store bygninger og nogle, der virkeligt bruger noget</w:t>
      </w:r>
      <w:r>
        <w:rPr>
          <w:rFonts w:ascii="Palatino Linotype" w:hAnsi="Palatino Linotype"/>
          <w:i/>
          <w:spacing w:val="-4"/>
          <w:sz w:val="19"/>
        </w:rPr>
        <w:t> </w:t>
      </w:r>
      <w:r>
        <w:rPr>
          <w:rFonts w:ascii="Palatino Linotype" w:hAnsi="Palatino Linotype"/>
          <w:i/>
          <w:sz w:val="19"/>
        </w:rPr>
        <w:t>energi,</w:t>
      </w:r>
      <w:r>
        <w:rPr>
          <w:rFonts w:ascii="Palatino Linotype" w:hAnsi="Palatino Linotype"/>
          <w:i/>
          <w:spacing w:val="-4"/>
          <w:sz w:val="19"/>
        </w:rPr>
        <w:t> </w:t>
      </w:r>
      <w:r>
        <w:rPr>
          <w:rFonts w:ascii="Palatino Linotype" w:hAnsi="Palatino Linotype"/>
          <w:i/>
          <w:sz w:val="19"/>
        </w:rPr>
        <w:t>for</w:t>
      </w:r>
      <w:r>
        <w:rPr>
          <w:rFonts w:ascii="Palatino Linotype" w:hAnsi="Palatino Linotype"/>
          <w:i/>
          <w:spacing w:val="-2"/>
          <w:sz w:val="19"/>
        </w:rPr>
        <w:t> </w:t>
      </w:r>
      <w:r>
        <w:rPr>
          <w:rFonts w:ascii="Palatino Linotype" w:hAnsi="Palatino Linotype"/>
          <w:i/>
          <w:sz w:val="19"/>
        </w:rPr>
        <w:t>at</w:t>
      </w:r>
      <w:r>
        <w:rPr>
          <w:rFonts w:ascii="Palatino Linotype" w:hAnsi="Palatino Linotype"/>
          <w:i/>
          <w:spacing w:val="-3"/>
          <w:sz w:val="19"/>
        </w:rPr>
        <w:t> </w:t>
      </w:r>
      <w:r>
        <w:rPr>
          <w:rFonts w:ascii="Palatino Linotype" w:hAnsi="Palatino Linotype"/>
          <w:i/>
          <w:sz w:val="19"/>
        </w:rPr>
        <w:t>det</w:t>
      </w:r>
      <w:r>
        <w:rPr>
          <w:rFonts w:ascii="Palatino Linotype" w:hAnsi="Palatino Linotype"/>
          <w:i/>
          <w:spacing w:val="-4"/>
          <w:sz w:val="19"/>
        </w:rPr>
        <w:t> </w:t>
      </w:r>
      <w:r>
        <w:rPr>
          <w:rFonts w:ascii="Palatino Linotype" w:hAnsi="Palatino Linotype"/>
          <w:i/>
          <w:sz w:val="19"/>
        </w:rPr>
        <w:t>kan</w:t>
      </w:r>
      <w:r>
        <w:rPr>
          <w:rFonts w:ascii="Palatino Linotype" w:hAnsi="Palatino Linotype"/>
          <w:i/>
          <w:spacing w:val="-3"/>
          <w:sz w:val="19"/>
        </w:rPr>
        <w:t> </w:t>
      </w:r>
      <w:r>
        <w:rPr>
          <w:rFonts w:ascii="Palatino Linotype" w:hAnsi="Palatino Linotype"/>
          <w:i/>
          <w:sz w:val="19"/>
        </w:rPr>
        <w:t>svare</w:t>
      </w:r>
      <w:r>
        <w:rPr>
          <w:rFonts w:ascii="Palatino Linotype" w:hAnsi="Palatino Linotype"/>
          <w:i/>
          <w:spacing w:val="-2"/>
          <w:sz w:val="19"/>
        </w:rPr>
        <w:t> </w:t>
      </w:r>
      <w:r>
        <w:rPr>
          <w:rFonts w:ascii="Palatino Linotype" w:hAnsi="Palatino Linotype"/>
          <w:i/>
          <w:sz w:val="19"/>
        </w:rPr>
        <w:t>sig.</w:t>
      </w:r>
      <w:r>
        <w:rPr>
          <w:rFonts w:ascii="Palatino Linotype" w:hAnsi="Palatino Linotype"/>
          <w:i/>
          <w:spacing w:val="-2"/>
          <w:sz w:val="19"/>
        </w:rPr>
        <w:t> </w:t>
      </w:r>
      <w:r>
        <w:rPr>
          <w:rFonts w:ascii="Palatino Linotype" w:hAnsi="Palatino Linotype"/>
          <w:i/>
          <w:sz w:val="19"/>
        </w:rPr>
        <w:t>[Interviewer:</w:t>
      </w:r>
      <w:r>
        <w:rPr>
          <w:rFonts w:ascii="Palatino Linotype" w:hAnsi="Palatino Linotype"/>
          <w:i/>
          <w:spacing w:val="-3"/>
          <w:sz w:val="19"/>
        </w:rPr>
        <w:t> </w:t>
      </w:r>
      <w:r>
        <w:rPr>
          <w:rFonts w:ascii="Palatino Linotype" w:hAnsi="Palatino Linotype"/>
          <w:i/>
          <w:sz w:val="19"/>
        </w:rPr>
        <w:t>Hvordan</w:t>
      </w:r>
      <w:r>
        <w:rPr>
          <w:rFonts w:ascii="Palatino Linotype" w:hAnsi="Palatino Linotype"/>
          <w:i/>
          <w:spacing w:val="-4"/>
          <w:sz w:val="19"/>
        </w:rPr>
        <w:t> </w:t>
      </w:r>
      <w:r>
        <w:rPr>
          <w:rFonts w:ascii="Palatino Linotype" w:hAnsi="Palatino Linotype"/>
          <w:i/>
          <w:sz w:val="19"/>
        </w:rPr>
        <w:t>perifert?]</w:t>
      </w:r>
      <w:r>
        <w:rPr>
          <w:rFonts w:ascii="Palatino Linotype" w:hAnsi="Palatino Linotype"/>
          <w:i/>
          <w:spacing w:val="-3"/>
          <w:sz w:val="19"/>
        </w:rPr>
        <w:t> </w:t>
      </w:r>
      <w:r>
        <w:rPr>
          <w:rFonts w:ascii="Palatino Linotype" w:hAnsi="Palatino Linotype"/>
          <w:i/>
          <w:sz w:val="19"/>
        </w:rPr>
        <w:t>Mange</w:t>
      </w:r>
      <w:r>
        <w:rPr>
          <w:rFonts w:ascii="Palatino Linotype" w:hAnsi="Palatino Linotype"/>
          <w:i/>
          <w:spacing w:val="-2"/>
          <w:sz w:val="19"/>
        </w:rPr>
        <w:t> </w:t>
      </w:r>
      <w:r>
        <w:rPr>
          <w:rFonts w:ascii="Palatino Linotype" w:hAnsi="Palatino Linotype"/>
          <w:i/>
          <w:sz w:val="19"/>
        </w:rPr>
        <w:t>af</w:t>
      </w:r>
      <w:r>
        <w:rPr>
          <w:rFonts w:ascii="Palatino Linotype" w:hAnsi="Palatino Linotype"/>
          <w:i/>
          <w:spacing w:val="-5"/>
          <w:sz w:val="19"/>
        </w:rPr>
        <w:t> </w:t>
      </w:r>
      <w:r>
        <w:rPr>
          <w:rFonts w:ascii="Palatino Linotype" w:hAnsi="Palatino Linotype"/>
          <w:i/>
          <w:sz w:val="19"/>
        </w:rPr>
        <w:t>de energibesparelser vi finder, er helt banale. Ting der kører om natten og ikke skal køre, vand der løber, brud på vandrør, varmeanlæg der modarbejder</w:t>
      </w:r>
      <w:r>
        <w:rPr>
          <w:rFonts w:ascii="Palatino Linotype" w:hAnsi="Palatino Linotype"/>
          <w:i/>
          <w:spacing w:val="-22"/>
          <w:sz w:val="19"/>
        </w:rPr>
        <w:t> </w:t>
      </w:r>
      <w:r>
        <w:rPr>
          <w:rFonts w:ascii="Palatino Linotype" w:hAnsi="Palatino Linotype"/>
          <w:i/>
          <w:sz w:val="19"/>
        </w:rPr>
        <w:t>ventilations-</w:t>
      </w:r>
    </w:p>
    <w:p>
      <w:pPr>
        <w:spacing w:line="255" w:lineRule="exact" w:before="0"/>
        <w:ind w:left="3045" w:right="0" w:firstLine="0"/>
        <w:jc w:val="left"/>
        <w:rPr>
          <w:rFonts w:ascii="Palatino Linotype" w:hAnsi="Palatino Linotype"/>
          <w:i/>
          <w:sz w:val="19"/>
        </w:rPr>
      </w:pPr>
      <w:r>
        <w:rPr>
          <w:rFonts w:ascii="Palatino Linotype" w:hAnsi="Palatino Linotype"/>
          <w:i/>
          <w:sz w:val="19"/>
        </w:rPr>
        <w:t>anlæg.</w:t>
      </w:r>
      <w:r>
        <w:rPr>
          <w:rFonts w:ascii="Palatino Linotype" w:hAnsi="Palatino Linotype"/>
          <w:i/>
          <w:spacing w:val="-2"/>
          <w:sz w:val="19"/>
        </w:rPr>
        <w:t> </w:t>
      </w:r>
      <w:r>
        <w:rPr>
          <w:rFonts w:ascii="Palatino Linotype" w:hAnsi="Palatino Linotype"/>
          <w:i/>
          <w:sz w:val="19"/>
        </w:rPr>
        <w:t>Spørgsmålet</w:t>
      </w:r>
      <w:r>
        <w:rPr>
          <w:rFonts w:ascii="Palatino Linotype" w:hAnsi="Palatino Linotype"/>
          <w:i/>
          <w:spacing w:val="-3"/>
          <w:sz w:val="19"/>
        </w:rPr>
        <w:t> </w:t>
      </w:r>
      <w:r>
        <w:rPr>
          <w:rFonts w:ascii="Palatino Linotype" w:hAnsi="Palatino Linotype"/>
          <w:i/>
          <w:sz w:val="19"/>
        </w:rPr>
        <w:t>er,</w:t>
      </w:r>
      <w:r>
        <w:rPr>
          <w:rFonts w:ascii="Palatino Linotype" w:hAnsi="Palatino Linotype"/>
          <w:i/>
          <w:spacing w:val="-2"/>
          <w:sz w:val="19"/>
        </w:rPr>
        <w:t> </w:t>
      </w:r>
      <w:r>
        <w:rPr>
          <w:rFonts w:ascii="Palatino Linotype" w:hAnsi="Palatino Linotype"/>
          <w:i/>
          <w:sz w:val="19"/>
        </w:rPr>
        <w:t>om</w:t>
      </w:r>
      <w:r>
        <w:rPr>
          <w:rFonts w:ascii="Palatino Linotype" w:hAnsi="Palatino Linotype"/>
          <w:i/>
          <w:spacing w:val="-4"/>
          <w:sz w:val="19"/>
        </w:rPr>
        <w:t> </w:t>
      </w:r>
      <w:r>
        <w:rPr>
          <w:rFonts w:ascii="Palatino Linotype" w:hAnsi="Palatino Linotype"/>
          <w:i/>
          <w:sz w:val="19"/>
        </w:rPr>
        <w:t>ikke</w:t>
      </w:r>
      <w:r>
        <w:rPr>
          <w:rFonts w:ascii="Palatino Linotype" w:hAnsi="Palatino Linotype"/>
          <w:i/>
          <w:spacing w:val="-4"/>
          <w:sz w:val="19"/>
        </w:rPr>
        <w:t> </w:t>
      </w:r>
      <w:r>
        <w:rPr>
          <w:rFonts w:ascii="Palatino Linotype" w:hAnsi="Palatino Linotype"/>
          <w:i/>
          <w:sz w:val="19"/>
        </w:rPr>
        <w:t>det</w:t>
      </w:r>
      <w:r>
        <w:rPr>
          <w:rFonts w:ascii="Palatino Linotype" w:hAnsi="Palatino Linotype"/>
          <w:i/>
          <w:spacing w:val="-3"/>
          <w:sz w:val="19"/>
        </w:rPr>
        <w:t> </w:t>
      </w:r>
      <w:r>
        <w:rPr>
          <w:rFonts w:ascii="Palatino Linotype" w:hAnsi="Palatino Linotype"/>
          <w:i/>
          <w:sz w:val="19"/>
        </w:rPr>
        <w:t>her</w:t>
      </w:r>
      <w:r>
        <w:rPr>
          <w:rFonts w:ascii="Palatino Linotype" w:hAnsi="Palatino Linotype"/>
          <w:i/>
          <w:spacing w:val="-2"/>
          <w:sz w:val="19"/>
        </w:rPr>
        <w:t> </w:t>
      </w:r>
      <w:r>
        <w:rPr>
          <w:rFonts w:ascii="Palatino Linotype" w:hAnsi="Palatino Linotype"/>
          <w:i/>
          <w:sz w:val="19"/>
        </w:rPr>
        <w:t>[…]</w:t>
      </w:r>
      <w:r>
        <w:rPr>
          <w:rFonts w:ascii="Palatino Linotype" w:hAnsi="Palatino Linotype"/>
          <w:i/>
          <w:spacing w:val="-3"/>
          <w:sz w:val="19"/>
        </w:rPr>
        <w:t> </w:t>
      </w:r>
      <w:r>
        <w:rPr>
          <w:rFonts w:ascii="Palatino Linotype" w:hAnsi="Palatino Linotype"/>
          <w:i/>
          <w:sz w:val="19"/>
        </w:rPr>
        <w:t>er</w:t>
      </w:r>
      <w:r>
        <w:rPr>
          <w:rFonts w:ascii="Palatino Linotype" w:hAnsi="Palatino Linotype"/>
          <w:i/>
          <w:spacing w:val="-2"/>
          <w:sz w:val="19"/>
        </w:rPr>
        <w:t> </w:t>
      </w:r>
      <w:r>
        <w:rPr>
          <w:rFonts w:ascii="Palatino Linotype" w:hAnsi="Palatino Linotype"/>
          <w:i/>
          <w:sz w:val="19"/>
        </w:rPr>
        <w:t>noget</w:t>
      </w:r>
      <w:r>
        <w:rPr>
          <w:rFonts w:ascii="Palatino Linotype" w:hAnsi="Palatino Linotype"/>
          <w:i/>
          <w:spacing w:val="-2"/>
          <w:sz w:val="19"/>
        </w:rPr>
        <w:t> </w:t>
      </w:r>
      <w:r>
        <w:rPr>
          <w:rFonts w:ascii="Palatino Linotype" w:hAnsi="Palatino Linotype"/>
          <w:i/>
          <w:sz w:val="19"/>
        </w:rPr>
        <w:t>af</w:t>
      </w:r>
      <w:r>
        <w:rPr>
          <w:rFonts w:ascii="Palatino Linotype" w:hAnsi="Palatino Linotype"/>
          <w:i/>
          <w:spacing w:val="-3"/>
          <w:sz w:val="19"/>
        </w:rPr>
        <w:t> </w:t>
      </w:r>
      <w:r>
        <w:rPr>
          <w:rFonts w:ascii="Palatino Linotype" w:hAnsi="Palatino Linotype"/>
          <w:i/>
          <w:sz w:val="19"/>
        </w:rPr>
        <w:t>det</w:t>
      </w:r>
      <w:r>
        <w:rPr>
          <w:rFonts w:ascii="Palatino Linotype" w:hAnsi="Palatino Linotype"/>
          <w:i/>
          <w:spacing w:val="-3"/>
          <w:sz w:val="19"/>
        </w:rPr>
        <w:t> </w:t>
      </w:r>
      <w:r>
        <w:rPr>
          <w:rFonts w:ascii="Palatino Linotype" w:hAnsi="Palatino Linotype"/>
          <w:i/>
          <w:sz w:val="19"/>
        </w:rPr>
        <w:t>sidste</w:t>
      </w:r>
      <w:r>
        <w:rPr>
          <w:rFonts w:ascii="Palatino Linotype" w:hAnsi="Palatino Linotype"/>
          <w:i/>
          <w:spacing w:val="-2"/>
          <w:sz w:val="19"/>
        </w:rPr>
        <w:t> </w:t>
      </w:r>
      <w:r>
        <w:rPr>
          <w:rFonts w:ascii="Palatino Linotype" w:hAnsi="Palatino Linotype"/>
          <w:i/>
          <w:sz w:val="19"/>
        </w:rPr>
        <w:t>optimering,</w:t>
      </w:r>
      <w:r>
        <w:rPr>
          <w:rFonts w:ascii="Palatino Linotype" w:hAnsi="Palatino Linotype"/>
          <w:i/>
          <w:spacing w:val="-2"/>
          <w:sz w:val="19"/>
        </w:rPr>
        <w:t> </w:t>
      </w:r>
      <w:r>
        <w:rPr>
          <w:rFonts w:ascii="Palatino Linotype" w:hAnsi="Palatino Linotype"/>
          <w:i/>
          <w:sz w:val="19"/>
        </w:rPr>
        <w:t>der</w:t>
      </w:r>
    </w:p>
    <w:p>
      <w:pPr>
        <w:spacing w:before="1"/>
        <w:ind w:left="3045" w:right="0" w:firstLine="0"/>
        <w:jc w:val="left"/>
        <w:rPr>
          <w:rFonts w:ascii="Palatino Linotype" w:hAnsi="Palatino Linotype"/>
          <w:i/>
          <w:sz w:val="19"/>
        </w:rPr>
      </w:pPr>
      <w:r>
        <w:rPr>
          <w:rFonts w:ascii="Palatino Linotype" w:hAnsi="Palatino Linotype"/>
          <w:i/>
          <w:sz w:val="19"/>
        </w:rPr>
        <w:t>kan foregå?</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131"/>
      </w:pPr>
      <w:r>
        <w:rPr/>
        <w:t>Dette betyder dog ikke, at de interviewede </w:t>
      </w:r>
      <w:r>
        <w:rPr>
          <w:i/>
        </w:rPr>
        <w:t>ikke </w:t>
      </w:r>
      <w:r>
        <w:rPr/>
        <w:t>mener, at en steddatabase kan give værdi i forhold til energieffektivisering. Blot at der formentligt vil være større udbytte andre steder, og at man derfor bør se på anvendelser på tværs af byg- ningsdriftens forskellige domæner, for at vurdere projektets relevans.</w:t>
      </w:r>
    </w:p>
    <w:p>
      <w:pPr>
        <w:pStyle w:val="BodyText"/>
        <w:spacing w:before="9"/>
        <w:rPr>
          <w:sz w:val="18"/>
        </w:rPr>
      </w:pPr>
    </w:p>
    <w:p>
      <w:pPr>
        <w:spacing w:before="0"/>
        <w:ind w:left="3045" w:right="1447" w:firstLine="0"/>
        <w:jc w:val="both"/>
        <w:rPr>
          <w:rFonts w:ascii="Palatino Linotype" w:hAnsi="Palatino Linotype"/>
          <w:i/>
          <w:sz w:val="19"/>
        </w:rPr>
      </w:pPr>
      <w:r>
        <w:rPr>
          <w:rFonts w:ascii="Palatino Linotype" w:hAnsi="Palatino Linotype"/>
          <w:i/>
          <w:sz w:val="19"/>
        </w:rPr>
        <w:t>Der er vel andre anvendelsesmuligheder end dét, vi skal vi bruge den til? Jeg synes </w:t>
      </w:r>
      <w:r>
        <w:rPr>
          <w:rFonts w:ascii="Palatino Linotype" w:hAnsi="Palatino Linotype"/>
          <w:i/>
          <w:sz w:val="19"/>
        </w:rPr>
        <w:t>ærligt talt, hvis man skal hænge det op på, at vi skal bruge det – udelukkende os og vores kunder – skal man give en stor klat penge til udvikling, hvor man kun snak- ker vores [energi]sigte, så skal man ikke gøre det. Men snakker man bygningssekto- ren generelt [så er det noget andet].</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spacing w:after="0"/>
        <w:jc w:val="left"/>
        <w:rPr>
          <w:rFonts w:ascii="Palatino Linotype" w:hAnsi="Palatino Linotype"/>
          <w:sz w:val="19"/>
        </w:rPr>
        <w:sectPr>
          <w:type w:val="continuous"/>
          <w:pgSz w:w="11910" w:h="16840"/>
          <w:pgMar w:top="1580" w:bottom="280" w:left="980" w:right="10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26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6"/>
        <w:rPr>
          <w:sz w:val="24"/>
        </w:rPr>
      </w:pPr>
    </w:p>
    <w:p>
      <w:pPr>
        <w:spacing w:before="101"/>
        <w:ind w:left="2649" w:right="0" w:firstLine="0"/>
        <w:jc w:val="left"/>
        <w:rPr>
          <w:i/>
          <w:sz w:val="17"/>
        </w:rPr>
      </w:pPr>
      <w:r>
        <w:rPr>
          <w:i/>
          <w:sz w:val="17"/>
        </w:rPr>
        <w:t>Bedre nøgletal</w:t>
      </w:r>
    </w:p>
    <w:p>
      <w:pPr>
        <w:pStyle w:val="BodyText"/>
        <w:spacing w:line="278" w:lineRule="auto" w:before="33"/>
        <w:ind w:left="2649" w:right="1161"/>
      </w:pPr>
      <w:r>
        <w:rPr/>
        <w:t>Ét område, hvor en steddatabase vil gøre det muligt at arbejde mere præcist og dynamisk med energieffektivisering er i forhold til nøgletal og benchmark. I dag arbejdes der i benchmark-sammenhænge typisk på energiforbrug pr. kvadratme- ter. Flere af de interviewede aktører påpeger, at det ville være mere præcist at regne i energiforbrug pr. kubikmeter, hvilket en steddatabase ville give mulighed for, såfremt rumvolumen er en attribut til rum-koordinatet.</w:t>
      </w:r>
    </w:p>
    <w:p>
      <w:pPr>
        <w:pStyle w:val="BodyText"/>
        <w:spacing w:before="9"/>
        <w:rPr>
          <w:sz w:val="18"/>
        </w:rPr>
      </w:pPr>
    </w:p>
    <w:p>
      <w:pPr>
        <w:spacing w:before="0"/>
        <w:ind w:left="3045" w:right="1484" w:firstLine="0"/>
        <w:jc w:val="left"/>
        <w:rPr>
          <w:rFonts w:ascii="Palatino Linotype" w:hAnsi="Palatino Linotype"/>
          <w:i/>
          <w:sz w:val="19"/>
        </w:rPr>
      </w:pPr>
      <w:r>
        <w:rPr>
          <w:rFonts w:ascii="Palatino Linotype" w:hAnsi="Palatino Linotype"/>
          <w:i/>
          <w:sz w:val="19"/>
        </w:rPr>
        <w:t>Vi taler meget om bygningsareal i vores forretning. Det er måske lidt misvisende, </w:t>
      </w:r>
      <w:r>
        <w:rPr>
          <w:rFonts w:ascii="Palatino Linotype" w:hAnsi="Palatino Linotype"/>
          <w:i/>
          <w:sz w:val="19"/>
        </w:rPr>
        <w:t>når man har med store bygninger at gøre. Der burde man måske tale om rumfang. […At bruge] kvadratmeter sammenligning som benchmark er lidt fattigt. Man burde have rumfanget med. Det indre rumfang, der kunne måske være noget i for- hold til, at få z-koordinaten med. Og så man kun lave benchmark på det [… og] koble det interne energiforbrug til et geografisk areal, så kan man lave heatmap- ping, så kan man sige, at på de her kubikmeter her et højere energinøgletal end de her kubikmeter – hvordan kan det være? Så kan man sige, hvor bruger jeg mest energi i bygningen? Det kræver bi-måling og kræver kortlægning af, hvad ventila- tions- og varmeanlæggene forsyner i bygningerne.</w:t>
      </w:r>
    </w:p>
    <w:p>
      <w:pPr>
        <w:spacing w:before="3"/>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11"/>
        <w:rPr>
          <w:rFonts w:ascii="Palatino Linotype"/>
          <w:sz w:val="21"/>
        </w:rPr>
      </w:pPr>
    </w:p>
    <w:p>
      <w:pPr>
        <w:spacing w:line="278" w:lineRule="auto" w:before="0"/>
        <w:ind w:left="2649" w:right="1038" w:firstLine="0"/>
        <w:jc w:val="left"/>
        <w:rPr>
          <w:b/>
          <w:sz w:val="20"/>
        </w:rPr>
      </w:pPr>
      <w:r>
        <w:rPr>
          <w:b/>
          <w:sz w:val="20"/>
        </w:rPr>
        <w:t>Effektiv drift og vedligehold via præcis lokalisering af installa- tioner</w:t>
      </w:r>
    </w:p>
    <w:p>
      <w:pPr>
        <w:pStyle w:val="BodyText"/>
        <w:spacing w:line="278" w:lineRule="auto"/>
        <w:ind w:left="2649" w:right="1238"/>
      </w:pPr>
      <w:r>
        <w:rPr/>
        <w:t>Et område, hvor flere påpeger, at der vil være værdi at hente i en steddatabase, er i forhold til effektivisering af drift og vedligehold.</w:t>
      </w:r>
    </w:p>
    <w:p>
      <w:pPr>
        <w:pStyle w:val="BodyText"/>
        <w:spacing w:before="2"/>
        <w:rPr>
          <w:sz w:val="18"/>
        </w:rPr>
      </w:pPr>
    </w:p>
    <w:p>
      <w:pPr>
        <w:spacing w:before="0"/>
        <w:ind w:left="3045" w:right="1417" w:firstLine="0"/>
        <w:jc w:val="left"/>
        <w:rPr>
          <w:rFonts w:ascii="Palatino Linotype" w:hAnsi="Palatino Linotype"/>
          <w:i/>
          <w:sz w:val="19"/>
        </w:rPr>
      </w:pPr>
      <w:r>
        <w:rPr>
          <w:rFonts w:ascii="Palatino Linotype" w:hAnsi="Palatino Linotype"/>
          <w:i/>
          <w:sz w:val="19"/>
        </w:rPr>
        <w:t>[Interviewer: Kan der være et forretningspotentiale i forhold til jeres energisty- </w:t>
      </w:r>
      <w:r>
        <w:rPr>
          <w:rFonts w:ascii="Palatino Linotype" w:hAnsi="Palatino Linotype"/>
          <w:i/>
          <w:sz w:val="19"/>
        </w:rPr>
        <w:t>ringssystem?] Jeg tror der findes større synergi-muligheder med andre brancher end vores. Jeg ville kigge på service og vedligehold, hvor man har svært ved at finde ud af hvor tingene sidder. […] Dét, der er svært, det er alt det, der er skjult. Det kræver et perfekt tegningsarbejde.</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042"/>
      </w:pPr>
      <w:r>
        <w:rPr/>
        <w:t>Hvis installatører, servicefolk, vagtfolk mv. kan hente den viden om en bygnings indretning og installationers placering, som de har brug for, i steddatabasen, vil de kunne servicere bygningen hurtigt, effektivt og målrettet uden forhåndskendskab, hvilket ville være en stor gevinst.</w:t>
      </w:r>
    </w:p>
    <w:p>
      <w:pPr>
        <w:pStyle w:val="BodyText"/>
        <w:spacing w:before="8"/>
        <w:rPr>
          <w:sz w:val="18"/>
        </w:rPr>
      </w:pPr>
    </w:p>
    <w:p>
      <w:pPr>
        <w:spacing w:before="1"/>
        <w:ind w:left="3045" w:right="1475" w:firstLine="0"/>
        <w:jc w:val="left"/>
        <w:rPr>
          <w:rFonts w:ascii="Palatino Linotype" w:hAnsi="Palatino Linotype"/>
          <w:i/>
          <w:sz w:val="19"/>
        </w:rPr>
      </w:pPr>
      <w:r>
        <w:rPr>
          <w:rFonts w:ascii="Palatino Linotype" w:hAnsi="Palatino Linotype"/>
          <w:i/>
          <w:sz w:val="19"/>
        </w:rPr>
        <w:t>Har du talt med installatører? Det er altid et problem, at finde ud af, hvor målerne </w:t>
      </w:r>
      <w:r>
        <w:rPr>
          <w:rFonts w:ascii="Palatino Linotype" w:hAnsi="Palatino Linotype"/>
          <w:i/>
          <w:sz w:val="19"/>
        </w:rPr>
        <w:t>og installationerne sidder henne – dér kunne være noget med at have mappet dem op, det vil være lettere at vedligeholde.</w:t>
      </w:r>
    </w:p>
    <w:p>
      <w:pPr>
        <w:spacing w:before="2"/>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3"/>
        <w:rPr>
          <w:rFonts w:ascii="Palatino Linotype"/>
          <w:sz w:val="20"/>
        </w:rPr>
      </w:pPr>
    </w:p>
    <w:p>
      <w:pPr>
        <w:pStyle w:val="BodyText"/>
        <w:spacing w:line="278" w:lineRule="auto" w:before="1"/>
        <w:ind w:left="2649" w:right="1150"/>
      </w:pPr>
      <w:r>
        <w:rPr/>
        <w:t>I tråd med det påpeges det, at det vil give værdi, hvis man mere effektivt kan lo- kalisere målere og de områder, de forsyner, uden at besigtige den pågældende bygning fysisk.</w:t>
      </w:r>
    </w:p>
    <w:p>
      <w:pPr>
        <w:pStyle w:val="BodyText"/>
        <w:spacing w:before="8"/>
        <w:rPr>
          <w:sz w:val="18"/>
        </w:rPr>
      </w:pPr>
    </w:p>
    <w:p>
      <w:pPr>
        <w:spacing w:before="0"/>
        <w:ind w:left="3045" w:right="1595" w:firstLine="0"/>
        <w:jc w:val="both"/>
        <w:rPr>
          <w:rFonts w:ascii="Palatino Linotype" w:hAnsi="Palatino Linotype"/>
          <w:i/>
          <w:sz w:val="19"/>
        </w:rPr>
      </w:pPr>
      <w:r>
        <w:rPr>
          <w:rFonts w:ascii="Palatino Linotype" w:hAnsi="Palatino Linotype"/>
          <w:i/>
          <w:sz w:val="19"/>
        </w:rPr>
        <w:t>Nogle af de ting vi slås med i hverdagen, det er om vi kan være sikre på, hvor den </w:t>
      </w:r>
      <w:r>
        <w:rPr>
          <w:rFonts w:ascii="Palatino Linotype" w:hAnsi="Palatino Linotype"/>
          <w:i/>
          <w:sz w:val="19"/>
        </w:rPr>
        <w:t>her måler sidder i virkeligheden – hvor er den og hvad forsyner den? I forhold til det kan jeg se en værdi, hvis man kan være mere sikker på det. Det er det samme, som hvis man finder den fysisk. Kan man blive mere sikker i sin sag uden at være ude i bygningen?</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spacing w:after="0"/>
        <w:jc w:val="left"/>
        <w:rPr>
          <w:rFonts w:ascii="Palatino Linotype" w:hAnsi="Palatino Linotype"/>
          <w:sz w:val="19"/>
        </w:rPr>
        <w:sectPr>
          <w:type w:val="continuous"/>
          <w:pgSz w:w="11910" w:h="16840"/>
          <w:pgMar w:top="1580" w:bottom="280" w:left="980" w:right="10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16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160"/>
      </w:pPr>
      <w:r>
        <w:rPr/>
        <w:t>Dette forudsætter dog, at bygningsejeren – udover rumcentroider, adgangspunk- ter m.v. – også geolokaliserer tekniske installationer, målere og rørføring.</w:t>
      </w:r>
    </w:p>
    <w:p>
      <w:pPr>
        <w:pStyle w:val="BodyText"/>
        <w:spacing w:before="8"/>
        <w:rPr>
          <w:sz w:val="21"/>
        </w:rPr>
      </w:pPr>
    </w:p>
    <w:p>
      <w:pPr>
        <w:pStyle w:val="BodyText"/>
        <w:spacing w:line="276" w:lineRule="auto"/>
        <w:ind w:left="2649" w:right="1269"/>
      </w:pPr>
      <w:r>
        <w:rPr>
          <w:b/>
          <w:sz w:val="20"/>
        </w:rPr>
        <w:t>Samfundsøkonomisk værdi i at sikre brug og genbrug af data </w:t>
      </w:r>
      <w:r>
        <w:rPr/>
        <w:t>Et anvendelsesperspektiv, som flere nævner kan have værdi, er at en steddata- base og datainfrastruktur er en vej til at sikre at data bliver produceret, gemt, brugt og gjort tilgængelige – på tværs af bygningsejere, aktører og domæner.</w:t>
      </w:r>
    </w:p>
    <w:p>
      <w:pPr>
        <w:pStyle w:val="BodyText"/>
        <w:spacing w:before="9"/>
        <w:rPr>
          <w:sz w:val="21"/>
        </w:rPr>
      </w:pPr>
    </w:p>
    <w:p>
      <w:pPr>
        <w:pStyle w:val="BodyText"/>
        <w:spacing w:line="278" w:lineRule="auto"/>
        <w:ind w:left="2649" w:right="1150"/>
      </w:pPr>
      <w:r>
        <w:rPr/>
        <w:t>Som eksempel nævnes, at det vil have samfundsøkonomisk værdi, at skabe ram- mer, der sikrer, at når bygningsdata først er produceret, så bliver de gemt, så de fx kan overdrages og ikke forsvinder ved salg - som det ellers ofte er tilfældet i dag.</w:t>
      </w:r>
    </w:p>
    <w:p>
      <w:pPr>
        <w:pStyle w:val="BodyText"/>
        <w:spacing w:before="9"/>
        <w:rPr>
          <w:sz w:val="18"/>
        </w:rPr>
      </w:pPr>
    </w:p>
    <w:p>
      <w:pPr>
        <w:spacing w:before="0"/>
        <w:ind w:left="3045" w:right="1468" w:firstLine="0"/>
        <w:jc w:val="left"/>
        <w:rPr>
          <w:rFonts w:ascii="Palatino Linotype" w:hAnsi="Palatino Linotype"/>
          <w:i/>
          <w:sz w:val="19"/>
        </w:rPr>
      </w:pPr>
      <w:r>
        <w:rPr>
          <w:rFonts w:ascii="Palatino Linotype" w:hAnsi="Palatino Linotype"/>
          <w:i/>
          <w:sz w:val="19"/>
        </w:rPr>
        <w:t>Det interessante for os, det handler om genbrug af data, det gør du i dag via BBR. </w:t>
      </w:r>
      <w:r>
        <w:rPr>
          <w:rFonts w:ascii="Palatino Linotype" w:hAnsi="Palatino Linotype"/>
          <w:i/>
          <w:sz w:val="19"/>
        </w:rPr>
        <w:t>Hvis du investerer [i en ejendom] så ville du allerede vide en masse – det er gen- brug af data. Skifter bygninger ejer, så forsvinder data [om bygningens indre] ofte, det er jo spild. For det skal genopbygges igen. De offentlige kigger og scanner ty- pisk og opbygger data igen. Det er dyrt og spild af ressourcer. Lige nu lagrer vi bruttodata i BBR. Men de offentlige efterspørger også det indre.</w:t>
      </w:r>
    </w:p>
    <w:p>
      <w:pPr>
        <w:spacing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4"/>
        <w:rPr>
          <w:rFonts w:ascii="Palatino Linotype"/>
          <w:sz w:val="20"/>
        </w:rPr>
      </w:pPr>
    </w:p>
    <w:p>
      <w:pPr>
        <w:pStyle w:val="BodyText"/>
        <w:spacing w:line="278" w:lineRule="auto"/>
        <w:ind w:left="2649" w:right="1199"/>
      </w:pPr>
      <w:r>
        <w:rPr/>
        <w:t>En andet potentiale, der nævens, er muligheden for at stille offentlige datasæt til rådighed til gavn for private aktørers drift.</w:t>
      </w:r>
    </w:p>
    <w:p>
      <w:pPr>
        <w:pStyle w:val="BodyText"/>
        <w:spacing w:before="8"/>
        <w:rPr>
          <w:sz w:val="18"/>
        </w:rPr>
      </w:pPr>
    </w:p>
    <w:p>
      <w:pPr>
        <w:spacing w:before="0"/>
        <w:ind w:left="3045" w:right="1484" w:firstLine="0"/>
        <w:jc w:val="left"/>
        <w:rPr>
          <w:rFonts w:ascii="Palatino Linotype" w:hAnsi="Palatino Linotype"/>
          <w:i/>
          <w:sz w:val="19"/>
        </w:rPr>
      </w:pPr>
      <w:r>
        <w:rPr>
          <w:rFonts w:ascii="Palatino Linotype" w:hAnsi="Palatino Linotype"/>
          <w:i/>
          <w:sz w:val="19"/>
        </w:rPr>
        <w:t>Det offentliges datasæt kan effektiviserer privatvirksomheders drift [hvis de stilles </w:t>
      </w:r>
      <w:r>
        <w:rPr>
          <w:rFonts w:ascii="Palatino Linotype" w:hAnsi="Palatino Linotype"/>
          <w:i/>
          <w:sz w:val="19"/>
        </w:rPr>
        <w:t>til rådighed].</w:t>
      </w:r>
    </w:p>
    <w:p>
      <w:pPr>
        <w:spacing w:before="1"/>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095"/>
      </w:pPr>
      <w:r>
        <w:rPr/>
        <w:t>På forskellige måder kan offentlige data skabe værdi for private aktører, fx via sammenligning af nøgletal. Dette forudsætter dog, at der skabes fri adgang til ud- valgte domænespecifikke data.</w:t>
      </w:r>
    </w:p>
    <w:p>
      <w:pPr>
        <w:pStyle w:val="BodyText"/>
        <w:rPr>
          <w:sz w:val="23"/>
        </w:rPr>
      </w:pPr>
    </w:p>
    <w:p>
      <w:pPr>
        <w:spacing w:before="0"/>
        <w:ind w:left="2649" w:right="0" w:firstLine="0"/>
        <w:jc w:val="left"/>
        <w:rPr>
          <w:i/>
          <w:sz w:val="17"/>
        </w:rPr>
      </w:pPr>
      <w:r>
        <w:rPr>
          <w:i/>
          <w:sz w:val="17"/>
        </w:rPr>
        <w:t>Forskningspotentiale</w:t>
      </w:r>
    </w:p>
    <w:p>
      <w:pPr>
        <w:pStyle w:val="BodyText"/>
        <w:spacing w:line="278" w:lineRule="auto" w:before="36"/>
        <w:ind w:left="2649" w:right="1056"/>
      </w:pPr>
      <w:r>
        <w:rPr/>
        <w:t>En andet område, hvor det påpeges at datasæt fra steddatabasen ville kunne skabe værdi er på forskningsområdet. I dag forskes der ofte i bygningsdrift på grundlag af testbygninger, hvor der indsamles og analyseres data. Derfor påpeges det, at muligheden for at tilgå detaljerede data på tværs af de offentlige bygnings- porteføljer ville have stor værdi i et forskningsperspektiv.</w:t>
      </w:r>
    </w:p>
    <w:p>
      <w:pPr>
        <w:pStyle w:val="BodyText"/>
        <w:spacing w:before="9"/>
        <w:rPr>
          <w:sz w:val="18"/>
        </w:rPr>
      </w:pPr>
    </w:p>
    <w:p>
      <w:pPr>
        <w:spacing w:before="1"/>
        <w:ind w:left="3045" w:right="1500" w:firstLine="0"/>
        <w:jc w:val="left"/>
        <w:rPr>
          <w:rFonts w:ascii="Palatino Linotype" w:hAnsi="Palatino Linotype"/>
          <w:i/>
          <w:sz w:val="19"/>
        </w:rPr>
      </w:pPr>
      <w:r>
        <w:rPr>
          <w:rFonts w:ascii="Palatino Linotype" w:hAnsi="Palatino Linotype"/>
          <w:i/>
          <w:sz w:val="19"/>
        </w:rPr>
        <w:t>Min første indskydelse er at dét, det vil give af værdi i forhold til forskning, det vil </w:t>
      </w:r>
      <w:r>
        <w:rPr>
          <w:rFonts w:ascii="Palatino Linotype" w:hAnsi="Palatino Linotype"/>
          <w:i/>
          <w:sz w:val="19"/>
        </w:rPr>
        <w:t>være den volumen man ville få på. Det ville være fantastisk at have som objekt for forskningen. Den offentlige bygningsmasse er temmelig stor. Der ville du kunne kombinerer det med andre ting.</w:t>
      </w:r>
    </w:p>
    <w:p>
      <w:pPr>
        <w:spacing w:line="256" w:lineRule="exact" w:before="0"/>
        <w:ind w:left="3045" w:right="0" w:firstLine="0"/>
        <w:jc w:val="left"/>
        <w:rPr>
          <w:rFonts w:ascii="Palatino Linotype" w:hAnsi="Palatino Linotype"/>
          <w:sz w:val="19"/>
        </w:rPr>
      </w:pPr>
      <w:r>
        <w:rPr>
          <w:rFonts w:ascii="Palatino Linotype" w:hAnsi="Palatino Linotype"/>
          <w:sz w:val="19"/>
        </w:rPr>
        <w:t>Rådgiver indenfor energi</w:t>
      </w:r>
    </w:p>
    <w:p>
      <w:pPr>
        <w:pStyle w:val="BodyText"/>
        <w:spacing w:before="3"/>
        <w:rPr>
          <w:rFonts w:ascii="Palatino Linotype"/>
          <w:sz w:val="21"/>
        </w:rPr>
      </w:pPr>
    </w:p>
    <w:p>
      <w:pPr>
        <w:spacing w:before="1"/>
        <w:ind w:left="2649" w:right="0" w:firstLine="0"/>
        <w:jc w:val="left"/>
        <w:rPr>
          <w:b/>
          <w:sz w:val="24"/>
        </w:rPr>
      </w:pPr>
      <w:r>
        <w:rPr>
          <w:b/>
          <w:sz w:val="24"/>
        </w:rPr>
        <w:t>Barrierer og forbehold</w:t>
      </w:r>
    </w:p>
    <w:p>
      <w:pPr>
        <w:pStyle w:val="BodyText"/>
        <w:spacing w:line="278" w:lineRule="auto" w:before="35"/>
        <w:ind w:left="2649" w:right="1277"/>
      </w:pPr>
      <w:r>
        <w:rPr/>
        <w:t>De interviewede aktører har givet udtryk for, at de ser følgende barrierer og har følgende forbehold i forhold til projektet.</w:t>
      </w:r>
    </w:p>
    <w:p>
      <w:pPr>
        <w:pStyle w:val="BodyText"/>
        <w:spacing w:before="8"/>
        <w:rPr>
          <w:sz w:val="21"/>
        </w:rPr>
      </w:pPr>
    </w:p>
    <w:p>
      <w:pPr>
        <w:pStyle w:val="Heading3"/>
        <w:ind w:firstLine="0"/>
      </w:pPr>
      <w:r>
        <w:rPr/>
        <w:t>For detaljeret til bygningsejeres aktuelle behov</w:t>
      </w:r>
    </w:p>
    <w:p>
      <w:pPr>
        <w:pStyle w:val="BodyText"/>
        <w:spacing w:line="278" w:lineRule="auto" w:before="35"/>
        <w:ind w:left="2649" w:right="1018"/>
      </w:pPr>
      <w:r>
        <w:rPr/>
        <w:t>Et overordnet forbehold, som mange af de interviewede aktører giver udtryk for, er, at projektet er for avanceret og detaljeret, set i forhold til hvordan hovedparten af deres kunder arbejder med energieffektivisering i dag. De interviewede aktører</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2072"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63"/>
      </w:pPr>
      <w:r>
        <w:rPr/>
        <w:t>vurderer, at måling og analyse af energidata på rumniveau for hovedparten af (of- fentlige) bygningsejere er for detaljeret.</w:t>
      </w:r>
    </w:p>
    <w:p>
      <w:pPr>
        <w:pStyle w:val="BodyText"/>
        <w:spacing w:before="7"/>
        <w:rPr>
          <w:sz w:val="18"/>
        </w:rPr>
      </w:pPr>
    </w:p>
    <w:p>
      <w:pPr>
        <w:spacing w:before="1"/>
        <w:ind w:left="3045" w:right="0" w:firstLine="0"/>
        <w:jc w:val="left"/>
        <w:rPr>
          <w:rFonts w:ascii="Palatino Linotype"/>
          <w:i/>
          <w:sz w:val="19"/>
        </w:rPr>
      </w:pPr>
      <w:r>
        <w:rPr>
          <w:rFonts w:ascii="Palatino Linotype"/>
          <w:i/>
          <w:sz w:val="19"/>
        </w:rPr>
        <w:t>Helt overordnet for kommuner [ift. energi] er det for detaljeret.</w:t>
      </w:r>
    </w:p>
    <w:p>
      <w:pPr>
        <w:spacing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4"/>
        <w:rPr>
          <w:rFonts w:ascii="Palatino Linotype"/>
          <w:sz w:val="20"/>
        </w:rPr>
      </w:pPr>
    </w:p>
    <w:p>
      <w:pPr>
        <w:pStyle w:val="BodyText"/>
        <w:spacing w:line="278" w:lineRule="auto"/>
        <w:ind w:left="2649" w:right="1218"/>
      </w:pPr>
      <w:r>
        <w:rPr/>
        <w:t>Flere af de interviewede aktører påpeger, at projektet giver ganske god mening set fra et skrivebordsperspektiv – eller i et fremtidsperspektiv – men at de fleste bygningsejere kæmper med helt andre og mere lavpraktiske problemer ift. data- indsamling, og at der stadig er mange lavt hængende frugter, der kan høstes på energiområdet – helt uden brug af en steddatabase.</w:t>
      </w:r>
    </w:p>
    <w:p>
      <w:pPr>
        <w:pStyle w:val="BodyText"/>
        <w:spacing w:before="9"/>
        <w:rPr>
          <w:sz w:val="18"/>
        </w:rPr>
      </w:pPr>
    </w:p>
    <w:p>
      <w:pPr>
        <w:spacing w:before="0"/>
        <w:ind w:left="3045" w:right="1433" w:firstLine="0"/>
        <w:jc w:val="left"/>
        <w:rPr>
          <w:rFonts w:ascii="Palatino Linotype" w:hAnsi="Palatino Linotype"/>
          <w:i/>
          <w:sz w:val="19"/>
        </w:rPr>
      </w:pPr>
      <w:r>
        <w:rPr>
          <w:rFonts w:ascii="Palatino Linotype" w:hAnsi="Palatino Linotype"/>
          <w:i/>
          <w:sz w:val="19"/>
        </w:rPr>
        <w:t>Jeg må indrømme, at jeg tænker, om det er lidt for over-engineered ift. de problemer </w:t>
      </w:r>
      <w:r>
        <w:rPr>
          <w:rFonts w:ascii="Palatino Linotype" w:hAnsi="Palatino Linotype"/>
          <w:i/>
          <w:sz w:val="19"/>
        </w:rPr>
        <w:t>der er med opsamling af data. […] Jeg tænker lidt med det her, starter man for tid- ligt, er der ikke andre problemer der skal løses først? Jeg synes det er fedt at sidde og kunne placere målere og se hvilke arealer, de her bi-målere dækker. Det har vi snakket om i al den tid jeg har været ansat her. Men i dagligdagen er der andre problemstillinger der skal løses først. Men der er gode perspektiver i det. Det er ikke lige i morgen det bliver efterspurgt, men jeg er ikke i tvivl om at det kommer, vil jeg</w:t>
      </w:r>
      <w:r>
        <w:rPr>
          <w:rFonts w:ascii="Palatino Linotype" w:hAnsi="Palatino Linotype"/>
          <w:i/>
          <w:spacing w:val="-2"/>
          <w:sz w:val="19"/>
        </w:rPr>
        <w:t> </w:t>
      </w:r>
      <w:r>
        <w:rPr>
          <w:rFonts w:ascii="Palatino Linotype" w:hAnsi="Palatino Linotype"/>
          <w:i/>
          <w:sz w:val="19"/>
        </w:rPr>
        <w:t>sige.</w:t>
      </w:r>
    </w:p>
    <w:p>
      <w:pPr>
        <w:spacing w:before="2"/>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1"/>
        <w:rPr>
          <w:rFonts w:ascii="Palatino Linotype"/>
          <w:sz w:val="20"/>
        </w:rPr>
      </w:pPr>
    </w:p>
    <w:p>
      <w:pPr>
        <w:pStyle w:val="BodyText"/>
        <w:spacing w:line="278" w:lineRule="auto"/>
        <w:ind w:left="2649" w:right="1038"/>
      </w:pPr>
      <w:r>
        <w:rPr/>
        <w:t>Som det bl.a. fremgår af citatet ovenfor, forventer flere af de interviewede byg- ningsejere, dog at der i fremtiden vil blive efterspørgsel efter de datamuligheder og detaljeringsgrader som en steddatabase og datainfrastruktur for indendørs geo- grafi vil medvirke til at</w:t>
      </w:r>
      <w:r>
        <w:rPr>
          <w:spacing w:val="-5"/>
        </w:rPr>
        <w:t> </w:t>
      </w:r>
      <w:r>
        <w:rPr/>
        <w:t>muliggøre.</w:t>
      </w:r>
    </w:p>
    <w:p>
      <w:pPr>
        <w:pStyle w:val="BodyText"/>
        <w:spacing w:before="8"/>
        <w:rPr>
          <w:sz w:val="21"/>
        </w:rPr>
      </w:pPr>
    </w:p>
    <w:p>
      <w:pPr>
        <w:pStyle w:val="BodyText"/>
        <w:spacing w:line="278" w:lineRule="auto"/>
        <w:ind w:left="2649" w:right="1047"/>
      </w:pPr>
      <w:r>
        <w:rPr/>
        <w:t>Det skal dog nævnes, at en enkelt af de interviewede aktører langtfra mener, at rumniveau er for detaljeret, og netop påpeger at der er brug for detaljeret geogra- fisk information om energiforbrug og driftsforhold for at kunne drive en bygning optimalt.</w:t>
      </w:r>
    </w:p>
    <w:p>
      <w:pPr>
        <w:pStyle w:val="BodyText"/>
        <w:spacing w:before="9"/>
        <w:rPr>
          <w:sz w:val="18"/>
        </w:rPr>
      </w:pPr>
    </w:p>
    <w:p>
      <w:pPr>
        <w:spacing w:before="0"/>
        <w:ind w:left="3045" w:right="1458" w:firstLine="0"/>
        <w:jc w:val="left"/>
        <w:rPr>
          <w:rFonts w:ascii="Palatino Linotype" w:hAnsi="Palatino Linotype"/>
          <w:i/>
          <w:sz w:val="19"/>
        </w:rPr>
      </w:pPr>
      <w:r>
        <w:rPr>
          <w:rFonts w:ascii="Palatino Linotype" w:hAnsi="Palatino Linotype"/>
          <w:i/>
          <w:sz w:val="19"/>
        </w:rPr>
        <w:t>Hvis du skal rykke, skal du ind i bygningerne – hvad er dét, der får tingene til at </w:t>
      </w:r>
      <w:r>
        <w:rPr>
          <w:rFonts w:ascii="Palatino Linotype" w:hAnsi="Palatino Linotype"/>
          <w:i/>
          <w:sz w:val="19"/>
        </w:rPr>
        <w:t>løbe løbsk? [Du spørger] om [rumniveau] er for langt på detaljeringen? Slet ikke! Der har vi været i mange år. IoT vælter frem – det gør at vi kommer ned på projek- ter på arbejdspladsniveau. […] Det er den vej det går, flere og flere data.</w:t>
      </w:r>
    </w:p>
    <w:p>
      <w:pPr>
        <w:spacing w:line="256" w:lineRule="exact"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before="1"/>
        <w:ind w:left="2649" w:right="1078"/>
      </w:pPr>
      <w:r>
        <w:rPr/>
        <w:t>Interviewene viser, at der er forskellige opfattelser af, i hvor høj grad bygnings- ejerne allerede har taget IoT til sig. Nogle giver udtryk for, at IoT primært er et buzzword med en (endnu) begrænset praktisk implementering, mens andre – som citatet ovenfor illustrerer – giver udtryk for at IoT er i gang med at revolutionere bygningsdriften. Mens der er forskellige vurderinger af, hvor langt ude i fremtiden IoT-potentialet befinder sig, er der dog enighed om, at data vil spille en stadig større rolle i bygningsdriften i fremtiden.</w:t>
      </w:r>
    </w:p>
    <w:p>
      <w:pPr>
        <w:pStyle w:val="BodyText"/>
        <w:spacing w:before="9"/>
        <w:rPr>
          <w:sz w:val="21"/>
        </w:rPr>
      </w:pPr>
    </w:p>
    <w:p>
      <w:pPr>
        <w:pStyle w:val="Heading3"/>
        <w:ind w:firstLine="0"/>
      </w:pPr>
      <w:r>
        <w:rPr/>
        <w:t>Betydeligt investeringsbehov</w:t>
      </w:r>
    </w:p>
    <w:p>
      <w:pPr>
        <w:pStyle w:val="BodyText"/>
        <w:spacing w:line="278" w:lineRule="auto" w:before="35"/>
        <w:ind w:left="2649" w:right="1090"/>
      </w:pPr>
      <w:r>
        <w:rPr/>
        <w:t>Et andet forbehold, som aktørerne påpeger, er at det for bygningsejere vil kræve en betydelig medfølgende investering i hardware – fx bi-målere, loggere, sensorer</w:t>
      </w:r>
    </w:p>
    <w:p>
      <w:pPr>
        <w:pStyle w:val="BodyText"/>
        <w:spacing w:line="278" w:lineRule="auto"/>
        <w:ind w:left="2649" w:right="1216"/>
      </w:pPr>
      <w:r>
        <w:rPr/>
        <w:t>– at blive i stand til at høste udbyttet af en steddatabase. Det energieffektivise- ringspotentiale, der knytter sig til en steddatabase forudsætter, at der indsamles en energirelevante data med højt detaljeringsniveau.</w:t>
      </w:r>
    </w:p>
    <w:p>
      <w:pPr>
        <w:pStyle w:val="BodyText"/>
        <w:spacing w:before="5"/>
        <w:rPr>
          <w:sz w:val="21"/>
        </w:rPr>
      </w:pPr>
    </w:p>
    <w:p>
      <w:pPr>
        <w:pStyle w:val="BodyText"/>
        <w:spacing w:line="278" w:lineRule="auto" w:before="1"/>
        <w:ind w:left="2649" w:right="1193"/>
      </w:pPr>
      <w:r>
        <w:rPr/>
        <w:t>Den teknologiske og prismæssige udvikling indenfor IoT har gjort sensorer og bi- målere mere tilgængelige, men det er stadig så omkostningstungt at etablere en</w:t>
      </w:r>
    </w:p>
    <w:p>
      <w:pPr>
        <w:spacing w:after="0" w:line="278" w:lineRule="auto"/>
        <w:sectPr>
          <w:type w:val="continuous"/>
          <w:pgSz w:w="11910" w:h="16840"/>
          <w:pgMar w:top="1580" w:bottom="280" w:left="980" w:right="100"/>
        </w:sectPr>
      </w:pPr>
    </w:p>
    <w:p>
      <w:pPr>
        <w:pStyle w:val="BodyText"/>
        <w:rPr>
          <w:sz w:val="20"/>
        </w:rPr>
      </w:pPr>
    </w:p>
    <w:p>
      <w:pPr>
        <w:pStyle w:val="BodyText"/>
        <w:rPr>
          <w:sz w:val="20"/>
        </w:rPr>
      </w:pPr>
    </w:p>
    <w:p>
      <w:pPr>
        <w:pStyle w:val="BodyText"/>
        <w:spacing w:before="11"/>
        <w:rPr>
          <w:sz w:val="16"/>
        </w:rPr>
      </w:pPr>
    </w:p>
    <w:p>
      <w:pPr>
        <w:tabs>
          <w:tab w:pos="5098" w:val="left" w:leader="none"/>
          <w:tab w:pos="7563" w:val="left" w:leader="none"/>
        </w:tabs>
        <w:spacing w:line="20" w:lineRule="exact"/>
        <w:ind w:left="263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spacing w:after="0" w:line="20" w:lineRule="exact"/>
        <w:rPr>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1976"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94"/>
      </w:pPr>
      <w:r>
        <w:rPr/>
        <w:t>detaljeret målerinfrastruktur, at bygningsejerne ofte tvivler på, om det er investe- ringen værd.</w:t>
      </w:r>
    </w:p>
    <w:p>
      <w:pPr>
        <w:pStyle w:val="BodyText"/>
        <w:spacing w:before="7"/>
        <w:rPr>
          <w:sz w:val="18"/>
        </w:rPr>
      </w:pPr>
    </w:p>
    <w:p>
      <w:pPr>
        <w:spacing w:before="1"/>
        <w:ind w:left="3045" w:right="1436" w:firstLine="0"/>
        <w:jc w:val="left"/>
        <w:rPr>
          <w:rFonts w:ascii="Palatino Linotype" w:hAnsi="Palatino Linotype"/>
          <w:i/>
          <w:sz w:val="19"/>
        </w:rPr>
      </w:pPr>
      <w:r>
        <w:rPr>
          <w:rFonts w:ascii="Palatino Linotype" w:hAnsi="Palatino Linotype"/>
          <w:i/>
          <w:sz w:val="19"/>
        </w:rPr>
        <w:t>Indenfor spacemanagement og brug af bygninger hører vi om det, og så taler man </w:t>
      </w:r>
      <w:r>
        <w:rPr>
          <w:rFonts w:ascii="Palatino Linotype" w:hAnsi="Palatino Linotype"/>
          <w:i/>
          <w:sz w:val="19"/>
        </w:rPr>
        <w:t>meget om IoT – men det er mest på buzzword-niveau endnu. […] Udfordringen er, at man altid skal installere en masse hardware, en masse bi-måling [for at få værdi f det], og det er svært at få folk til at betale for det. Det er forholdsvist dyrt at få folk til at lave de her</w:t>
      </w:r>
      <w:r>
        <w:rPr>
          <w:rFonts w:ascii="Palatino Linotype" w:hAnsi="Palatino Linotype"/>
          <w:i/>
          <w:spacing w:val="-4"/>
          <w:sz w:val="19"/>
        </w:rPr>
        <w:t> </w:t>
      </w:r>
      <w:r>
        <w:rPr>
          <w:rFonts w:ascii="Palatino Linotype" w:hAnsi="Palatino Linotype"/>
          <w:i/>
          <w:sz w:val="19"/>
        </w:rPr>
        <w:t>ting.</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3"/>
        <w:rPr>
          <w:rFonts w:ascii="Palatino Linotype"/>
          <w:sz w:val="20"/>
        </w:rPr>
      </w:pPr>
    </w:p>
    <w:p>
      <w:pPr>
        <w:pStyle w:val="BodyText"/>
        <w:spacing w:line="278" w:lineRule="auto" w:before="1"/>
        <w:ind w:left="2649" w:right="1030"/>
      </w:pPr>
      <w:r>
        <w:rPr/>
        <w:t>Hvad angår den indsats det fra bygningsejerens side vil kræve at etablere og ved- ligeholde de nødvendige data i steddatabasen, påpeger de interviewede aktører, at det naturligvis er afgørende at finde en omkostningseffektiv løsning.</w:t>
      </w:r>
    </w:p>
    <w:p>
      <w:pPr>
        <w:pStyle w:val="BodyText"/>
        <w:spacing w:before="8"/>
        <w:rPr>
          <w:sz w:val="18"/>
        </w:rPr>
      </w:pPr>
    </w:p>
    <w:p>
      <w:pPr>
        <w:spacing w:before="0"/>
        <w:ind w:left="3045" w:right="1484" w:firstLine="0"/>
        <w:jc w:val="left"/>
        <w:rPr>
          <w:rFonts w:ascii="Palatino Linotype" w:hAnsi="Palatino Linotype"/>
          <w:i/>
          <w:sz w:val="19"/>
        </w:rPr>
      </w:pPr>
      <w:r>
        <w:rPr>
          <w:rFonts w:ascii="Palatino Linotype" w:hAnsi="Palatino Linotype"/>
          <w:i/>
          <w:sz w:val="19"/>
        </w:rPr>
        <w:t>Det er rigtigt vigtigt tidligt at få italesat og sandsynliggjort en ide til en metode </w:t>
      </w:r>
      <w:r>
        <w:rPr>
          <w:rFonts w:ascii="Palatino Linotype" w:hAnsi="Palatino Linotype"/>
          <w:i/>
          <w:sz w:val="19"/>
        </w:rPr>
        <w:t>til, hvordan du kan få indsamlet det her [data]. Det er urealistisk, at de [bygnings- ejerne] skal have eksterne til at indsamle det. Det vil blive så stinkedyrt […] Spørgsmålet er at finde ud af, hvordan man kan indsamle data på en omkostnings- effektiv måde så kommunerne ikke føler sig overvældet af opgavens omfang. Det</w:t>
      </w:r>
    </w:p>
    <w:p>
      <w:pPr>
        <w:spacing w:before="0"/>
        <w:ind w:left="3045" w:right="0" w:firstLine="0"/>
        <w:jc w:val="left"/>
        <w:rPr>
          <w:rFonts w:ascii="Palatino Linotype" w:hAnsi="Palatino Linotype"/>
          <w:i/>
          <w:sz w:val="19"/>
        </w:rPr>
      </w:pPr>
      <w:r>
        <w:rPr>
          <w:rFonts w:ascii="Palatino Linotype" w:hAnsi="Palatino Linotype"/>
          <w:i/>
          <w:sz w:val="19"/>
        </w:rPr>
        <w:t>ville være enormt stærkt [… med] gode ideer til, hvordan det kan gennemføres. Jeg</w:t>
      </w:r>
    </w:p>
    <w:p>
      <w:pPr>
        <w:spacing w:before="1"/>
        <w:ind w:left="3045" w:right="0" w:firstLine="0"/>
        <w:jc w:val="left"/>
        <w:rPr>
          <w:rFonts w:ascii="Palatino Linotype" w:hAnsi="Palatino Linotype"/>
          <w:i/>
          <w:sz w:val="19"/>
        </w:rPr>
      </w:pPr>
      <w:r>
        <w:rPr>
          <w:rFonts w:ascii="Palatino Linotype" w:hAnsi="Palatino Linotype"/>
          <w:i/>
          <w:sz w:val="19"/>
        </w:rPr>
        <w:t>tror, det er dér barriererne vil være.</w:t>
      </w:r>
    </w:p>
    <w:p>
      <w:pPr>
        <w:spacing w:before="0"/>
        <w:ind w:left="3045" w:right="0" w:firstLine="0"/>
        <w:jc w:val="left"/>
        <w:rPr>
          <w:rFonts w:ascii="Palatino Linotype" w:hAnsi="Palatino Linotype"/>
          <w:sz w:val="19"/>
        </w:rPr>
      </w:pPr>
      <w:r>
        <w:rPr>
          <w:rFonts w:ascii="Palatino Linotype" w:hAnsi="Palatino Linotype"/>
          <w:sz w:val="19"/>
        </w:rPr>
        <w:t>Rådgiver indenfor energi</w:t>
      </w:r>
    </w:p>
    <w:p>
      <w:pPr>
        <w:pStyle w:val="BodyText"/>
        <w:spacing w:before="4"/>
        <w:rPr>
          <w:rFonts w:ascii="Palatino Linotype"/>
          <w:sz w:val="20"/>
        </w:rPr>
      </w:pPr>
    </w:p>
    <w:p>
      <w:pPr>
        <w:pStyle w:val="BodyText"/>
        <w:spacing w:line="278" w:lineRule="auto"/>
        <w:ind w:left="2649" w:right="1044"/>
      </w:pPr>
      <w:r>
        <w:rPr/>
        <w:t>Flere påpeger, at kombinationen af brugervenlige, omkostningseffektive måder hvorpå bygningsejerne kan indberette og vedligeholde data og en eller anden grad af lovkrav om, at de skal gøre det, et vigtige forudsætninger for projektets realise- ring.</w:t>
      </w:r>
    </w:p>
    <w:p>
      <w:pPr>
        <w:pStyle w:val="BodyText"/>
        <w:spacing w:before="9"/>
        <w:rPr>
          <w:sz w:val="18"/>
        </w:rPr>
      </w:pPr>
    </w:p>
    <w:p>
      <w:pPr>
        <w:spacing w:before="0"/>
        <w:ind w:left="3045" w:right="1453" w:firstLine="0"/>
        <w:jc w:val="left"/>
        <w:rPr>
          <w:rFonts w:ascii="Palatino Linotype" w:hAnsi="Palatino Linotype"/>
          <w:i/>
          <w:sz w:val="19"/>
        </w:rPr>
      </w:pPr>
      <w:r>
        <w:rPr>
          <w:rFonts w:ascii="Palatino Linotype" w:hAnsi="Palatino Linotype"/>
          <w:i/>
          <w:sz w:val="19"/>
        </w:rPr>
        <w:t>[Interviewer: Hvornår er det realistisk?] Det kommer an på hvad der er af lovkrav, </w:t>
      </w:r>
      <w:r>
        <w:rPr>
          <w:rFonts w:ascii="Palatino Linotype" w:hAnsi="Palatino Linotype"/>
          <w:i/>
          <w:sz w:val="19"/>
        </w:rPr>
        <w:t>og hvad der ikke er. De fleste kunder har den viden – det ligger bare i vores system. Det ligger i tegninger, men som døde data, ikke som intelligente, søgbare data, om du vil.</w:t>
      </w:r>
    </w:p>
    <w:p>
      <w:pPr>
        <w:spacing w:line="256" w:lineRule="exact"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4"/>
        <w:rPr>
          <w:rFonts w:ascii="Palatino Linotype"/>
          <w:sz w:val="20"/>
        </w:rPr>
      </w:pPr>
    </w:p>
    <w:p>
      <w:pPr>
        <w:pStyle w:val="BodyText"/>
        <w:spacing w:line="278" w:lineRule="auto"/>
        <w:ind w:left="2649" w:right="1045"/>
      </w:pPr>
      <w:r>
        <w:rPr/>
        <w:t>De interviewede aktører har lidt forskellige oplevelser af, i hvilket omfang kommu- nerne allerede i dag har de bygningsdata, der er nødvendige for oprettelsen af en steddatabase, til rådighed. Nogle af de interviewede aktører oplever, at deres kommunale kunder langt fra har de fornødne data, andre at flere af deres kommu- nale kunder faktisk ligger inde med data, der relativt let kan forædles og bruges i forhold til en steddatabase.</w:t>
      </w:r>
    </w:p>
    <w:p>
      <w:pPr>
        <w:pStyle w:val="BodyText"/>
        <w:spacing w:before="10"/>
        <w:rPr>
          <w:sz w:val="21"/>
        </w:rPr>
      </w:pPr>
    </w:p>
    <w:p>
      <w:pPr>
        <w:pStyle w:val="Heading3"/>
        <w:ind w:firstLine="0"/>
      </w:pPr>
      <w:r>
        <w:rPr/>
        <w:t>Vanskelig at koble energidata på enkelte rum</w:t>
      </w:r>
    </w:p>
    <w:p>
      <w:pPr>
        <w:pStyle w:val="BodyText"/>
        <w:spacing w:line="278" w:lineRule="auto" w:before="34"/>
        <w:ind w:left="2649" w:right="1049"/>
      </w:pPr>
      <w:r>
        <w:rPr/>
        <w:t>Et forhold, som flere nævner som en udfordring i projektet, er, at energiforbrug i en bygning ofte går på tværs af de lokalemæssige opdelinger, der virker logiske set i et brugsperspektiv. Mens elforbrug til fx belysning, computer og andre mobile apparater kan placeres præcist og entydigt i en bygning, vil energiforbrug til venti- lation og varme ofte gå på tværs af</w:t>
      </w:r>
      <w:r>
        <w:rPr>
          <w:spacing w:val="-4"/>
        </w:rPr>
        <w:t> </w:t>
      </w:r>
      <w:r>
        <w:rPr/>
        <w:t>rum.</w:t>
      </w:r>
    </w:p>
    <w:p>
      <w:pPr>
        <w:pStyle w:val="BodyText"/>
        <w:spacing w:before="9"/>
        <w:rPr>
          <w:sz w:val="18"/>
        </w:rPr>
      </w:pPr>
    </w:p>
    <w:p>
      <w:pPr>
        <w:spacing w:before="0"/>
        <w:ind w:left="3045" w:right="1417" w:firstLine="0"/>
        <w:jc w:val="left"/>
        <w:rPr>
          <w:rFonts w:ascii="Palatino Linotype" w:hAnsi="Palatino Linotype"/>
          <w:sz w:val="19"/>
        </w:rPr>
      </w:pPr>
      <w:r>
        <w:rPr>
          <w:rFonts w:ascii="Palatino Linotype" w:hAnsi="Palatino Linotype"/>
          <w:i/>
          <w:sz w:val="19"/>
        </w:rPr>
        <w:t>Der sidder ofte et stort ventilationsanlæg, der [fx] forsyner 8 laboratorier, en fore- </w:t>
      </w:r>
      <w:r>
        <w:rPr>
          <w:rFonts w:ascii="Palatino Linotype" w:hAnsi="Palatino Linotype"/>
          <w:i/>
          <w:sz w:val="19"/>
        </w:rPr>
        <w:t>dragssal og halvdelen af gangen. Det er ikke delt op. Teknikken er ikke delt i forhold til, hvordan bygninger bruges. Men når man bygger nyt, så er det dér, man skal have de her tanker ind. Men det er en svær opgave – der bygges jo om og renoveres. </w:t>
      </w:r>
      <w:r>
        <w:rPr>
          <w:rFonts w:ascii="Palatino Linotype" w:hAnsi="Palatino Linotype"/>
          <w:sz w:val="19"/>
        </w:rPr>
        <w:t>Leverandør af software til energi- og driftsstyring</w:t>
      </w:r>
    </w:p>
    <w:p>
      <w:pPr>
        <w:spacing w:after="0"/>
        <w:jc w:val="left"/>
        <w:rPr>
          <w:rFonts w:ascii="Palatino Linotype" w:hAnsi="Palatino Linotype"/>
          <w:sz w:val="19"/>
        </w:rPr>
        <w:sectPr>
          <w:type w:val="continuous"/>
          <w:pgSz w:w="11910" w:h="16840"/>
          <w:pgMar w:top="1580" w:bottom="280" w:left="980" w:right="10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1880"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11"/>
        <w:rPr>
          <w:sz w:val="22"/>
        </w:rPr>
      </w:pPr>
    </w:p>
    <w:p>
      <w:pPr>
        <w:pStyle w:val="BodyText"/>
        <w:spacing w:line="278" w:lineRule="auto" w:before="101"/>
        <w:ind w:left="2649" w:right="1048"/>
      </w:pPr>
      <w:r>
        <w:rPr/>
        <w:t>En af de interviewede tredjepartsaktører nævner, at de for et par år siden var in- volveret i et forsøgsprojekt med et universitet, hvor målet var at skabe overblik over energiforbruget på rumniveau i en større laboratoriebygning. Erfaringen fra dette projekt var, at det var yderst vanskeligt at nedbryde forbruget på rumniveau</w:t>
      </w:r>
    </w:p>
    <w:p>
      <w:pPr>
        <w:pStyle w:val="BodyText"/>
        <w:spacing w:line="278" w:lineRule="auto" w:before="1"/>
        <w:ind w:left="2649" w:right="1273"/>
        <w:jc w:val="both"/>
      </w:pPr>
      <w:r>
        <w:rPr/>
        <w:t>– faktisk så vanskeligt at projektet ikke lykkedes. Samlet set understreger aktø- rerne, at hvis en steddatabase skal bruges i energieffektiviseringsøjemed er det vigtigt, at der skabes enkle og operationelle rammer for, hvordan bygningsejere kan opdele og koble energidata på rumniveau.</w:t>
      </w:r>
    </w:p>
    <w:p>
      <w:pPr>
        <w:pStyle w:val="BodyText"/>
        <w:spacing w:before="10"/>
        <w:rPr>
          <w:sz w:val="20"/>
        </w:rPr>
      </w:pPr>
    </w:p>
    <w:p>
      <w:pPr>
        <w:pStyle w:val="Heading2"/>
        <w:ind w:firstLine="0"/>
      </w:pPr>
      <w:r>
        <w:rPr/>
        <w:t>Incitament for anvendelse</w:t>
      </w:r>
    </w:p>
    <w:p>
      <w:pPr>
        <w:pStyle w:val="BodyText"/>
        <w:spacing w:line="278" w:lineRule="auto" w:before="38"/>
        <w:ind w:left="2649" w:right="1090"/>
      </w:pPr>
      <w:r>
        <w:rPr/>
        <w:t>De interviewede aktører har i interviewene reflekteret over, hvad der skal til for at en national steddatabase vil blive realiseret og brugt i praksis af dataleverandører og bygningsejere. Aktørerne har peget på forskellige forhold med betydning for brugernes incitament for at vedligeholde og bruge en national steddatabase.</w:t>
      </w:r>
    </w:p>
    <w:p>
      <w:pPr>
        <w:pStyle w:val="BodyText"/>
        <w:spacing w:before="5"/>
        <w:rPr>
          <w:sz w:val="21"/>
        </w:rPr>
      </w:pPr>
    </w:p>
    <w:p>
      <w:pPr>
        <w:pStyle w:val="BodyText"/>
        <w:spacing w:line="278" w:lineRule="auto" w:before="1"/>
        <w:ind w:left="2649" w:right="1037"/>
      </w:pPr>
      <w:r>
        <w:rPr/>
        <w:t>For at en steddatabase kan skabe værdi i forhold til energieffektivisering, er der dels brug for (geo)data om bygningers indre geometri og dels om energirelevant data om bygningers forbrug, drift og anvendelse. Mens bygningsejeren må formo- des at kunne levere, den første type data (bygningsgeometri), kan den anden type data (energirelevant data) komme fra mange forskellige dataleverandører, herun- der forsyningsselskaber, leverandører af målerinfrastruktur, energistyringssoft- ware mv.</w:t>
      </w:r>
    </w:p>
    <w:p>
      <w:pPr>
        <w:pStyle w:val="BodyText"/>
        <w:spacing w:before="6"/>
        <w:rPr>
          <w:sz w:val="21"/>
        </w:rPr>
      </w:pPr>
    </w:p>
    <w:p>
      <w:pPr>
        <w:pStyle w:val="BodyText"/>
        <w:spacing w:line="278" w:lineRule="auto"/>
        <w:ind w:left="2649" w:right="1030"/>
      </w:pPr>
      <w:r>
        <w:rPr/>
        <w:t>De interviewede aktører påpeger at alle leverandører af data, skal have et pas- sende incitament for at levere data, hvis steddatabasen skal blive anvendt og vær- diskabende i praksis.</w:t>
      </w:r>
    </w:p>
    <w:p>
      <w:pPr>
        <w:pStyle w:val="BodyText"/>
        <w:spacing w:before="8"/>
        <w:rPr>
          <w:sz w:val="18"/>
        </w:rPr>
      </w:pPr>
    </w:p>
    <w:p>
      <w:pPr>
        <w:spacing w:before="0"/>
        <w:ind w:left="3045" w:right="1463" w:firstLine="0"/>
        <w:jc w:val="left"/>
        <w:rPr>
          <w:rFonts w:ascii="Palatino Linotype" w:hAnsi="Palatino Linotype"/>
          <w:i/>
          <w:sz w:val="19"/>
        </w:rPr>
      </w:pPr>
      <w:r>
        <w:rPr>
          <w:rFonts w:ascii="Palatino Linotype" w:hAnsi="Palatino Linotype"/>
          <w:i/>
          <w:sz w:val="19"/>
        </w:rPr>
        <w:t>I kan skabe en rammestruktur – hvor vi kunne se interessante business case. […] </w:t>
      </w:r>
      <w:r>
        <w:rPr>
          <w:rFonts w:ascii="Palatino Linotype" w:hAnsi="Palatino Linotype"/>
          <w:i/>
          <w:sz w:val="19"/>
        </w:rPr>
        <w:t>den rigtige arkitektur [… er] afgørende for, om folk vil bruge det. En business case for dataleverandører – skal det være nemt for dem at gøre det, så skal den snitflade, de skal leverer ind på, den skal være nem, så kan det hænge sammen.</w:t>
      </w:r>
    </w:p>
    <w:p>
      <w:pPr>
        <w:spacing w:before="2"/>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134"/>
      </w:pPr>
      <w:r>
        <w:rPr/>
        <w:t>I forhold til bygningsejerne vurderer de fleste, at der vil være behov krav om ind- beretning af data, hvis steddatabasen skal implementeres og bruges af flere end de kommuner, der er længst fremme på</w:t>
      </w:r>
      <w:r>
        <w:rPr>
          <w:spacing w:val="-6"/>
        </w:rPr>
        <w:t> </w:t>
      </w:r>
      <w:r>
        <w:rPr/>
        <w:t>området.</w:t>
      </w:r>
    </w:p>
    <w:p>
      <w:pPr>
        <w:pStyle w:val="BodyText"/>
        <w:spacing w:before="8"/>
        <w:rPr>
          <w:sz w:val="18"/>
        </w:rPr>
      </w:pPr>
    </w:p>
    <w:p>
      <w:pPr>
        <w:spacing w:before="0"/>
        <w:ind w:left="3045" w:right="1471" w:firstLine="0"/>
        <w:jc w:val="left"/>
        <w:rPr>
          <w:rFonts w:ascii="Palatino Linotype" w:hAnsi="Palatino Linotype"/>
          <w:i/>
          <w:sz w:val="19"/>
        </w:rPr>
      </w:pPr>
      <w:r>
        <w:rPr>
          <w:rFonts w:ascii="Palatino Linotype" w:hAnsi="Palatino Linotype"/>
          <w:i/>
          <w:sz w:val="19"/>
        </w:rPr>
        <w:t>Skal</w:t>
      </w:r>
      <w:r>
        <w:rPr>
          <w:rFonts w:ascii="Palatino Linotype" w:hAnsi="Palatino Linotype"/>
          <w:i/>
          <w:spacing w:val="-2"/>
          <w:sz w:val="19"/>
        </w:rPr>
        <w:t> </w:t>
      </w:r>
      <w:r>
        <w:rPr>
          <w:rFonts w:ascii="Palatino Linotype" w:hAnsi="Palatino Linotype"/>
          <w:i/>
          <w:sz w:val="19"/>
        </w:rPr>
        <w:t>man</w:t>
      </w:r>
      <w:r>
        <w:rPr>
          <w:rFonts w:ascii="Palatino Linotype" w:hAnsi="Palatino Linotype"/>
          <w:i/>
          <w:spacing w:val="-2"/>
          <w:sz w:val="19"/>
        </w:rPr>
        <w:t> </w:t>
      </w:r>
      <w:r>
        <w:rPr>
          <w:rFonts w:ascii="Palatino Linotype" w:hAnsi="Palatino Linotype"/>
          <w:i/>
          <w:sz w:val="19"/>
        </w:rPr>
        <w:t>have</w:t>
      </w:r>
      <w:r>
        <w:rPr>
          <w:rFonts w:ascii="Palatino Linotype" w:hAnsi="Palatino Linotype"/>
          <w:i/>
          <w:spacing w:val="-2"/>
          <w:sz w:val="19"/>
        </w:rPr>
        <w:t> </w:t>
      </w:r>
      <w:r>
        <w:rPr>
          <w:rFonts w:ascii="Palatino Linotype" w:hAnsi="Palatino Linotype"/>
          <w:i/>
          <w:sz w:val="19"/>
        </w:rPr>
        <w:t>kommunerne</w:t>
      </w:r>
      <w:r>
        <w:rPr>
          <w:rFonts w:ascii="Palatino Linotype" w:hAnsi="Palatino Linotype"/>
          <w:i/>
          <w:spacing w:val="-2"/>
          <w:sz w:val="19"/>
        </w:rPr>
        <w:t> </w:t>
      </w:r>
      <w:r>
        <w:rPr>
          <w:rFonts w:ascii="Palatino Linotype" w:hAnsi="Palatino Linotype"/>
          <w:i/>
          <w:sz w:val="19"/>
        </w:rPr>
        <w:t>med</w:t>
      </w:r>
      <w:r>
        <w:rPr>
          <w:rFonts w:ascii="Palatino Linotype" w:hAnsi="Palatino Linotype"/>
          <w:i/>
          <w:spacing w:val="-1"/>
          <w:sz w:val="19"/>
        </w:rPr>
        <w:t> </w:t>
      </w:r>
      <w:r>
        <w:rPr>
          <w:rFonts w:ascii="Palatino Linotype" w:hAnsi="Palatino Linotype"/>
          <w:i/>
          <w:sz w:val="19"/>
        </w:rPr>
        <w:t>er</w:t>
      </w:r>
      <w:r>
        <w:rPr>
          <w:rFonts w:ascii="Palatino Linotype" w:hAnsi="Palatino Linotype"/>
          <w:i/>
          <w:spacing w:val="-4"/>
          <w:sz w:val="19"/>
        </w:rPr>
        <w:t> </w:t>
      </w:r>
      <w:r>
        <w:rPr>
          <w:rFonts w:ascii="Palatino Linotype" w:hAnsi="Palatino Linotype"/>
          <w:i/>
          <w:sz w:val="19"/>
        </w:rPr>
        <w:t>der</w:t>
      </w:r>
      <w:r>
        <w:rPr>
          <w:rFonts w:ascii="Palatino Linotype" w:hAnsi="Palatino Linotype"/>
          <w:i/>
          <w:spacing w:val="-2"/>
          <w:sz w:val="19"/>
        </w:rPr>
        <w:t> </w:t>
      </w:r>
      <w:r>
        <w:rPr>
          <w:rFonts w:ascii="Palatino Linotype" w:hAnsi="Palatino Linotype"/>
          <w:i/>
          <w:sz w:val="19"/>
        </w:rPr>
        <w:t>selvfølgeligt</w:t>
      </w:r>
      <w:r>
        <w:rPr>
          <w:rFonts w:ascii="Palatino Linotype" w:hAnsi="Palatino Linotype"/>
          <w:i/>
          <w:spacing w:val="-3"/>
          <w:sz w:val="19"/>
        </w:rPr>
        <w:t> </w:t>
      </w:r>
      <w:r>
        <w:rPr>
          <w:rFonts w:ascii="Palatino Linotype" w:hAnsi="Palatino Linotype"/>
          <w:i/>
          <w:sz w:val="19"/>
        </w:rPr>
        <w:t>flere</w:t>
      </w:r>
      <w:r>
        <w:rPr>
          <w:rFonts w:ascii="Palatino Linotype" w:hAnsi="Palatino Linotype"/>
          <w:i/>
          <w:spacing w:val="-3"/>
          <w:sz w:val="19"/>
        </w:rPr>
        <w:t> </w:t>
      </w:r>
      <w:r>
        <w:rPr>
          <w:rFonts w:ascii="Palatino Linotype" w:hAnsi="Palatino Linotype"/>
          <w:i/>
          <w:sz w:val="19"/>
        </w:rPr>
        <w:t>veje</w:t>
      </w:r>
      <w:r>
        <w:rPr>
          <w:rFonts w:ascii="Palatino Linotype" w:hAnsi="Palatino Linotype"/>
          <w:i/>
          <w:spacing w:val="-4"/>
          <w:sz w:val="19"/>
        </w:rPr>
        <w:t> </w:t>
      </w:r>
      <w:r>
        <w:rPr>
          <w:rFonts w:ascii="Palatino Linotype" w:hAnsi="Palatino Linotype"/>
          <w:i/>
          <w:sz w:val="19"/>
        </w:rPr>
        <w:t>i</w:t>
      </w:r>
      <w:r>
        <w:rPr>
          <w:rFonts w:ascii="Palatino Linotype" w:hAnsi="Palatino Linotype"/>
          <w:i/>
          <w:spacing w:val="-4"/>
          <w:sz w:val="19"/>
        </w:rPr>
        <w:t> </w:t>
      </w:r>
      <w:r>
        <w:rPr>
          <w:rFonts w:ascii="Palatino Linotype" w:hAnsi="Palatino Linotype"/>
          <w:i/>
          <w:sz w:val="19"/>
        </w:rPr>
        <w:t>det.</w:t>
      </w:r>
      <w:r>
        <w:rPr>
          <w:rFonts w:ascii="Palatino Linotype" w:hAnsi="Palatino Linotype"/>
          <w:i/>
          <w:spacing w:val="-2"/>
          <w:sz w:val="19"/>
        </w:rPr>
        <w:t> </w:t>
      </w:r>
      <w:r>
        <w:rPr>
          <w:rFonts w:ascii="Palatino Linotype" w:hAnsi="Palatino Linotype"/>
          <w:i/>
          <w:sz w:val="19"/>
        </w:rPr>
        <w:t>Hvis</w:t>
      </w:r>
      <w:r>
        <w:rPr>
          <w:rFonts w:ascii="Palatino Linotype" w:hAnsi="Palatino Linotype"/>
          <w:i/>
          <w:spacing w:val="-2"/>
          <w:sz w:val="19"/>
        </w:rPr>
        <w:t> </w:t>
      </w:r>
      <w:r>
        <w:rPr>
          <w:rFonts w:ascii="Palatino Linotype" w:hAnsi="Palatino Linotype"/>
          <w:i/>
          <w:sz w:val="19"/>
        </w:rPr>
        <w:t>det</w:t>
      </w:r>
      <w:r>
        <w:rPr>
          <w:rFonts w:ascii="Palatino Linotype" w:hAnsi="Palatino Linotype"/>
          <w:i/>
          <w:spacing w:val="-5"/>
          <w:sz w:val="19"/>
        </w:rPr>
        <w:t> </w:t>
      </w:r>
      <w:r>
        <w:rPr>
          <w:rFonts w:ascii="Palatino Linotype" w:hAnsi="Palatino Linotype"/>
          <w:i/>
          <w:sz w:val="19"/>
        </w:rPr>
        <w:t>er</w:t>
      </w:r>
      <w:r>
        <w:rPr>
          <w:rFonts w:ascii="Palatino Linotype" w:hAnsi="Palatino Linotype"/>
          <w:i/>
          <w:spacing w:val="-2"/>
          <w:sz w:val="19"/>
        </w:rPr>
        <w:t> </w:t>
      </w:r>
      <w:r>
        <w:rPr>
          <w:rFonts w:ascii="Palatino Linotype" w:hAnsi="Palatino Linotype"/>
          <w:i/>
          <w:sz w:val="19"/>
        </w:rPr>
        <w:t>no- </w:t>
      </w:r>
      <w:r>
        <w:rPr>
          <w:rFonts w:ascii="Palatino Linotype" w:hAnsi="Palatino Linotype"/>
          <w:i/>
          <w:sz w:val="19"/>
        </w:rPr>
        <w:t>get, de kan medvirke i frivilligt, så vil der være de 10-15 usual suspects, der går med, og så vil det gå i stå dér. Den tungeste tredjedel af landet vil aldrig få det gjort. De, der er længst fremme, vil gøre det. Hvis kommunen kører det rigtigt, vil de ikke have problemer med at indsamle de her ting.</w:t>
      </w:r>
    </w:p>
    <w:p>
      <w:pPr>
        <w:spacing w:before="1"/>
        <w:ind w:left="3045" w:right="0" w:firstLine="0"/>
        <w:jc w:val="left"/>
        <w:rPr>
          <w:rFonts w:ascii="Palatino Linotype" w:hAnsi="Palatino Linotype"/>
          <w:sz w:val="19"/>
        </w:rPr>
      </w:pPr>
      <w:r>
        <w:rPr>
          <w:rFonts w:ascii="Palatino Linotype" w:hAnsi="Palatino Linotype"/>
          <w:sz w:val="19"/>
        </w:rPr>
        <w:t>Rådgiver indenfor energi</w:t>
      </w:r>
    </w:p>
    <w:p>
      <w:pPr>
        <w:pStyle w:val="BodyText"/>
        <w:spacing w:before="11"/>
        <w:rPr>
          <w:rFonts w:ascii="Palatino Linotype"/>
        </w:rPr>
      </w:pPr>
    </w:p>
    <w:p>
      <w:pPr>
        <w:spacing w:before="0"/>
        <w:ind w:left="3045" w:right="1737" w:firstLine="0"/>
        <w:jc w:val="left"/>
        <w:rPr>
          <w:rFonts w:ascii="Palatino Linotype" w:hAnsi="Palatino Linotype"/>
          <w:i/>
          <w:sz w:val="19"/>
        </w:rPr>
      </w:pPr>
      <w:r>
        <w:rPr>
          <w:rFonts w:ascii="Palatino Linotype" w:hAnsi="Palatino Linotype"/>
          <w:i/>
          <w:sz w:val="19"/>
        </w:rPr>
        <w:t>Jeg tror ikke man kommer nogen vegne uden lovgivning, de skal have en skrue- </w:t>
      </w:r>
      <w:r>
        <w:rPr>
          <w:rFonts w:ascii="Palatino Linotype" w:hAnsi="Palatino Linotype"/>
          <w:i/>
          <w:sz w:val="19"/>
        </w:rPr>
        <w:t>tvinge. Der er krav om at BBR skal vedligeholdes i dag, det skal gøres.</w:t>
      </w:r>
    </w:p>
    <w:p>
      <w:pPr>
        <w:spacing w:line="255" w:lineRule="exact"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4"/>
        <w:rPr>
          <w:rFonts w:ascii="Palatino Linotype"/>
          <w:sz w:val="20"/>
        </w:rPr>
      </w:pPr>
    </w:p>
    <w:p>
      <w:pPr>
        <w:pStyle w:val="BodyText"/>
        <w:spacing w:line="278" w:lineRule="auto"/>
        <w:ind w:left="2649" w:right="1158"/>
      </w:pPr>
      <w:r>
        <w:rPr/>
        <w:t>En aktør kom med et konkret forslag om, at der fx stilles krav om at de offentlige bygningsejerne skal indberette geodata til steddatabasen, men kun for bygninger der er bygget indenfor de seneste 10 år, hvor det må forventes, at man har BIM modellerne på plads.</w:t>
      </w:r>
    </w:p>
    <w:p>
      <w:pPr>
        <w:pStyle w:val="BodyText"/>
        <w:spacing w:before="9"/>
        <w:rPr>
          <w:sz w:val="18"/>
        </w:rPr>
      </w:pPr>
    </w:p>
    <w:p>
      <w:pPr>
        <w:spacing w:before="0"/>
        <w:ind w:left="3045" w:right="1198" w:firstLine="0"/>
        <w:jc w:val="left"/>
        <w:rPr>
          <w:rFonts w:ascii="Palatino Linotype" w:hAnsi="Palatino Linotype"/>
          <w:i/>
          <w:sz w:val="19"/>
        </w:rPr>
      </w:pPr>
      <w:r>
        <w:rPr>
          <w:rFonts w:ascii="Palatino Linotype" w:hAnsi="Palatino Linotype"/>
          <w:i/>
          <w:sz w:val="19"/>
        </w:rPr>
        <w:t>Der kunne være en ide at sige – nu siger jeg bare noget – at det gælder kun 10 år </w:t>
      </w:r>
      <w:r>
        <w:rPr>
          <w:rFonts w:ascii="Palatino Linotype" w:hAnsi="Palatino Linotype"/>
          <w:i/>
          <w:sz w:val="19"/>
        </w:rPr>
        <w:t>gamle bygninger. Der skal afleveres en 3d model, [det er] de offentlige helt vant til.</w:t>
      </w:r>
    </w:p>
    <w:p>
      <w:pPr>
        <w:spacing w:after="0"/>
        <w:jc w:val="left"/>
        <w:rPr>
          <w:rFonts w:ascii="Palatino Linotype" w:hAnsi="Palatino Linotype"/>
          <w:sz w:val="19"/>
        </w:rPr>
        <w:sectPr>
          <w:type w:val="continuous"/>
          <w:pgSz w:w="11910" w:h="16840"/>
          <w:pgMar w:top="1580" w:bottom="280" w:left="980" w:right="100"/>
        </w:sectPr>
      </w:pPr>
    </w:p>
    <w:p>
      <w:pPr>
        <w:pStyle w:val="BodyText"/>
        <w:rPr>
          <w:rFonts w:ascii="Palatino Linotype"/>
          <w:i/>
          <w:sz w:val="20"/>
        </w:rPr>
      </w:pPr>
    </w:p>
    <w:p>
      <w:pPr>
        <w:pStyle w:val="BodyText"/>
        <w:rPr>
          <w:rFonts w:ascii="Palatino Linotype"/>
          <w:i/>
          <w:sz w:val="20"/>
        </w:rPr>
      </w:pPr>
    </w:p>
    <w:p>
      <w:pPr>
        <w:pStyle w:val="BodyText"/>
        <w:spacing w:before="3"/>
        <w:rPr>
          <w:rFonts w:ascii="Palatino Linotype"/>
          <w:i/>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1784"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5"/>
        </w:rPr>
      </w:pPr>
    </w:p>
    <w:p>
      <w:pPr>
        <w:spacing w:before="39"/>
        <w:ind w:left="3045" w:right="1466" w:firstLine="0"/>
        <w:jc w:val="left"/>
        <w:rPr>
          <w:rFonts w:ascii="Palatino Linotype" w:hAnsi="Palatino Linotype"/>
          <w:i/>
          <w:sz w:val="19"/>
        </w:rPr>
      </w:pPr>
      <w:r>
        <w:rPr>
          <w:rFonts w:ascii="Palatino Linotype" w:hAnsi="Palatino Linotype"/>
          <w:i/>
          <w:sz w:val="19"/>
        </w:rPr>
        <w:t>Så at gå fra det og til at aflevere det til en database er ikke en stor øvelse. Data fin- </w:t>
      </w:r>
      <w:r>
        <w:rPr>
          <w:rFonts w:ascii="Palatino Linotype" w:hAnsi="Palatino Linotype"/>
          <w:i/>
          <w:sz w:val="19"/>
        </w:rPr>
        <w:t>des. Men bliver data genbrugt? Det er et stort rungende nej! Skifter bygningen hænder er data væk. Ligger man barren rimeligt simpelt, så er det data de har i for- vejen. Dét er der samfundsmæssig gevinst i. [Interviewer: Så ikke de gamle byg- ninger?] Nej, for så fjerner du barriereren, og så kan man løbe det ind over tid. Så er der i princippet ikke nogen udgift. […] Så får du ikke 100 % af gevinsten ved at have alt inde. Men over en årrække vil du have 50-60% [af bygningsmassen] og det er bedre end</w:t>
      </w:r>
      <w:r>
        <w:rPr>
          <w:rFonts w:ascii="Palatino Linotype" w:hAnsi="Palatino Linotype"/>
          <w:i/>
          <w:spacing w:val="-1"/>
          <w:sz w:val="19"/>
        </w:rPr>
        <w:t> </w:t>
      </w:r>
      <w:r>
        <w:rPr>
          <w:rFonts w:ascii="Palatino Linotype" w:hAnsi="Palatino Linotype"/>
          <w:i/>
          <w:sz w:val="19"/>
        </w:rPr>
        <w:t>nul.</w:t>
      </w:r>
    </w:p>
    <w:p>
      <w:pPr>
        <w:spacing w:line="255" w:lineRule="exact" w:before="0"/>
        <w:ind w:left="3045" w:right="0" w:firstLine="0"/>
        <w:jc w:val="left"/>
        <w:rPr>
          <w:rFonts w:ascii="Palatino Linotype" w:hAnsi="Palatino Linotype"/>
          <w:sz w:val="19"/>
        </w:rPr>
      </w:pPr>
      <w:r>
        <w:rPr>
          <w:rFonts w:ascii="Palatino Linotype" w:hAnsi="Palatino Linotype"/>
          <w:sz w:val="19"/>
        </w:rPr>
        <w:t>Leverandør af software til facility management og energistyring</w:t>
      </w:r>
    </w:p>
    <w:p>
      <w:pPr>
        <w:pStyle w:val="BodyText"/>
        <w:spacing w:before="4"/>
        <w:rPr>
          <w:rFonts w:ascii="Palatino Linotype"/>
          <w:sz w:val="20"/>
        </w:rPr>
      </w:pPr>
    </w:p>
    <w:p>
      <w:pPr>
        <w:pStyle w:val="BodyText"/>
        <w:spacing w:line="278" w:lineRule="auto"/>
        <w:ind w:left="2649" w:right="1063"/>
      </w:pPr>
      <w:r>
        <w:rPr/>
        <w:t>Mens de fleste peger på nødvendigheden af en eller anden grad af kravsætning i forhold til bygningsejerne, så er der bred enighed om, at det optimale scenarie ville være, at steddatabasen viser sig så værdifuld, at det skaber et frivilligt incita- ment for bygningsejerne til at levere data. Men det erkendes samtidigt at dette nok er urealistisk, da værdien af data først vil kunne realiseres på sigt.</w:t>
      </w:r>
    </w:p>
    <w:p>
      <w:pPr>
        <w:pStyle w:val="BodyText"/>
        <w:spacing w:before="10"/>
        <w:rPr>
          <w:sz w:val="20"/>
        </w:rPr>
      </w:pPr>
    </w:p>
    <w:p>
      <w:pPr>
        <w:pStyle w:val="Heading2"/>
        <w:ind w:firstLine="0"/>
      </w:pPr>
      <w:r>
        <w:rPr/>
        <w:t>Samlet vurdering</w:t>
      </w:r>
    </w:p>
    <w:p>
      <w:pPr>
        <w:spacing w:line="255" w:lineRule="exact" w:before="245"/>
        <w:ind w:left="3045" w:right="0" w:firstLine="0"/>
        <w:jc w:val="left"/>
        <w:rPr>
          <w:rFonts w:ascii="Palatino Linotype" w:hAnsi="Palatino Linotype"/>
          <w:i/>
          <w:sz w:val="19"/>
        </w:rPr>
      </w:pPr>
      <w:r>
        <w:rPr>
          <w:rFonts w:ascii="Palatino Linotype" w:hAnsi="Palatino Linotype"/>
          <w:i/>
          <w:sz w:val="19"/>
        </w:rPr>
        <w:t>I starten tænkte jeg ”nej”, jeg var meget skeptisk. Men som vi får talt om det, er</w:t>
      </w:r>
    </w:p>
    <w:p>
      <w:pPr>
        <w:spacing w:before="0"/>
        <w:ind w:left="3045" w:right="1504" w:firstLine="0"/>
        <w:jc w:val="left"/>
        <w:rPr>
          <w:rFonts w:ascii="Palatino Linotype" w:hAnsi="Palatino Linotype"/>
          <w:i/>
          <w:sz w:val="19"/>
        </w:rPr>
      </w:pPr>
      <w:r>
        <w:rPr>
          <w:rFonts w:ascii="Palatino Linotype" w:hAnsi="Palatino Linotype"/>
          <w:i/>
          <w:sz w:val="19"/>
        </w:rPr>
        <w:t>jeg gået fra ”nej, det kan ikke bruges” til ”måske, det kan nok bruges af nogle til et </w:t>
      </w:r>
      <w:r>
        <w:rPr>
          <w:rFonts w:ascii="Palatino Linotype" w:hAnsi="Palatino Linotype"/>
          <w:i/>
          <w:sz w:val="19"/>
        </w:rPr>
        <w:t>eller andet”. Efterhånden som man får talt sig varm og tænkt sig lidt om [ændrer billedet sig].</w:t>
      </w:r>
    </w:p>
    <w:p>
      <w:pPr>
        <w:spacing w:before="0"/>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4"/>
        <w:rPr>
          <w:rFonts w:ascii="Palatino Linotype"/>
          <w:sz w:val="20"/>
        </w:rPr>
      </w:pPr>
    </w:p>
    <w:p>
      <w:pPr>
        <w:pStyle w:val="BodyText"/>
        <w:spacing w:line="278" w:lineRule="auto"/>
        <w:ind w:left="2649" w:right="1132"/>
      </w:pPr>
      <w:r>
        <w:rPr/>
        <w:t>Det har været vanskeligt for de interviewede aktører at give en konkret vurdering af den potentielle værdi, som en steddatabase og datainfrastruktur for indendørs geografi vil kunne skabe. Det skyldes dels, at projektet stadig er i en udviklings- fase, men også at den egentlige værdi af nye data og datasammenstillinger, ofte først viser sig i retrospekt.</w:t>
      </w:r>
    </w:p>
    <w:p>
      <w:pPr>
        <w:pStyle w:val="BodyText"/>
        <w:spacing w:before="9"/>
        <w:rPr>
          <w:sz w:val="18"/>
        </w:rPr>
      </w:pPr>
    </w:p>
    <w:p>
      <w:pPr>
        <w:spacing w:before="1"/>
        <w:ind w:left="3045" w:right="1468" w:firstLine="0"/>
        <w:jc w:val="left"/>
        <w:rPr>
          <w:rFonts w:ascii="Palatino Linotype" w:hAnsi="Palatino Linotype"/>
          <w:i/>
          <w:sz w:val="19"/>
        </w:rPr>
      </w:pPr>
      <w:r>
        <w:rPr>
          <w:rFonts w:ascii="Palatino Linotype" w:hAnsi="Palatino Linotype"/>
          <w:i/>
          <w:sz w:val="19"/>
        </w:rPr>
        <w:t>Der vil helt givet være noget – det er enormt svært, når man udvikler en ny tekno- </w:t>
      </w:r>
      <w:r>
        <w:rPr>
          <w:rFonts w:ascii="Palatino Linotype" w:hAnsi="Palatino Linotype"/>
          <w:i/>
          <w:sz w:val="19"/>
        </w:rPr>
        <w:t>logi eller et nyt datasæt, men kan altid udvikle scenarier og drømmen – men de største [gevinster] er altid noget der kommer bagefter. Det er det.</w:t>
      </w:r>
    </w:p>
    <w:p>
      <w:pPr>
        <w:spacing w:before="1"/>
        <w:ind w:left="3045" w:right="0" w:firstLine="0"/>
        <w:jc w:val="left"/>
        <w:rPr>
          <w:rFonts w:ascii="Palatino Linotype" w:hAnsi="Palatino Linotype"/>
          <w:sz w:val="19"/>
        </w:rPr>
      </w:pPr>
      <w:r>
        <w:rPr>
          <w:rFonts w:ascii="Palatino Linotype" w:hAnsi="Palatino Linotype"/>
          <w:sz w:val="19"/>
        </w:rPr>
        <w:t>Rådgiver indenfor energi</w:t>
      </w:r>
    </w:p>
    <w:p>
      <w:pPr>
        <w:pStyle w:val="BodyText"/>
        <w:spacing w:before="1"/>
        <w:rPr>
          <w:rFonts w:ascii="Palatino Linotype"/>
          <w:sz w:val="20"/>
        </w:rPr>
      </w:pPr>
    </w:p>
    <w:p>
      <w:pPr>
        <w:pStyle w:val="BodyText"/>
        <w:spacing w:line="278" w:lineRule="auto" w:before="1"/>
        <w:ind w:left="2649" w:right="1346"/>
        <w:jc w:val="both"/>
      </w:pPr>
      <w:r>
        <w:rPr/>
        <w:t>En aktør understreger, at ting, der virkede ganske urealistiske for få år siden, i dag tages for givet, og påpeger, at den teknologiske udvikling har skabt et mo- mentum, der med fordel kan udnyttes i et projekt som dette.</w:t>
      </w:r>
    </w:p>
    <w:p>
      <w:pPr>
        <w:pStyle w:val="BodyText"/>
        <w:spacing w:before="11"/>
        <w:rPr>
          <w:sz w:val="18"/>
        </w:rPr>
      </w:pPr>
    </w:p>
    <w:p>
      <w:pPr>
        <w:spacing w:before="0"/>
        <w:ind w:left="3045" w:right="1428" w:firstLine="0"/>
        <w:jc w:val="left"/>
        <w:rPr>
          <w:rFonts w:ascii="Palatino Linotype" w:hAnsi="Palatino Linotype"/>
          <w:i/>
          <w:sz w:val="19"/>
        </w:rPr>
      </w:pPr>
      <w:r>
        <w:rPr>
          <w:rFonts w:ascii="Palatino Linotype" w:hAnsi="Palatino Linotype"/>
          <w:i/>
          <w:sz w:val="19"/>
        </w:rPr>
        <w:t>Hele det der set-up, hele infrastrukturen, hele det med at få data automatisk fra </w:t>
      </w:r>
      <w:r>
        <w:rPr>
          <w:rFonts w:ascii="Palatino Linotype" w:hAnsi="Palatino Linotype"/>
          <w:i/>
          <w:sz w:val="19"/>
        </w:rPr>
        <w:t>målere eller sensorer, det er blevet billigere og meget enklere. Der sker en teknologi- udvikling, der betyder, at dét vi tænkte [var urealistisk] for 10 år siden, dét er vi</w:t>
      </w:r>
    </w:p>
    <w:p>
      <w:pPr>
        <w:spacing w:line="255" w:lineRule="exact" w:before="0"/>
        <w:ind w:left="3045" w:right="0" w:firstLine="0"/>
        <w:jc w:val="left"/>
        <w:rPr>
          <w:rFonts w:ascii="Palatino Linotype" w:hAnsi="Palatino Linotype"/>
          <w:i/>
          <w:sz w:val="19"/>
        </w:rPr>
      </w:pPr>
      <w:r>
        <w:rPr>
          <w:rFonts w:ascii="Palatino Linotype" w:hAnsi="Palatino Linotype"/>
          <w:i/>
          <w:sz w:val="19"/>
        </w:rPr>
        <w:t>langt forbi. […] Vi kan se en kraftig vækst i at mange kunder ønsker flere sensorer</w:t>
      </w:r>
    </w:p>
    <w:p>
      <w:pPr>
        <w:spacing w:before="0"/>
        <w:ind w:left="3045" w:right="0" w:firstLine="0"/>
        <w:jc w:val="left"/>
        <w:rPr>
          <w:rFonts w:ascii="Palatino Linotype" w:hAnsi="Palatino Linotype"/>
          <w:i/>
          <w:sz w:val="19"/>
        </w:rPr>
      </w:pPr>
      <w:r>
        <w:rPr>
          <w:rFonts w:ascii="Palatino Linotype" w:hAnsi="Palatino Linotype"/>
          <w:i/>
          <w:sz w:val="19"/>
        </w:rPr>
        <w:t>eller målepunkter, fordi prisen er så lav.</w:t>
      </w:r>
    </w:p>
    <w:p>
      <w:pPr>
        <w:spacing w:before="1"/>
        <w:ind w:left="3045" w:right="0" w:firstLine="0"/>
        <w:jc w:val="left"/>
        <w:rPr>
          <w:rFonts w:ascii="Palatino Linotype" w:hAnsi="Palatino Linotype"/>
          <w:sz w:val="19"/>
        </w:rPr>
      </w:pPr>
      <w:r>
        <w:rPr>
          <w:rFonts w:ascii="Palatino Linotype" w:hAnsi="Palatino Linotype"/>
          <w:sz w:val="19"/>
        </w:rPr>
        <w:t>Leverandør af software til energi- og driftsstyring</w:t>
      </w:r>
    </w:p>
    <w:p>
      <w:pPr>
        <w:pStyle w:val="BodyText"/>
        <w:spacing w:before="3"/>
        <w:rPr>
          <w:rFonts w:ascii="Palatino Linotype"/>
          <w:sz w:val="20"/>
        </w:rPr>
      </w:pPr>
    </w:p>
    <w:p>
      <w:pPr>
        <w:pStyle w:val="BodyText"/>
        <w:spacing w:line="278" w:lineRule="auto" w:before="1"/>
        <w:ind w:left="2649" w:right="1062"/>
      </w:pPr>
      <w:r>
        <w:rPr/>
        <w:t>En pointe, flere nævner er, at enkelte datasæt sjældent har værdi i sig selv, men først i sammenstilling med andre datasæt. Fordi en datainfrastruktur for indendørs geografi netop handler om at muliggøre nye koblinger er data, kan den vise sig at have stor værdi.</w:t>
      </w:r>
    </w:p>
    <w:p>
      <w:pPr>
        <w:pStyle w:val="BodyText"/>
        <w:spacing w:before="8"/>
        <w:rPr>
          <w:sz w:val="18"/>
        </w:rPr>
      </w:pPr>
    </w:p>
    <w:p>
      <w:pPr>
        <w:spacing w:before="0"/>
        <w:ind w:left="3045" w:right="1353" w:firstLine="0"/>
        <w:jc w:val="left"/>
        <w:rPr>
          <w:rFonts w:ascii="Palatino Linotype" w:hAnsi="Palatino Linotype"/>
          <w:i/>
          <w:sz w:val="19"/>
        </w:rPr>
      </w:pPr>
      <w:r>
        <w:rPr>
          <w:rFonts w:ascii="Palatino Linotype" w:hAnsi="Palatino Linotype"/>
          <w:i/>
          <w:sz w:val="19"/>
        </w:rPr>
        <w:t>Det har ikke nogen direkte effekt – det er ligesom et element i kombination med an- </w:t>
      </w:r>
      <w:r>
        <w:rPr>
          <w:rFonts w:ascii="Palatino Linotype" w:hAnsi="Palatino Linotype"/>
          <w:i/>
          <w:sz w:val="19"/>
        </w:rPr>
        <w:t>dre datasæt hvor det vil give et gigantisk boost. Det har en kæmpeværdi. Det meste</w:t>
      </w:r>
    </w:p>
    <w:p>
      <w:pPr>
        <w:spacing w:after="0"/>
        <w:jc w:val="left"/>
        <w:rPr>
          <w:rFonts w:ascii="Palatino Linotype" w:hAnsi="Palatino Linotype"/>
          <w:sz w:val="19"/>
        </w:rPr>
        <w:sectPr>
          <w:type w:val="continuous"/>
          <w:pgSz w:w="11910" w:h="16840"/>
          <w:pgMar w:top="1580" w:bottom="280" w:left="980" w:right="100"/>
        </w:sectPr>
      </w:pPr>
    </w:p>
    <w:p>
      <w:pPr>
        <w:pStyle w:val="BodyText"/>
        <w:rPr>
          <w:rFonts w:ascii="Palatino Linotype"/>
          <w:i/>
          <w:sz w:val="20"/>
        </w:rPr>
      </w:pPr>
    </w:p>
    <w:p>
      <w:pPr>
        <w:pStyle w:val="BodyText"/>
        <w:rPr>
          <w:rFonts w:ascii="Palatino Linotype"/>
          <w:i/>
          <w:sz w:val="20"/>
        </w:rPr>
      </w:pPr>
    </w:p>
    <w:p>
      <w:pPr>
        <w:pStyle w:val="BodyText"/>
        <w:spacing w:before="3"/>
        <w:rPr>
          <w:rFonts w:ascii="Palatino Linotype"/>
          <w:i/>
          <w:sz w:val="11"/>
        </w:rPr>
      </w:pPr>
    </w:p>
    <w:p>
      <w:pPr>
        <w:tabs>
          <w:tab w:pos="5098" w:val="left" w:leader="none"/>
          <w:tab w:pos="7563" w:val="left" w:leader="none"/>
        </w:tabs>
        <w:spacing w:line="20" w:lineRule="exact"/>
        <w:ind w:left="263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spacing w:after="0" w:line="20" w:lineRule="exact"/>
        <w:rPr>
          <w:rFonts w:ascii="Palatino Linotype"/>
          <w:sz w:val="2"/>
        </w:rPr>
        <w:sectPr>
          <w:pgSz w:w="11910" w:h="16840"/>
          <w:pgMar w:header="0" w:footer="761" w:top="0" w:bottom="960" w:left="980" w:right="100"/>
        </w:sectPr>
      </w:pPr>
    </w:p>
    <w:p>
      <w:pPr>
        <w:spacing w:line="137" w:lineRule="exact" w:before="0"/>
        <w:ind w:left="2635" w:right="0" w:firstLine="0"/>
        <w:jc w:val="left"/>
        <w:rPr>
          <w:sz w:val="12"/>
        </w:rPr>
      </w:pPr>
      <w:r>
        <w:rPr>
          <w:sz w:val="12"/>
        </w:rPr>
        <w:t>Styrelsen for Dataforsyning og</w:t>
      </w:r>
    </w:p>
    <w:p>
      <w:pPr>
        <w:spacing w:before="0"/>
        <w:ind w:left="2635" w:right="0" w:firstLine="0"/>
        <w:jc w:val="left"/>
        <w:rPr>
          <w:sz w:val="12"/>
        </w:rPr>
      </w:pPr>
      <w:r>
        <w:rPr>
          <w:sz w:val="12"/>
        </w:rPr>
        <w:t>Effektivisering og Energistyrelsen</w:t>
      </w:r>
    </w:p>
    <w:p>
      <w:pPr>
        <w:tabs>
          <w:tab w:pos="2876" w:val="left" w:leader="none"/>
        </w:tabs>
        <w:spacing w:line="137" w:lineRule="exact" w:before="0"/>
        <w:ind w:left="410" w:right="0" w:firstLine="0"/>
        <w:jc w:val="left"/>
        <w:rPr>
          <w:sz w:val="12"/>
        </w:rPr>
      </w:pPr>
      <w:r>
        <w:rPr/>
        <w:br w:type="column"/>
      </w:r>
      <w:r>
        <w:rPr>
          <w:sz w:val="12"/>
        </w:rPr>
        <w:t>05.</w:t>
      </w:r>
      <w:r>
        <w:rPr>
          <w:spacing w:val="-2"/>
          <w:sz w:val="12"/>
        </w:rPr>
        <w:t> </w:t>
      </w:r>
      <w:r>
        <w:rPr>
          <w:sz w:val="12"/>
        </w:rPr>
        <w:t>februar</w:t>
      </w:r>
      <w:r>
        <w:rPr>
          <w:spacing w:val="-2"/>
          <w:sz w:val="12"/>
        </w:rPr>
        <w:t> </w:t>
      </w:r>
      <w:r>
        <w:rPr>
          <w:sz w:val="12"/>
        </w:rPr>
        <w:t>2019</w:t>
        <w:tab/>
      </w:r>
      <w:hyperlink r:id="rId10">
        <w:r>
          <w:rPr>
            <w:sz w:val="12"/>
          </w:rPr>
          <w:t>www.niras.dk</w:t>
        </w:r>
      </w:hyperlink>
    </w:p>
    <w:p>
      <w:pPr>
        <w:spacing w:after="0" w:line="137" w:lineRule="exact"/>
        <w:jc w:val="left"/>
        <w:rPr>
          <w:sz w:val="12"/>
        </w:rPr>
        <w:sectPr>
          <w:type w:val="continuous"/>
          <w:pgSz w:w="11910" w:h="16840"/>
          <w:pgMar w:top="1580" w:bottom="280" w:left="980" w:right="100"/>
          <w:cols w:num="2" w:equalWidth="0">
            <w:col w:w="4653" w:space="40"/>
            <w:col w:w="6137"/>
          </w:cols>
        </w:sectPr>
      </w:pPr>
    </w:p>
    <w:p>
      <w:pPr>
        <w:pStyle w:val="BodyText"/>
        <w:rPr>
          <w:sz w:val="20"/>
        </w:rPr>
      </w:pPr>
      <w:r>
        <w:rPr/>
        <w:pict>
          <v:shape style="position:absolute;margin-left:.017151pt;margin-top:-157.190018pt;width:133.65pt;height:997.65pt;mso-position-horizontal-relative:page;mso-position-vertical-relative:page;z-index:-171688" coordorigin="0,-3144" coordsize="2673,19953" path="m3382,16473l3238,16812m3382,16473l3382,16473m3382,16078l3073,16812m3382,15689l2909,16812m3382,15294l2739,16812m3382,14900l2575,16812m3382,14510l2405,16812m3382,14116l2241,16812m3382,13721l2076,16812m3382,13332l1907,16812m3382,12937l1742,16812m3382,12543l1573,16812m3382,12153l1408,16812m3382,11759l1239,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4,1l1134,565m1209,1l1134,175m1209,1l1209,1e" filled="false" stroked="true" strokeweight=".498863pt" strokecolor="#f0f0f0">
            <v:path arrowok="t"/>
            <v:stroke dashstyle="solid"/>
            <w10:wrap type="none"/>
          </v:shape>
        </w:pict>
      </w:r>
    </w:p>
    <w:p>
      <w:pPr>
        <w:pStyle w:val="BodyText"/>
        <w:rPr>
          <w:sz w:val="20"/>
        </w:rPr>
      </w:pPr>
    </w:p>
    <w:p>
      <w:pPr>
        <w:pStyle w:val="BodyText"/>
        <w:spacing w:before="3"/>
        <w:rPr>
          <w:sz w:val="25"/>
        </w:rPr>
      </w:pPr>
    </w:p>
    <w:p>
      <w:pPr>
        <w:spacing w:before="39"/>
        <w:ind w:left="3045" w:right="0" w:firstLine="0"/>
        <w:jc w:val="left"/>
        <w:rPr>
          <w:rFonts w:ascii="Palatino Linotype" w:hAnsi="Palatino Linotype"/>
          <w:i/>
          <w:sz w:val="19"/>
        </w:rPr>
      </w:pPr>
      <w:r>
        <w:rPr>
          <w:rFonts w:ascii="Palatino Linotype" w:hAnsi="Palatino Linotype"/>
          <w:i/>
          <w:sz w:val="19"/>
        </w:rPr>
        <w:t>data har først værdi når man begynder at kombinere det.</w:t>
      </w:r>
    </w:p>
    <w:p>
      <w:pPr>
        <w:spacing w:before="1"/>
        <w:ind w:left="3045" w:right="0" w:firstLine="0"/>
        <w:jc w:val="left"/>
        <w:rPr>
          <w:rFonts w:ascii="Palatino Linotype" w:hAnsi="Palatino Linotype"/>
          <w:sz w:val="19"/>
        </w:rPr>
      </w:pPr>
      <w:r>
        <w:rPr>
          <w:rFonts w:ascii="Palatino Linotype" w:hAnsi="Palatino Linotype"/>
          <w:sz w:val="19"/>
        </w:rPr>
        <w:t>Rådgiver indenfor energi</w:t>
      </w:r>
    </w:p>
    <w:p>
      <w:pPr>
        <w:pStyle w:val="BodyText"/>
        <w:spacing w:before="3"/>
        <w:rPr>
          <w:rFonts w:ascii="Palatino Linotype"/>
          <w:sz w:val="20"/>
        </w:rPr>
      </w:pPr>
    </w:p>
    <w:p>
      <w:pPr>
        <w:pStyle w:val="BodyText"/>
        <w:spacing w:line="278" w:lineRule="auto"/>
        <w:ind w:left="2649" w:right="1236"/>
        <w:jc w:val="both"/>
      </w:pPr>
      <w:r>
        <w:rPr/>
        <w:t>Der er en udbredt samfundsmæssig forventning om, at data medfører værdi, og som en aktør påpeger, kan dette i sig selv blive et argument for at realisere pro- jektet.</w:t>
      </w:r>
    </w:p>
    <w:p>
      <w:pPr>
        <w:pStyle w:val="BodyText"/>
        <w:spacing w:before="8"/>
        <w:rPr>
          <w:sz w:val="18"/>
        </w:rPr>
      </w:pPr>
    </w:p>
    <w:p>
      <w:pPr>
        <w:spacing w:before="1"/>
        <w:ind w:left="3045" w:right="1489" w:firstLine="0"/>
        <w:jc w:val="left"/>
        <w:rPr>
          <w:rFonts w:ascii="Palatino Linotype" w:hAnsi="Palatino Linotype"/>
          <w:sz w:val="19"/>
        </w:rPr>
      </w:pPr>
      <w:r>
        <w:rPr>
          <w:rFonts w:ascii="Palatino Linotype" w:hAnsi="Palatino Linotype"/>
          <w:i/>
          <w:sz w:val="19"/>
        </w:rPr>
        <w:t>En grundlæggende antagelse i meget af det, vi laver [i disse år], er at mere data fø- </w:t>
      </w:r>
      <w:r>
        <w:rPr>
          <w:rFonts w:ascii="Palatino Linotype" w:hAnsi="Palatino Linotype"/>
          <w:i/>
          <w:sz w:val="19"/>
        </w:rPr>
        <w:t>rer til værdi. Og det kan være, det også kan føre det her [steddatabasen] igennem. </w:t>
      </w:r>
      <w:r>
        <w:rPr>
          <w:rFonts w:ascii="Palatino Linotype" w:hAnsi="Palatino Linotype"/>
          <w:sz w:val="19"/>
        </w:rPr>
        <w:t>Leverandør af software til energi- og driftsstyring</w:t>
      </w:r>
    </w:p>
    <w:p>
      <w:pPr>
        <w:pStyle w:val="BodyText"/>
        <w:spacing w:before="2"/>
        <w:rPr>
          <w:rFonts w:ascii="Palatino Linotype"/>
          <w:sz w:val="20"/>
        </w:rPr>
      </w:pPr>
    </w:p>
    <w:p>
      <w:pPr>
        <w:pStyle w:val="BodyText"/>
        <w:spacing w:line="278" w:lineRule="auto"/>
        <w:ind w:left="2649" w:right="1335"/>
        <w:jc w:val="both"/>
      </w:pPr>
      <w:r>
        <w:rPr/>
        <w:t>Hvorvidt anvendelsespotentialet af projektet er stort nok til at berettige de for- nødne investeringer, kan de interviewede aktører ikke svare på. Men flere giver udtryk for, at de håber projektet realisereres.</w:t>
      </w:r>
    </w:p>
    <w:sectPr>
      <w:type w:val="continuous"/>
      <w:pgSz w:w="11910" w:h="16840"/>
      <w:pgMar w:top="1580" w:bottom="280" w:left="98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mbria Math">
    <w:altName w:val="Cambria Math"/>
    <w:charset w:val="0"/>
    <w:family w:val="roman"/>
    <w:pitch w:val="variable"/>
  </w:font>
  <w:font w:name="Symbol">
    <w:altName w:val="Symbol"/>
    <w:charset w:val="2"/>
    <w:family w:val="roman"/>
    <w:pitch w:val="variable"/>
  </w:font>
  <w:font w:name="Courier New">
    <w:altName w:val="Courier New"/>
    <w:charset w:val="0"/>
    <w:family w:val="modern"/>
    <w:pitch w:val="fixed"/>
  </w:font>
  <w:font w:name="Palatino Linotype">
    <w:altName w:val="Palatino Linotype"/>
    <w:charset w:val="0"/>
    <w:family w:val="roman"/>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080017pt;margin-top:792.874207pt;width:14.85pt;height:12.4pt;mso-position-horizontal-relative:page;mso-position-vertical-relative:page;z-index:-181648" type="#_x0000_t202" filled="false" stroked="false">
          <v:textbox inset="0,0,0,0">
            <w:txbxContent>
              <w:p>
                <w:pPr>
                  <w:pStyle w:val="BodyText"/>
                  <w:spacing w:before="20"/>
                  <w:ind w:left="40"/>
                </w:pP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9">
    <w:multiLevelType w:val="hybridMultilevel"/>
    <w:lvl w:ilvl="0">
      <w:start w:val="0"/>
      <w:numFmt w:val="bullet"/>
      <w:lvlText w:val=""/>
      <w:lvlJc w:val="left"/>
      <w:pPr>
        <w:ind w:left="1545" w:hanging="528"/>
      </w:pPr>
      <w:rPr>
        <w:rFonts w:hint="default" w:ascii="Wingdings" w:hAnsi="Wingdings" w:eastAsia="Wingdings" w:cs="Wingdings"/>
        <w:color w:val="69ACC8"/>
        <w:w w:val="100"/>
        <w:sz w:val="24"/>
        <w:szCs w:val="24"/>
        <w:lang w:val="da-DY" w:eastAsia="da-DY" w:bidi="da-DY"/>
      </w:rPr>
    </w:lvl>
    <w:lvl w:ilvl="1">
      <w:start w:val="0"/>
      <w:numFmt w:val="bullet"/>
      <w:lvlText w:val="•"/>
      <w:lvlJc w:val="left"/>
      <w:pPr>
        <w:ind w:left="1575" w:hanging="528"/>
      </w:pPr>
      <w:rPr>
        <w:rFonts w:hint="default"/>
        <w:lang w:val="da-DY" w:eastAsia="da-DY" w:bidi="da-DY"/>
      </w:rPr>
    </w:lvl>
    <w:lvl w:ilvl="2">
      <w:start w:val="0"/>
      <w:numFmt w:val="bullet"/>
      <w:lvlText w:val="•"/>
      <w:lvlJc w:val="left"/>
      <w:pPr>
        <w:ind w:left="1611" w:hanging="528"/>
      </w:pPr>
      <w:rPr>
        <w:rFonts w:hint="default"/>
        <w:lang w:val="da-DY" w:eastAsia="da-DY" w:bidi="da-DY"/>
      </w:rPr>
    </w:lvl>
    <w:lvl w:ilvl="3">
      <w:start w:val="0"/>
      <w:numFmt w:val="bullet"/>
      <w:lvlText w:val="•"/>
      <w:lvlJc w:val="left"/>
      <w:pPr>
        <w:ind w:left="1647" w:hanging="528"/>
      </w:pPr>
      <w:rPr>
        <w:rFonts w:hint="default"/>
        <w:lang w:val="da-DY" w:eastAsia="da-DY" w:bidi="da-DY"/>
      </w:rPr>
    </w:lvl>
    <w:lvl w:ilvl="4">
      <w:start w:val="0"/>
      <w:numFmt w:val="bullet"/>
      <w:lvlText w:val="•"/>
      <w:lvlJc w:val="left"/>
      <w:pPr>
        <w:ind w:left="1683" w:hanging="528"/>
      </w:pPr>
      <w:rPr>
        <w:rFonts w:hint="default"/>
        <w:lang w:val="da-DY" w:eastAsia="da-DY" w:bidi="da-DY"/>
      </w:rPr>
    </w:lvl>
    <w:lvl w:ilvl="5">
      <w:start w:val="0"/>
      <w:numFmt w:val="bullet"/>
      <w:lvlText w:val="•"/>
      <w:lvlJc w:val="left"/>
      <w:pPr>
        <w:ind w:left="1719" w:hanging="528"/>
      </w:pPr>
      <w:rPr>
        <w:rFonts w:hint="default"/>
        <w:lang w:val="da-DY" w:eastAsia="da-DY" w:bidi="da-DY"/>
      </w:rPr>
    </w:lvl>
    <w:lvl w:ilvl="6">
      <w:start w:val="0"/>
      <w:numFmt w:val="bullet"/>
      <w:lvlText w:val="•"/>
      <w:lvlJc w:val="left"/>
      <w:pPr>
        <w:ind w:left="1754" w:hanging="528"/>
      </w:pPr>
      <w:rPr>
        <w:rFonts w:hint="default"/>
        <w:lang w:val="da-DY" w:eastAsia="da-DY" w:bidi="da-DY"/>
      </w:rPr>
    </w:lvl>
    <w:lvl w:ilvl="7">
      <w:start w:val="0"/>
      <w:numFmt w:val="bullet"/>
      <w:lvlText w:val="•"/>
      <w:lvlJc w:val="left"/>
      <w:pPr>
        <w:ind w:left="1790" w:hanging="528"/>
      </w:pPr>
      <w:rPr>
        <w:rFonts w:hint="default"/>
        <w:lang w:val="da-DY" w:eastAsia="da-DY" w:bidi="da-DY"/>
      </w:rPr>
    </w:lvl>
    <w:lvl w:ilvl="8">
      <w:start w:val="0"/>
      <w:numFmt w:val="bullet"/>
      <w:lvlText w:val="•"/>
      <w:lvlJc w:val="left"/>
      <w:pPr>
        <w:ind w:left="1826" w:hanging="528"/>
      </w:pPr>
      <w:rPr>
        <w:rFonts w:hint="default"/>
        <w:lang w:val="da-DY" w:eastAsia="da-DY" w:bidi="da-DY"/>
      </w:rPr>
    </w:lvl>
  </w:abstractNum>
  <w:abstractNum w:abstractNumId="48">
    <w:multiLevelType w:val="hybridMultilevel"/>
    <w:lvl w:ilvl="0">
      <w:start w:val="0"/>
      <w:numFmt w:val="bullet"/>
      <w:lvlText w:val=""/>
      <w:lvlJc w:val="left"/>
      <w:pPr>
        <w:ind w:left="1545" w:hanging="528"/>
      </w:pPr>
      <w:rPr>
        <w:rFonts w:hint="default" w:ascii="Wingdings" w:hAnsi="Wingdings" w:eastAsia="Wingdings" w:cs="Wingdings"/>
        <w:color w:val="69ACC8"/>
        <w:w w:val="100"/>
        <w:sz w:val="24"/>
        <w:szCs w:val="24"/>
        <w:lang w:val="da-DY" w:eastAsia="da-DY" w:bidi="da-DY"/>
      </w:rPr>
    </w:lvl>
    <w:lvl w:ilvl="1">
      <w:start w:val="0"/>
      <w:numFmt w:val="bullet"/>
      <w:lvlText w:val="•"/>
      <w:lvlJc w:val="left"/>
      <w:pPr>
        <w:ind w:left="1575" w:hanging="528"/>
      </w:pPr>
      <w:rPr>
        <w:rFonts w:hint="default"/>
        <w:lang w:val="da-DY" w:eastAsia="da-DY" w:bidi="da-DY"/>
      </w:rPr>
    </w:lvl>
    <w:lvl w:ilvl="2">
      <w:start w:val="0"/>
      <w:numFmt w:val="bullet"/>
      <w:lvlText w:val="•"/>
      <w:lvlJc w:val="left"/>
      <w:pPr>
        <w:ind w:left="1611" w:hanging="528"/>
      </w:pPr>
      <w:rPr>
        <w:rFonts w:hint="default"/>
        <w:lang w:val="da-DY" w:eastAsia="da-DY" w:bidi="da-DY"/>
      </w:rPr>
    </w:lvl>
    <w:lvl w:ilvl="3">
      <w:start w:val="0"/>
      <w:numFmt w:val="bullet"/>
      <w:lvlText w:val="•"/>
      <w:lvlJc w:val="left"/>
      <w:pPr>
        <w:ind w:left="1647" w:hanging="528"/>
      </w:pPr>
      <w:rPr>
        <w:rFonts w:hint="default"/>
        <w:lang w:val="da-DY" w:eastAsia="da-DY" w:bidi="da-DY"/>
      </w:rPr>
    </w:lvl>
    <w:lvl w:ilvl="4">
      <w:start w:val="0"/>
      <w:numFmt w:val="bullet"/>
      <w:lvlText w:val="•"/>
      <w:lvlJc w:val="left"/>
      <w:pPr>
        <w:ind w:left="1683" w:hanging="528"/>
      </w:pPr>
      <w:rPr>
        <w:rFonts w:hint="default"/>
        <w:lang w:val="da-DY" w:eastAsia="da-DY" w:bidi="da-DY"/>
      </w:rPr>
    </w:lvl>
    <w:lvl w:ilvl="5">
      <w:start w:val="0"/>
      <w:numFmt w:val="bullet"/>
      <w:lvlText w:val="•"/>
      <w:lvlJc w:val="left"/>
      <w:pPr>
        <w:ind w:left="1719" w:hanging="528"/>
      </w:pPr>
      <w:rPr>
        <w:rFonts w:hint="default"/>
        <w:lang w:val="da-DY" w:eastAsia="da-DY" w:bidi="da-DY"/>
      </w:rPr>
    </w:lvl>
    <w:lvl w:ilvl="6">
      <w:start w:val="0"/>
      <w:numFmt w:val="bullet"/>
      <w:lvlText w:val="•"/>
      <w:lvlJc w:val="left"/>
      <w:pPr>
        <w:ind w:left="1754" w:hanging="528"/>
      </w:pPr>
      <w:rPr>
        <w:rFonts w:hint="default"/>
        <w:lang w:val="da-DY" w:eastAsia="da-DY" w:bidi="da-DY"/>
      </w:rPr>
    </w:lvl>
    <w:lvl w:ilvl="7">
      <w:start w:val="0"/>
      <w:numFmt w:val="bullet"/>
      <w:lvlText w:val="•"/>
      <w:lvlJc w:val="left"/>
      <w:pPr>
        <w:ind w:left="1790" w:hanging="528"/>
      </w:pPr>
      <w:rPr>
        <w:rFonts w:hint="default"/>
        <w:lang w:val="da-DY" w:eastAsia="da-DY" w:bidi="da-DY"/>
      </w:rPr>
    </w:lvl>
    <w:lvl w:ilvl="8">
      <w:start w:val="0"/>
      <w:numFmt w:val="bullet"/>
      <w:lvlText w:val="•"/>
      <w:lvlJc w:val="left"/>
      <w:pPr>
        <w:ind w:left="1826" w:hanging="528"/>
      </w:pPr>
      <w:rPr>
        <w:rFonts w:hint="default"/>
        <w:lang w:val="da-DY" w:eastAsia="da-DY" w:bidi="da-DY"/>
      </w:rPr>
    </w:lvl>
  </w:abstractNum>
  <w:abstractNum w:abstractNumId="47">
    <w:multiLevelType w:val="hybridMultilevel"/>
    <w:lvl w:ilvl="0">
      <w:start w:val="0"/>
      <w:numFmt w:val="bullet"/>
      <w:lvlText w:val=""/>
      <w:lvlJc w:val="left"/>
      <w:pPr>
        <w:ind w:left="1545" w:hanging="528"/>
      </w:pPr>
      <w:rPr>
        <w:rFonts w:hint="default" w:ascii="Wingdings" w:hAnsi="Wingdings" w:eastAsia="Wingdings" w:cs="Wingdings"/>
        <w:color w:val="69ACC8"/>
        <w:w w:val="100"/>
        <w:sz w:val="24"/>
        <w:szCs w:val="24"/>
        <w:lang w:val="da-DY" w:eastAsia="da-DY" w:bidi="da-DY"/>
      </w:rPr>
    </w:lvl>
    <w:lvl w:ilvl="1">
      <w:start w:val="0"/>
      <w:numFmt w:val="bullet"/>
      <w:lvlText w:val="•"/>
      <w:lvlJc w:val="left"/>
      <w:pPr>
        <w:ind w:left="1575" w:hanging="528"/>
      </w:pPr>
      <w:rPr>
        <w:rFonts w:hint="default"/>
        <w:lang w:val="da-DY" w:eastAsia="da-DY" w:bidi="da-DY"/>
      </w:rPr>
    </w:lvl>
    <w:lvl w:ilvl="2">
      <w:start w:val="0"/>
      <w:numFmt w:val="bullet"/>
      <w:lvlText w:val="•"/>
      <w:lvlJc w:val="left"/>
      <w:pPr>
        <w:ind w:left="1611" w:hanging="528"/>
      </w:pPr>
      <w:rPr>
        <w:rFonts w:hint="default"/>
        <w:lang w:val="da-DY" w:eastAsia="da-DY" w:bidi="da-DY"/>
      </w:rPr>
    </w:lvl>
    <w:lvl w:ilvl="3">
      <w:start w:val="0"/>
      <w:numFmt w:val="bullet"/>
      <w:lvlText w:val="•"/>
      <w:lvlJc w:val="left"/>
      <w:pPr>
        <w:ind w:left="1647" w:hanging="528"/>
      </w:pPr>
      <w:rPr>
        <w:rFonts w:hint="default"/>
        <w:lang w:val="da-DY" w:eastAsia="da-DY" w:bidi="da-DY"/>
      </w:rPr>
    </w:lvl>
    <w:lvl w:ilvl="4">
      <w:start w:val="0"/>
      <w:numFmt w:val="bullet"/>
      <w:lvlText w:val="•"/>
      <w:lvlJc w:val="left"/>
      <w:pPr>
        <w:ind w:left="1683" w:hanging="528"/>
      </w:pPr>
      <w:rPr>
        <w:rFonts w:hint="default"/>
        <w:lang w:val="da-DY" w:eastAsia="da-DY" w:bidi="da-DY"/>
      </w:rPr>
    </w:lvl>
    <w:lvl w:ilvl="5">
      <w:start w:val="0"/>
      <w:numFmt w:val="bullet"/>
      <w:lvlText w:val="•"/>
      <w:lvlJc w:val="left"/>
      <w:pPr>
        <w:ind w:left="1719" w:hanging="528"/>
      </w:pPr>
      <w:rPr>
        <w:rFonts w:hint="default"/>
        <w:lang w:val="da-DY" w:eastAsia="da-DY" w:bidi="da-DY"/>
      </w:rPr>
    </w:lvl>
    <w:lvl w:ilvl="6">
      <w:start w:val="0"/>
      <w:numFmt w:val="bullet"/>
      <w:lvlText w:val="•"/>
      <w:lvlJc w:val="left"/>
      <w:pPr>
        <w:ind w:left="1754" w:hanging="528"/>
      </w:pPr>
      <w:rPr>
        <w:rFonts w:hint="default"/>
        <w:lang w:val="da-DY" w:eastAsia="da-DY" w:bidi="da-DY"/>
      </w:rPr>
    </w:lvl>
    <w:lvl w:ilvl="7">
      <w:start w:val="0"/>
      <w:numFmt w:val="bullet"/>
      <w:lvlText w:val="•"/>
      <w:lvlJc w:val="left"/>
      <w:pPr>
        <w:ind w:left="1790" w:hanging="528"/>
      </w:pPr>
      <w:rPr>
        <w:rFonts w:hint="default"/>
        <w:lang w:val="da-DY" w:eastAsia="da-DY" w:bidi="da-DY"/>
      </w:rPr>
    </w:lvl>
    <w:lvl w:ilvl="8">
      <w:start w:val="0"/>
      <w:numFmt w:val="bullet"/>
      <w:lvlText w:val="•"/>
      <w:lvlJc w:val="left"/>
      <w:pPr>
        <w:ind w:left="1826" w:hanging="528"/>
      </w:pPr>
      <w:rPr>
        <w:rFonts w:hint="default"/>
        <w:lang w:val="da-DY" w:eastAsia="da-DY" w:bidi="da-DY"/>
      </w:rPr>
    </w:lvl>
  </w:abstractNum>
  <w:abstractNum w:abstractNumId="46">
    <w:multiLevelType w:val="hybridMultilevel"/>
    <w:lvl w:ilvl="0">
      <w:start w:val="0"/>
      <w:numFmt w:val="bullet"/>
      <w:lvlText w:val=""/>
      <w:lvlJc w:val="left"/>
      <w:pPr>
        <w:ind w:left="1545" w:hanging="528"/>
      </w:pPr>
      <w:rPr>
        <w:rFonts w:hint="default" w:ascii="Wingdings" w:hAnsi="Wingdings" w:eastAsia="Wingdings" w:cs="Wingdings"/>
        <w:color w:val="69ACC8"/>
        <w:w w:val="100"/>
        <w:sz w:val="24"/>
        <w:szCs w:val="24"/>
        <w:lang w:val="da-DY" w:eastAsia="da-DY" w:bidi="da-DY"/>
      </w:rPr>
    </w:lvl>
    <w:lvl w:ilvl="1">
      <w:start w:val="0"/>
      <w:numFmt w:val="bullet"/>
      <w:lvlText w:val="•"/>
      <w:lvlJc w:val="left"/>
      <w:pPr>
        <w:ind w:left="1575" w:hanging="528"/>
      </w:pPr>
      <w:rPr>
        <w:rFonts w:hint="default"/>
        <w:lang w:val="da-DY" w:eastAsia="da-DY" w:bidi="da-DY"/>
      </w:rPr>
    </w:lvl>
    <w:lvl w:ilvl="2">
      <w:start w:val="0"/>
      <w:numFmt w:val="bullet"/>
      <w:lvlText w:val="•"/>
      <w:lvlJc w:val="left"/>
      <w:pPr>
        <w:ind w:left="1611" w:hanging="528"/>
      </w:pPr>
      <w:rPr>
        <w:rFonts w:hint="default"/>
        <w:lang w:val="da-DY" w:eastAsia="da-DY" w:bidi="da-DY"/>
      </w:rPr>
    </w:lvl>
    <w:lvl w:ilvl="3">
      <w:start w:val="0"/>
      <w:numFmt w:val="bullet"/>
      <w:lvlText w:val="•"/>
      <w:lvlJc w:val="left"/>
      <w:pPr>
        <w:ind w:left="1647" w:hanging="528"/>
      </w:pPr>
      <w:rPr>
        <w:rFonts w:hint="default"/>
        <w:lang w:val="da-DY" w:eastAsia="da-DY" w:bidi="da-DY"/>
      </w:rPr>
    </w:lvl>
    <w:lvl w:ilvl="4">
      <w:start w:val="0"/>
      <w:numFmt w:val="bullet"/>
      <w:lvlText w:val="•"/>
      <w:lvlJc w:val="left"/>
      <w:pPr>
        <w:ind w:left="1683" w:hanging="528"/>
      </w:pPr>
      <w:rPr>
        <w:rFonts w:hint="default"/>
        <w:lang w:val="da-DY" w:eastAsia="da-DY" w:bidi="da-DY"/>
      </w:rPr>
    </w:lvl>
    <w:lvl w:ilvl="5">
      <w:start w:val="0"/>
      <w:numFmt w:val="bullet"/>
      <w:lvlText w:val="•"/>
      <w:lvlJc w:val="left"/>
      <w:pPr>
        <w:ind w:left="1719" w:hanging="528"/>
      </w:pPr>
      <w:rPr>
        <w:rFonts w:hint="default"/>
        <w:lang w:val="da-DY" w:eastAsia="da-DY" w:bidi="da-DY"/>
      </w:rPr>
    </w:lvl>
    <w:lvl w:ilvl="6">
      <w:start w:val="0"/>
      <w:numFmt w:val="bullet"/>
      <w:lvlText w:val="•"/>
      <w:lvlJc w:val="left"/>
      <w:pPr>
        <w:ind w:left="1754" w:hanging="528"/>
      </w:pPr>
      <w:rPr>
        <w:rFonts w:hint="default"/>
        <w:lang w:val="da-DY" w:eastAsia="da-DY" w:bidi="da-DY"/>
      </w:rPr>
    </w:lvl>
    <w:lvl w:ilvl="7">
      <w:start w:val="0"/>
      <w:numFmt w:val="bullet"/>
      <w:lvlText w:val="•"/>
      <w:lvlJc w:val="left"/>
      <w:pPr>
        <w:ind w:left="1790" w:hanging="528"/>
      </w:pPr>
      <w:rPr>
        <w:rFonts w:hint="default"/>
        <w:lang w:val="da-DY" w:eastAsia="da-DY" w:bidi="da-DY"/>
      </w:rPr>
    </w:lvl>
    <w:lvl w:ilvl="8">
      <w:start w:val="0"/>
      <w:numFmt w:val="bullet"/>
      <w:lvlText w:val="•"/>
      <w:lvlJc w:val="left"/>
      <w:pPr>
        <w:ind w:left="1826" w:hanging="528"/>
      </w:pPr>
      <w:rPr>
        <w:rFonts w:hint="default"/>
        <w:lang w:val="da-DY" w:eastAsia="da-DY" w:bidi="da-DY"/>
      </w:rPr>
    </w:lvl>
  </w:abstractNum>
  <w:abstractNum w:abstractNumId="45">
    <w:multiLevelType w:val="hybridMultilevel"/>
    <w:lvl w:ilvl="0">
      <w:start w:val="0"/>
      <w:numFmt w:val="bullet"/>
      <w:lvlText w:val=""/>
      <w:lvlJc w:val="left"/>
      <w:pPr>
        <w:ind w:left="1545" w:hanging="528"/>
      </w:pPr>
      <w:rPr>
        <w:rFonts w:hint="default" w:ascii="Wingdings" w:hAnsi="Wingdings" w:eastAsia="Wingdings" w:cs="Wingdings"/>
        <w:color w:val="69ACC8"/>
        <w:w w:val="100"/>
        <w:sz w:val="24"/>
        <w:szCs w:val="24"/>
        <w:lang w:val="da-DY" w:eastAsia="da-DY" w:bidi="da-DY"/>
      </w:rPr>
    </w:lvl>
    <w:lvl w:ilvl="1">
      <w:start w:val="0"/>
      <w:numFmt w:val="bullet"/>
      <w:lvlText w:val="•"/>
      <w:lvlJc w:val="left"/>
      <w:pPr>
        <w:ind w:left="1575" w:hanging="528"/>
      </w:pPr>
      <w:rPr>
        <w:rFonts w:hint="default"/>
        <w:lang w:val="da-DY" w:eastAsia="da-DY" w:bidi="da-DY"/>
      </w:rPr>
    </w:lvl>
    <w:lvl w:ilvl="2">
      <w:start w:val="0"/>
      <w:numFmt w:val="bullet"/>
      <w:lvlText w:val="•"/>
      <w:lvlJc w:val="left"/>
      <w:pPr>
        <w:ind w:left="1611" w:hanging="528"/>
      </w:pPr>
      <w:rPr>
        <w:rFonts w:hint="default"/>
        <w:lang w:val="da-DY" w:eastAsia="da-DY" w:bidi="da-DY"/>
      </w:rPr>
    </w:lvl>
    <w:lvl w:ilvl="3">
      <w:start w:val="0"/>
      <w:numFmt w:val="bullet"/>
      <w:lvlText w:val="•"/>
      <w:lvlJc w:val="left"/>
      <w:pPr>
        <w:ind w:left="1647" w:hanging="528"/>
      </w:pPr>
      <w:rPr>
        <w:rFonts w:hint="default"/>
        <w:lang w:val="da-DY" w:eastAsia="da-DY" w:bidi="da-DY"/>
      </w:rPr>
    </w:lvl>
    <w:lvl w:ilvl="4">
      <w:start w:val="0"/>
      <w:numFmt w:val="bullet"/>
      <w:lvlText w:val="•"/>
      <w:lvlJc w:val="left"/>
      <w:pPr>
        <w:ind w:left="1683" w:hanging="528"/>
      </w:pPr>
      <w:rPr>
        <w:rFonts w:hint="default"/>
        <w:lang w:val="da-DY" w:eastAsia="da-DY" w:bidi="da-DY"/>
      </w:rPr>
    </w:lvl>
    <w:lvl w:ilvl="5">
      <w:start w:val="0"/>
      <w:numFmt w:val="bullet"/>
      <w:lvlText w:val="•"/>
      <w:lvlJc w:val="left"/>
      <w:pPr>
        <w:ind w:left="1719" w:hanging="528"/>
      </w:pPr>
      <w:rPr>
        <w:rFonts w:hint="default"/>
        <w:lang w:val="da-DY" w:eastAsia="da-DY" w:bidi="da-DY"/>
      </w:rPr>
    </w:lvl>
    <w:lvl w:ilvl="6">
      <w:start w:val="0"/>
      <w:numFmt w:val="bullet"/>
      <w:lvlText w:val="•"/>
      <w:lvlJc w:val="left"/>
      <w:pPr>
        <w:ind w:left="1754" w:hanging="528"/>
      </w:pPr>
      <w:rPr>
        <w:rFonts w:hint="default"/>
        <w:lang w:val="da-DY" w:eastAsia="da-DY" w:bidi="da-DY"/>
      </w:rPr>
    </w:lvl>
    <w:lvl w:ilvl="7">
      <w:start w:val="0"/>
      <w:numFmt w:val="bullet"/>
      <w:lvlText w:val="•"/>
      <w:lvlJc w:val="left"/>
      <w:pPr>
        <w:ind w:left="1790" w:hanging="528"/>
      </w:pPr>
      <w:rPr>
        <w:rFonts w:hint="default"/>
        <w:lang w:val="da-DY" w:eastAsia="da-DY" w:bidi="da-DY"/>
      </w:rPr>
    </w:lvl>
    <w:lvl w:ilvl="8">
      <w:start w:val="0"/>
      <w:numFmt w:val="bullet"/>
      <w:lvlText w:val="•"/>
      <w:lvlJc w:val="left"/>
      <w:pPr>
        <w:ind w:left="1826" w:hanging="528"/>
      </w:pPr>
      <w:rPr>
        <w:rFonts w:hint="default"/>
        <w:lang w:val="da-DY" w:eastAsia="da-DY" w:bidi="da-DY"/>
      </w:rPr>
    </w:lvl>
  </w:abstractNum>
  <w:abstractNum w:abstractNumId="44">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8"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0" w:hanging="171"/>
      </w:pPr>
      <w:rPr>
        <w:rFonts w:hint="default"/>
        <w:lang w:val="da-DY" w:eastAsia="da-DY" w:bidi="da-DY"/>
      </w:rPr>
    </w:lvl>
    <w:lvl w:ilvl="8">
      <w:start w:val="0"/>
      <w:numFmt w:val="bullet"/>
      <w:lvlText w:val="•"/>
      <w:lvlJc w:val="left"/>
      <w:pPr>
        <w:ind w:left="2097" w:hanging="171"/>
      </w:pPr>
      <w:rPr>
        <w:rFonts w:hint="default"/>
        <w:lang w:val="da-DY" w:eastAsia="da-DY" w:bidi="da-DY"/>
      </w:rPr>
    </w:lvl>
  </w:abstractNum>
  <w:abstractNum w:abstractNumId="43">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8"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0" w:hanging="171"/>
      </w:pPr>
      <w:rPr>
        <w:rFonts w:hint="default"/>
        <w:lang w:val="da-DY" w:eastAsia="da-DY" w:bidi="da-DY"/>
      </w:rPr>
    </w:lvl>
    <w:lvl w:ilvl="8">
      <w:start w:val="0"/>
      <w:numFmt w:val="bullet"/>
      <w:lvlText w:val="•"/>
      <w:lvlJc w:val="left"/>
      <w:pPr>
        <w:ind w:left="2097" w:hanging="171"/>
      </w:pPr>
      <w:rPr>
        <w:rFonts w:hint="default"/>
        <w:lang w:val="da-DY" w:eastAsia="da-DY" w:bidi="da-DY"/>
      </w:rPr>
    </w:lvl>
  </w:abstractNum>
  <w:abstractNum w:abstractNumId="42">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8"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0" w:hanging="171"/>
      </w:pPr>
      <w:rPr>
        <w:rFonts w:hint="default"/>
        <w:lang w:val="da-DY" w:eastAsia="da-DY" w:bidi="da-DY"/>
      </w:rPr>
    </w:lvl>
    <w:lvl w:ilvl="8">
      <w:start w:val="0"/>
      <w:numFmt w:val="bullet"/>
      <w:lvlText w:val="•"/>
      <w:lvlJc w:val="left"/>
      <w:pPr>
        <w:ind w:left="2097" w:hanging="171"/>
      </w:pPr>
      <w:rPr>
        <w:rFonts w:hint="default"/>
        <w:lang w:val="da-DY" w:eastAsia="da-DY" w:bidi="da-DY"/>
      </w:rPr>
    </w:lvl>
  </w:abstractNum>
  <w:abstractNum w:abstractNumId="41">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8"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0" w:hanging="171"/>
      </w:pPr>
      <w:rPr>
        <w:rFonts w:hint="default"/>
        <w:lang w:val="da-DY" w:eastAsia="da-DY" w:bidi="da-DY"/>
      </w:rPr>
    </w:lvl>
    <w:lvl w:ilvl="8">
      <w:start w:val="0"/>
      <w:numFmt w:val="bullet"/>
      <w:lvlText w:val="•"/>
      <w:lvlJc w:val="left"/>
      <w:pPr>
        <w:ind w:left="2097" w:hanging="171"/>
      </w:pPr>
      <w:rPr>
        <w:rFonts w:hint="default"/>
        <w:lang w:val="da-DY" w:eastAsia="da-DY" w:bidi="da-DY"/>
      </w:rPr>
    </w:lvl>
  </w:abstractNum>
  <w:abstractNum w:abstractNumId="40">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8"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0" w:hanging="171"/>
      </w:pPr>
      <w:rPr>
        <w:rFonts w:hint="default"/>
        <w:lang w:val="da-DY" w:eastAsia="da-DY" w:bidi="da-DY"/>
      </w:rPr>
    </w:lvl>
    <w:lvl w:ilvl="8">
      <w:start w:val="0"/>
      <w:numFmt w:val="bullet"/>
      <w:lvlText w:val="•"/>
      <w:lvlJc w:val="left"/>
      <w:pPr>
        <w:ind w:left="2097" w:hanging="171"/>
      </w:pPr>
      <w:rPr>
        <w:rFonts w:hint="default"/>
        <w:lang w:val="da-DY" w:eastAsia="da-DY" w:bidi="da-DY"/>
      </w:rPr>
    </w:lvl>
  </w:abstractNum>
  <w:abstractNum w:abstractNumId="39">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8">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7">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6">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5">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4">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3">
    <w:multiLevelType w:val="hybridMultilevel"/>
    <w:lvl w:ilvl="0">
      <w:start w:val="0"/>
      <w:numFmt w:val="bullet"/>
      <w:lvlText w:val="-"/>
      <w:lvlJc w:val="left"/>
      <w:pPr>
        <w:ind w:left="283" w:hanging="171"/>
      </w:pPr>
      <w:rPr>
        <w:rFonts w:hint="default" w:ascii="Verdana" w:hAnsi="Verdana" w:eastAsia="Verdana" w:cs="Verdana"/>
        <w:w w:val="100"/>
        <w:sz w:val="15"/>
        <w:szCs w:val="15"/>
        <w:lang w:val="da-DY" w:eastAsia="da-DY" w:bidi="da-DY"/>
      </w:rPr>
    </w:lvl>
    <w:lvl w:ilvl="1">
      <w:start w:val="0"/>
      <w:numFmt w:val="bullet"/>
      <w:lvlText w:val="•"/>
      <w:lvlJc w:val="left"/>
      <w:pPr>
        <w:ind w:left="507" w:hanging="171"/>
      </w:pPr>
      <w:rPr>
        <w:rFonts w:hint="default"/>
        <w:lang w:val="da-DY" w:eastAsia="da-DY" w:bidi="da-DY"/>
      </w:rPr>
    </w:lvl>
    <w:lvl w:ilvl="2">
      <w:start w:val="0"/>
      <w:numFmt w:val="bullet"/>
      <w:lvlText w:val="•"/>
      <w:lvlJc w:val="left"/>
      <w:pPr>
        <w:ind w:left="734" w:hanging="171"/>
      </w:pPr>
      <w:rPr>
        <w:rFonts w:hint="default"/>
        <w:lang w:val="da-DY" w:eastAsia="da-DY" w:bidi="da-DY"/>
      </w:rPr>
    </w:lvl>
    <w:lvl w:ilvl="3">
      <w:start w:val="0"/>
      <w:numFmt w:val="bullet"/>
      <w:lvlText w:val="•"/>
      <w:lvlJc w:val="left"/>
      <w:pPr>
        <w:ind w:left="961" w:hanging="171"/>
      </w:pPr>
      <w:rPr>
        <w:rFonts w:hint="default"/>
        <w:lang w:val="da-DY" w:eastAsia="da-DY" w:bidi="da-DY"/>
      </w:rPr>
    </w:lvl>
    <w:lvl w:ilvl="4">
      <w:start w:val="0"/>
      <w:numFmt w:val="bullet"/>
      <w:lvlText w:val="•"/>
      <w:lvlJc w:val="left"/>
      <w:pPr>
        <w:ind w:left="1189" w:hanging="171"/>
      </w:pPr>
      <w:rPr>
        <w:rFonts w:hint="default"/>
        <w:lang w:val="da-DY" w:eastAsia="da-DY" w:bidi="da-DY"/>
      </w:rPr>
    </w:lvl>
    <w:lvl w:ilvl="5">
      <w:start w:val="0"/>
      <w:numFmt w:val="bullet"/>
      <w:lvlText w:val="•"/>
      <w:lvlJc w:val="left"/>
      <w:pPr>
        <w:ind w:left="1416" w:hanging="171"/>
      </w:pPr>
      <w:rPr>
        <w:rFonts w:hint="default"/>
        <w:lang w:val="da-DY" w:eastAsia="da-DY" w:bidi="da-DY"/>
      </w:rPr>
    </w:lvl>
    <w:lvl w:ilvl="6">
      <w:start w:val="0"/>
      <w:numFmt w:val="bullet"/>
      <w:lvlText w:val="•"/>
      <w:lvlJc w:val="left"/>
      <w:pPr>
        <w:ind w:left="1643" w:hanging="171"/>
      </w:pPr>
      <w:rPr>
        <w:rFonts w:hint="default"/>
        <w:lang w:val="da-DY" w:eastAsia="da-DY" w:bidi="da-DY"/>
      </w:rPr>
    </w:lvl>
    <w:lvl w:ilvl="7">
      <w:start w:val="0"/>
      <w:numFmt w:val="bullet"/>
      <w:lvlText w:val="•"/>
      <w:lvlJc w:val="left"/>
      <w:pPr>
        <w:ind w:left="1871" w:hanging="171"/>
      </w:pPr>
      <w:rPr>
        <w:rFonts w:hint="default"/>
        <w:lang w:val="da-DY" w:eastAsia="da-DY" w:bidi="da-DY"/>
      </w:rPr>
    </w:lvl>
    <w:lvl w:ilvl="8">
      <w:start w:val="0"/>
      <w:numFmt w:val="bullet"/>
      <w:lvlText w:val="•"/>
      <w:lvlJc w:val="left"/>
      <w:pPr>
        <w:ind w:left="2098" w:hanging="171"/>
      </w:pPr>
      <w:rPr>
        <w:rFonts w:hint="default"/>
        <w:lang w:val="da-DY" w:eastAsia="da-DY" w:bidi="da-DY"/>
      </w:rPr>
    </w:lvl>
  </w:abstractNum>
  <w:abstractNum w:abstractNumId="32">
    <w:multiLevelType w:val="hybridMultilevel"/>
    <w:lvl w:ilvl="0">
      <w:start w:val="0"/>
      <w:numFmt w:val="bullet"/>
      <w:lvlText w:val=""/>
      <w:lvlJc w:val="left"/>
      <w:pPr>
        <w:ind w:left="386" w:hanging="284"/>
      </w:pPr>
      <w:rPr>
        <w:rFonts w:hint="default" w:ascii="Symbol" w:hAnsi="Symbol" w:eastAsia="Symbol" w:cs="Symbol"/>
        <w:w w:val="100"/>
        <w:sz w:val="17"/>
        <w:szCs w:val="17"/>
        <w:lang w:val="da-DY" w:eastAsia="da-DY" w:bidi="da-DY"/>
      </w:rPr>
    </w:lvl>
    <w:lvl w:ilvl="1">
      <w:start w:val="0"/>
      <w:numFmt w:val="bullet"/>
      <w:lvlText w:val="•"/>
      <w:lvlJc w:val="left"/>
      <w:pPr>
        <w:ind w:left="826" w:hanging="284"/>
      </w:pPr>
      <w:rPr>
        <w:rFonts w:hint="default"/>
        <w:lang w:val="da-DY" w:eastAsia="da-DY" w:bidi="da-DY"/>
      </w:rPr>
    </w:lvl>
    <w:lvl w:ilvl="2">
      <w:start w:val="0"/>
      <w:numFmt w:val="bullet"/>
      <w:lvlText w:val="•"/>
      <w:lvlJc w:val="left"/>
      <w:pPr>
        <w:ind w:left="1272" w:hanging="284"/>
      </w:pPr>
      <w:rPr>
        <w:rFonts w:hint="default"/>
        <w:lang w:val="da-DY" w:eastAsia="da-DY" w:bidi="da-DY"/>
      </w:rPr>
    </w:lvl>
    <w:lvl w:ilvl="3">
      <w:start w:val="0"/>
      <w:numFmt w:val="bullet"/>
      <w:lvlText w:val="•"/>
      <w:lvlJc w:val="left"/>
      <w:pPr>
        <w:ind w:left="1719" w:hanging="284"/>
      </w:pPr>
      <w:rPr>
        <w:rFonts w:hint="default"/>
        <w:lang w:val="da-DY" w:eastAsia="da-DY" w:bidi="da-DY"/>
      </w:rPr>
    </w:lvl>
    <w:lvl w:ilvl="4">
      <w:start w:val="0"/>
      <w:numFmt w:val="bullet"/>
      <w:lvlText w:val="•"/>
      <w:lvlJc w:val="left"/>
      <w:pPr>
        <w:ind w:left="2165" w:hanging="284"/>
      </w:pPr>
      <w:rPr>
        <w:rFonts w:hint="default"/>
        <w:lang w:val="da-DY" w:eastAsia="da-DY" w:bidi="da-DY"/>
      </w:rPr>
    </w:lvl>
    <w:lvl w:ilvl="5">
      <w:start w:val="0"/>
      <w:numFmt w:val="bullet"/>
      <w:lvlText w:val="•"/>
      <w:lvlJc w:val="left"/>
      <w:pPr>
        <w:ind w:left="2612" w:hanging="284"/>
      </w:pPr>
      <w:rPr>
        <w:rFonts w:hint="default"/>
        <w:lang w:val="da-DY" w:eastAsia="da-DY" w:bidi="da-DY"/>
      </w:rPr>
    </w:lvl>
    <w:lvl w:ilvl="6">
      <w:start w:val="0"/>
      <w:numFmt w:val="bullet"/>
      <w:lvlText w:val="•"/>
      <w:lvlJc w:val="left"/>
      <w:pPr>
        <w:ind w:left="3058" w:hanging="284"/>
      </w:pPr>
      <w:rPr>
        <w:rFonts w:hint="default"/>
        <w:lang w:val="da-DY" w:eastAsia="da-DY" w:bidi="da-DY"/>
      </w:rPr>
    </w:lvl>
    <w:lvl w:ilvl="7">
      <w:start w:val="0"/>
      <w:numFmt w:val="bullet"/>
      <w:lvlText w:val="•"/>
      <w:lvlJc w:val="left"/>
      <w:pPr>
        <w:ind w:left="3504" w:hanging="284"/>
      </w:pPr>
      <w:rPr>
        <w:rFonts w:hint="default"/>
        <w:lang w:val="da-DY" w:eastAsia="da-DY" w:bidi="da-DY"/>
      </w:rPr>
    </w:lvl>
    <w:lvl w:ilvl="8">
      <w:start w:val="0"/>
      <w:numFmt w:val="bullet"/>
      <w:lvlText w:val="•"/>
      <w:lvlJc w:val="left"/>
      <w:pPr>
        <w:ind w:left="3951" w:hanging="284"/>
      </w:pPr>
      <w:rPr>
        <w:rFonts w:hint="default"/>
        <w:lang w:val="da-DY" w:eastAsia="da-DY" w:bidi="da-DY"/>
      </w:rPr>
    </w:lvl>
  </w:abstractNum>
  <w:abstractNum w:abstractNumId="31">
    <w:multiLevelType w:val="hybridMultilevel"/>
    <w:lvl w:ilvl="0">
      <w:start w:val="8"/>
      <w:numFmt w:val="decimal"/>
      <w:lvlText w:val="%1"/>
      <w:lvlJc w:val="left"/>
      <w:pPr>
        <w:ind w:left="2649" w:hanging="656"/>
        <w:jc w:val="left"/>
      </w:pPr>
      <w:rPr>
        <w:rFonts w:hint="default"/>
        <w:lang w:val="da-DY" w:eastAsia="da-DY" w:bidi="da-DY"/>
      </w:rPr>
    </w:lvl>
    <w:lvl w:ilvl="1">
      <w:start w:val="1"/>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4277" w:hanging="656"/>
      </w:pPr>
      <w:rPr>
        <w:rFonts w:hint="default"/>
        <w:lang w:val="da-DY" w:eastAsia="da-DY" w:bidi="da-DY"/>
      </w:rPr>
    </w:lvl>
    <w:lvl w:ilvl="3">
      <w:start w:val="0"/>
      <w:numFmt w:val="bullet"/>
      <w:lvlText w:val="•"/>
      <w:lvlJc w:val="left"/>
      <w:pPr>
        <w:ind w:left="5095" w:hanging="656"/>
      </w:pPr>
      <w:rPr>
        <w:rFonts w:hint="default"/>
        <w:lang w:val="da-DY" w:eastAsia="da-DY" w:bidi="da-DY"/>
      </w:rPr>
    </w:lvl>
    <w:lvl w:ilvl="4">
      <w:start w:val="0"/>
      <w:numFmt w:val="bullet"/>
      <w:lvlText w:val="•"/>
      <w:lvlJc w:val="left"/>
      <w:pPr>
        <w:ind w:left="5914" w:hanging="656"/>
      </w:pPr>
      <w:rPr>
        <w:rFonts w:hint="default"/>
        <w:lang w:val="da-DY" w:eastAsia="da-DY" w:bidi="da-DY"/>
      </w:rPr>
    </w:lvl>
    <w:lvl w:ilvl="5">
      <w:start w:val="0"/>
      <w:numFmt w:val="bullet"/>
      <w:lvlText w:val="•"/>
      <w:lvlJc w:val="left"/>
      <w:pPr>
        <w:ind w:left="6733" w:hanging="656"/>
      </w:pPr>
      <w:rPr>
        <w:rFonts w:hint="default"/>
        <w:lang w:val="da-DY" w:eastAsia="da-DY" w:bidi="da-DY"/>
      </w:rPr>
    </w:lvl>
    <w:lvl w:ilvl="6">
      <w:start w:val="0"/>
      <w:numFmt w:val="bullet"/>
      <w:lvlText w:val="•"/>
      <w:lvlJc w:val="left"/>
      <w:pPr>
        <w:ind w:left="7551" w:hanging="656"/>
      </w:pPr>
      <w:rPr>
        <w:rFonts w:hint="default"/>
        <w:lang w:val="da-DY" w:eastAsia="da-DY" w:bidi="da-DY"/>
      </w:rPr>
    </w:lvl>
    <w:lvl w:ilvl="7">
      <w:start w:val="0"/>
      <w:numFmt w:val="bullet"/>
      <w:lvlText w:val="•"/>
      <w:lvlJc w:val="left"/>
      <w:pPr>
        <w:ind w:left="8370" w:hanging="656"/>
      </w:pPr>
      <w:rPr>
        <w:rFonts w:hint="default"/>
        <w:lang w:val="da-DY" w:eastAsia="da-DY" w:bidi="da-DY"/>
      </w:rPr>
    </w:lvl>
    <w:lvl w:ilvl="8">
      <w:start w:val="0"/>
      <w:numFmt w:val="bullet"/>
      <w:lvlText w:val="•"/>
      <w:lvlJc w:val="left"/>
      <w:pPr>
        <w:ind w:left="9189" w:hanging="656"/>
      </w:pPr>
      <w:rPr>
        <w:rFonts w:hint="default"/>
        <w:lang w:val="da-DY" w:eastAsia="da-DY" w:bidi="da-DY"/>
      </w:rPr>
    </w:lvl>
  </w:abstractNum>
  <w:abstractNum w:abstractNumId="30">
    <w:multiLevelType w:val="hybridMultilevel"/>
    <w:lvl w:ilvl="0">
      <w:start w:val="7"/>
      <w:numFmt w:val="decimal"/>
      <w:lvlText w:val="%1"/>
      <w:lvlJc w:val="left"/>
      <w:pPr>
        <w:ind w:left="2649" w:hanging="800"/>
        <w:jc w:val="left"/>
      </w:pPr>
      <w:rPr>
        <w:rFonts w:hint="default"/>
        <w:lang w:val="da-DY" w:eastAsia="da-DY" w:bidi="da-DY"/>
      </w:rPr>
    </w:lvl>
    <w:lvl w:ilvl="1">
      <w:start w:val="4"/>
      <w:numFmt w:val="decimal"/>
      <w:lvlText w:val="%1.%2"/>
      <w:lvlJc w:val="left"/>
      <w:pPr>
        <w:ind w:left="2649" w:hanging="800"/>
        <w:jc w:val="lef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5095" w:hanging="800"/>
      </w:pPr>
      <w:rPr>
        <w:rFonts w:hint="default"/>
        <w:lang w:val="da-DY" w:eastAsia="da-DY" w:bidi="da-DY"/>
      </w:rPr>
    </w:lvl>
    <w:lvl w:ilvl="4">
      <w:start w:val="0"/>
      <w:numFmt w:val="bullet"/>
      <w:lvlText w:val="•"/>
      <w:lvlJc w:val="left"/>
      <w:pPr>
        <w:ind w:left="5914" w:hanging="800"/>
      </w:pPr>
      <w:rPr>
        <w:rFonts w:hint="default"/>
        <w:lang w:val="da-DY" w:eastAsia="da-DY" w:bidi="da-DY"/>
      </w:rPr>
    </w:lvl>
    <w:lvl w:ilvl="5">
      <w:start w:val="0"/>
      <w:numFmt w:val="bullet"/>
      <w:lvlText w:val="•"/>
      <w:lvlJc w:val="left"/>
      <w:pPr>
        <w:ind w:left="6733" w:hanging="800"/>
      </w:pPr>
      <w:rPr>
        <w:rFonts w:hint="default"/>
        <w:lang w:val="da-DY" w:eastAsia="da-DY" w:bidi="da-DY"/>
      </w:rPr>
    </w:lvl>
    <w:lvl w:ilvl="6">
      <w:start w:val="0"/>
      <w:numFmt w:val="bullet"/>
      <w:lvlText w:val="•"/>
      <w:lvlJc w:val="left"/>
      <w:pPr>
        <w:ind w:left="7551" w:hanging="800"/>
      </w:pPr>
      <w:rPr>
        <w:rFonts w:hint="default"/>
        <w:lang w:val="da-DY" w:eastAsia="da-DY" w:bidi="da-DY"/>
      </w:rPr>
    </w:lvl>
    <w:lvl w:ilvl="7">
      <w:start w:val="0"/>
      <w:numFmt w:val="bullet"/>
      <w:lvlText w:val="•"/>
      <w:lvlJc w:val="left"/>
      <w:pPr>
        <w:ind w:left="8370" w:hanging="800"/>
      </w:pPr>
      <w:rPr>
        <w:rFonts w:hint="default"/>
        <w:lang w:val="da-DY" w:eastAsia="da-DY" w:bidi="da-DY"/>
      </w:rPr>
    </w:lvl>
    <w:lvl w:ilvl="8">
      <w:start w:val="0"/>
      <w:numFmt w:val="bullet"/>
      <w:lvlText w:val="•"/>
      <w:lvlJc w:val="left"/>
      <w:pPr>
        <w:ind w:left="9189" w:hanging="800"/>
      </w:pPr>
      <w:rPr>
        <w:rFonts w:hint="default"/>
        <w:lang w:val="da-DY" w:eastAsia="da-DY" w:bidi="da-DY"/>
      </w:rPr>
    </w:lvl>
  </w:abstractNum>
  <w:abstractNum w:abstractNumId="29">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0"/>
      <w:numFmt w:val="bullet"/>
      <w:lvlText w:val=""/>
      <w:lvlJc w:val="left"/>
      <w:pPr>
        <w:ind w:left="2933" w:hanging="284"/>
      </w:pPr>
      <w:rPr>
        <w:rFonts w:hint="default" w:ascii="Symbol" w:hAnsi="Symbol" w:eastAsia="Symbol" w:cs="Symbol"/>
        <w:w w:val="100"/>
        <w:sz w:val="17"/>
        <w:szCs w:val="17"/>
        <w:lang w:val="da-DY" w:eastAsia="da-DY" w:bidi="da-DY"/>
      </w:rPr>
    </w:lvl>
    <w:lvl w:ilvl="2">
      <w:start w:val="0"/>
      <w:numFmt w:val="bullet"/>
      <w:lvlText w:val="•"/>
      <w:lvlJc w:val="left"/>
      <w:pPr>
        <w:ind w:left="3294" w:hanging="284"/>
      </w:pPr>
      <w:rPr>
        <w:rFonts w:hint="default"/>
        <w:lang w:val="da-DY" w:eastAsia="da-DY" w:bidi="da-DY"/>
      </w:rPr>
    </w:lvl>
    <w:lvl w:ilvl="3">
      <w:start w:val="0"/>
      <w:numFmt w:val="bullet"/>
      <w:lvlText w:val="•"/>
      <w:lvlJc w:val="left"/>
      <w:pPr>
        <w:ind w:left="3649" w:hanging="284"/>
      </w:pPr>
      <w:rPr>
        <w:rFonts w:hint="default"/>
        <w:lang w:val="da-DY" w:eastAsia="da-DY" w:bidi="da-DY"/>
      </w:rPr>
    </w:lvl>
    <w:lvl w:ilvl="4">
      <w:start w:val="0"/>
      <w:numFmt w:val="bullet"/>
      <w:lvlText w:val="•"/>
      <w:lvlJc w:val="left"/>
      <w:pPr>
        <w:ind w:left="4004" w:hanging="284"/>
      </w:pPr>
      <w:rPr>
        <w:rFonts w:hint="default"/>
        <w:lang w:val="da-DY" w:eastAsia="da-DY" w:bidi="da-DY"/>
      </w:rPr>
    </w:lvl>
    <w:lvl w:ilvl="5">
      <w:start w:val="0"/>
      <w:numFmt w:val="bullet"/>
      <w:lvlText w:val="•"/>
      <w:lvlJc w:val="left"/>
      <w:pPr>
        <w:ind w:left="4359" w:hanging="284"/>
      </w:pPr>
      <w:rPr>
        <w:rFonts w:hint="default"/>
        <w:lang w:val="da-DY" w:eastAsia="da-DY" w:bidi="da-DY"/>
      </w:rPr>
    </w:lvl>
    <w:lvl w:ilvl="6">
      <w:start w:val="0"/>
      <w:numFmt w:val="bullet"/>
      <w:lvlText w:val="•"/>
      <w:lvlJc w:val="left"/>
      <w:pPr>
        <w:ind w:left="4714" w:hanging="284"/>
      </w:pPr>
      <w:rPr>
        <w:rFonts w:hint="default"/>
        <w:lang w:val="da-DY" w:eastAsia="da-DY" w:bidi="da-DY"/>
      </w:rPr>
    </w:lvl>
    <w:lvl w:ilvl="7">
      <w:start w:val="0"/>
      <w:numFmt w:val="bullet"/>
      <w:lvlText w:val="•"/>
      <w:lvlJc w:val="left"/>
      <w:pPr>
        <w:ind w:left="5069" w:hanging="284"/>
      </w:pPr>
      <w:rPr>
        <w:rFonts w:hint="default"/>
        <w:lang w:val="da-DY" w:eastAsia="da-DY" w:bidi="da-DY"/>
      </w:rPr>
    </w:lvl>
    <w:lvl w:ilvl="8">
      <w:start w:val="0"/>
      <w:numFmt w:val="bullet"/>
      <w:lvlText w:val="•"/>
      <w:lvlJc w:val="left"/>
      <w:pPr>
        <w:ind w:left="5424" w:hanging="284"/>
      </w:pPr>
      <w:rPr>
        <w:rFonts w:hint="default"/>
        <w:lang w:val="da-DY" w:eastAsia="da-DY" w:bidi="da-DY"/>
      </w:rPr>
    </w:lvl>
  </w:abstractNum>
  <w:abstractNum w:abstractNumId="28">
    <w:multiLevelType w:val="hybridMultilevel"/>
    <w:lvl w:ilvl="0">
      <w:start w:val="7"/>
      <w:numFmt w:val="decimal"/>
      <w:lvlText w:val="%1"/>
      <w:lvlJc w:val="left"/>
      <w:pPr>
        <w:ind w:left="2649" w:hanging="656"/>
        <w:jc w:val="right"/>
      </w:pPr>
      <w:rPr>
        <w:rFonts w:hint="default"/>
        <w:lang w:val="da-DY" w:eastAsia="da-DY" w:bidi="da-DY"/>
      </w:rPr>
    </w:lvl>
    <w:lvl w:ilvl="1">
      <w:start w:val="2"/>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4277" w:hanging="656"/>
      </w:pPr>
      <w:rPr>
        <w:rFonts w:hint="default"/>
        <w:lang w:val="da-DY" w:eastAsia="da-DY" w:bidi="da-DY"/>
      </w:rPr>
    </w:lvl>
    <w:lvl w:ilvl="3">
      <w:start w:val="0"/>
      <w:numFmt w:val="bullet"/>
      <w:lvlText w:val="•"/>
      <w:lvlJc w:val="left"/>
      <w:pPr>
        <w:ind w:left="5095" w:hanging="656"/>
      </w:pPr>
      <w:rPr>
        <w:rFonts w:hint="default"/>
        <w:lang w:val="da-DY" w:eastAsia="da-DY" w:bidi="da-DY"/>
      </w:rPr>
    </w:lvl>
    <w:lvl w:ilvl="4">
      <w:start w:val="0"/>
      <w:numFmt w:val="bullet"/>
      <w:lvlText w:val="•"/>
      <w:lvlJc w:val="left"/>
      <w:pPr>
        <w:ind w:left="5914" w:hanging="656"/>
      </w:pPr>
      <w:rPr>
        <w:rFonts w:hint="default"/>
        <w:lang w:val="da-DY" w:eastAsia="da-DY" w:bidi="da-DY"/>
      </w:rPr>
    </w:lvl>
    <w:lvl w:ilvl="5">
      <w:start w:val="0"/>
      <w:numFmt w:val="bullet"/>
      <w:lvlText w:val="•"/>
      <w:lvlJc w:val="left"/>
      <w:pPr>
        <w:ind w:left="6733" w:hanging="656"/>
      </w:pPr>
      <w:rPr>
        <w:rFonts w:hint="default"/>
        <w:lang w:val="da-DY" w:eastAsia="da-DY" w:bidi="da-DY"/>
      </w:rPr>
    </w:lvl>
    <w:lvl w:ilvl="6">
      <w:start w:val="0"/>
      <w:numFmt w:val="bullet"/>
      <w:lvlText w:val="•"/>
      <w:lvlJc w:val="left"/>
      <w:pPr>
        <w:ind w:left="7551" w:hanging="656"/>
      </w:pPr>
      <w:rPr>
        <w:rFonts w:hint="default"/>
        <w:lang w:val="da-DY" w:eastAsia="da-DY" w:bidi="da-DY"/>
      </w:rPr>
    </w:lvl>
    <w:lvl w:ilvl="7">
      <w:start w:val="0"/>
      <w:numFmt w:val="bullet"/>
      <w:lvlText w:val="•"/>
      <w:lvlJc w:val="left"/>
      <w:pPr>
        <w:ind w:left="8370" w:hanging="656"/>
      </w:pPr>
      <w:rPr>
        <w:rFonts w:hint="default"/>
        <w:lang w:val="da-DY" w:eastAsia="da-DY" w:bidi="da-DY"/>
      </w:rPr>
    </w:lvl>
    <w:lvl w:ilvl="8">
      <w:start w:val="0"/>
      <w:numFmt w:val="bullet"/>
      <w:lvlText w:val="•"/>
      <w:lvlJc w:val="left"/>
      <w:pPr>
        <w:ind w:left="9189" w:hanging="656"/>
      </w:pPr>
      <w:rPr>
        <w:rFonts w:hint="default"/>
        <w:lang w:val="da-DY" w:eastAsia="da-DY" w:bidi="da-DY"/>
      </w:rPr>
    </w:lvl>
  </w:abstractNum>
  <w:abstractNum w:abstractNumId="27">
    <w:multiLevelType w:val="hybridMultilevel"/>
    <w:lvl w:ilvl="0">
      <w:start w:val="7"/>
      <w:numFmt w:val="decimal"/>
      <w:lvlText w:val="%1"/>
      <w:lvlJc w:val="left"/>
      <w:pPr>
        <w:ind w:left="2649" w:hanging="800"/>
        <w:jc w:val="left"/>
      </w:pPr>
      <w:rPr>
        <w:rFonts w:hint="default"/>
        <w:lang w:val="da-DY" w:eastAsia="da-DY" w:bidi="da-DY"/>
      </w:rPr>
    </w:lvl>
    <w:lvl w:ilvl="1">
      <w:start w:val="1"/>
      <w:numFmt w:val="decimal"/>
      <w:lvlText w:val="%1.%2"/>
      <w:lvlJc w:val="left"/>
      <w:pPr>
        <w:ind w:left="2649" w:hanging="800"/>
        <w:jc w:val="lef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5095" w:hanging="800"/>
      </w:pPr>
      <w:rPr>
        <w:rFonts w:hint="default"/>
        <w:lang w:val="da-DY" w:eastAsia="da-DY" w:bidi="da-DY"/>
      </w:rPr>
    </w:lvl>
    <w:lvl w:ilvl="4">
      <w:start w:val="0"/>
      <w:numFmt w:val="bullet"/>
      <w:lvlText w:val="•"/>
      <w:lvlJc w:val="left"/>
      <w:pPr>
        <w:ind w:left="5914" w:hanging="800"/>
      </w:pPr>
      <w:rPr>
        <w:rFonts w:hint="default"/>
        <w:lang w:val="da-DY" w:eastAsia="da-DY" w:bidi="da-DY"/>
      </w:rPr>
    </w:lvl>
    <w:lvl w:ilvl="5">
      <w:start w:val="0"/>
      <w:numFmt w:val="bullet"/>
      <w:lvlText w:val="•"/>
      <w:lvlJc w:val="left"/>
      <w:pPr>
        <w:ind w:left="6733" w:hanging="800"/>
      </w:pPr>
      <w:rPr>
        <w:rFonts w:hint="default"/>
        <w:lang w:val="da-DY" w:eastAsia="da-DY" w:bidi="da-DY"/>
      </w:rPr>
    </w:lvl>
    <w:lvl w:ilvl="6">
      <w:start w:val="0"/>
      <w:numFmt w:val="bullet"/>
      <w:lvlText w:val="•"/>
      <w:lvlJc w:val="left"/>
      <w:pPr>
        <w:ind w:left="7551" w:hanging="800"/>
      </w:pPr>
      <w:rPr>
        <w:rFonts w:hint="default"/>
        <w:lang w:val="da-DY" w:eastAsia="da-DY" w:bidi="da-DY"/>
      </w:rPr>
    </w:lvl>
    <w:lvl w:ilvl="7">
      <w:start w:val="0"/>
      <w:numFmt w:val="bullet"/>
      <w:lvlText w:val="•"/>
      <w:lvlJc w:val="left"/>
      <w:pPr>
        <w:ind w:left="8370" w:hanging="800"/>
      </w:pPr>
      <w:rPr>
        <w:rFonts w:hint="default"/>
        <w:lang w:val="da-DY" w:eastAsia="da-DY" w:bidi="da-DY"/>
      </w:rPr>
    </w:lvl>
    <w:lvl w:ilvl="8">
      <w:start w:val="0"/>
      <w:numFmt w:val="bullet"/>
      <w:lvlText w:val="•"/>
      <w:lvlJc w:val="left"/>
      <w:pPr>
        <w:ind w:left="9189" w:hanging="800"/>
      </w:pPr>
      <w:rPr>
        <w:rFonts w:hint="default"/>
        <w:lang w:val="da-DY" w:eastAsia="da-DY" w:bidi="da-DY"/>
      </w:rPr>
    </w:lvl>
  </w:abstractNum>
  <w:abstractNum w:abstractNumId="26">
    <w:multiLevelType w:val="hybridMultilevel"/>
    <w:lvl w:ilvl="0">
      <w:start w:val="6"/>
      <w:numFmt w:val="decimal"/>
      <w:lvlText w:val="%1"/>
      <w:lvlJc w:val="left"/>
      <w:pPr>
        <w:ind w:left="2649" w:hanging="800"/>
        <w:jc w:val="left"/>
      </w:pPr>
      <w:rPr>
        <w:rFonts w:hint="default"/>
        <w:lang w:val="da-DY" w:eastAsia="da-DY" w:bidi="da-DY"/>
      </w:rPr>
    </w:lvl>
    <w:lvl w:ilvl="1">
      <w:start w:val="3"/>
      <w:numFmt w:val="decimal"/>
      <w:lvlText w:val="%1.%2"/>
      <w:lvlJc w:val="left"/>
      <w:pPr>
        <w:ind w:left="2649" w:hanging="800"/>
        <w:jc w:val="lef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5095" w:hanging="800"/>
      </w:pPr>
      <w:rPr>
        <w:rFonts w:hint="default"/>
        <w:lang w:val="da-DY" w:eastAsia="da-DY" w:bidi="da-DY"/>
      </w:rPr>
    </w:lvl>
    <w:lvl w:ilvl="4">
      <w:start w:val="0"/>
      <w:numFmt w:val="bullet"/>
      <w:lvlText w:val="•"/>
      <w:lvlJc w:val="left"/>
      <w:pPr>
        <w:ind w:left="5914" w:hanging="800"/>
      </w:pPr>
      <w:rPr>
        <w:rFonts w:hint="default"/>
        <w:lang w:val="da-DY" w:eastAsia="da-DY" w:bidi="da-DY"/>
      </w:rPr>
    </w:lvl>
    <w:lvl w:ilvl="5">
      <w:start w:val="0"/>
      <w:numFmt w:val="bullet"/>
      <w:lvlText w:val="•"/>
      <w:lvlJc w:val="left"/>
      <w:pPr>
        <w:ind w:left="6733" w:hanging="800"/>
      </w:pPr>
      <w:rPr>
        <w:rFonts w:hint="default"/>
        <w:lang w:val="da-DY" w:eastAsia="da-DY" w:bidi="da-DY"/>
      </w:rPr>
    </w:lvl>
    <w:lvl w:ilvl="6">
      <w:start w:val="0"/>
      <w:numFmt w:val="bullet"/>
      <w:lvlText w:val="•"/>
      <w:lvlJc w:val="left"/>
      <w:pPr>
        <w:ind w:left="7551" w:hanging="800"/>
      </w:pPr>
      <w:rPr>
        <w:rFonts w:hint="default"/>
        <w:lang w:val="da-DY" w:eastAsia="da-DY" w:bidi="da-DY"/>
      </w:rPr>
    </w:lvl>
    <w:lvl w:ilvl="7">
      <w:start w:val="0"/>
      <w:numFmt w:val="bullet"/>
      <w:lvlText w:val="•"/>
      <w:lvlJc w:val="left"/>
      <w:pPr>
        <w:ind w:left="8370" w:hanging="800"/>
      </w:pPr>
      <w:rPr>
        <w:rFonts w:hint="default"/>
        <w:lang w:val="da-DY" w:eastAsia="da-DY" w:bidi="da-DY"/>
      </w:rPr>
    </w:lvl>
    <w:lvl w:ilvl="8">
      <w:start w:val="0"/>
      <w:numFmt w:val="bullet"/>
      <w:lvlText w:val="•"/>
      <w:lvlJc w:val="left"/>
      <w:pPr>
        <w:ind w:left="9189" w:hanging="800"/>
      </w:pPr>
      <w:rPr>
        <w:rFonts w:hint="default"/>
        <w:lang w:val="da-DY" w:eastAsia="da-DY" w:bidi="da-DY"/>
      </w:rPr>
    </w:lvl>
  </w:abstractNum>
  <w:abstractNum w:abstractNumId="25">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0"/>
      <w:numFmt w:val="bullet"/>
      <w:lvlText w:val="-"/>
      <w:lvlJc w:val="left"/>
      <w:pPr>
        <w:ind w:left="3009" w:hanging="360"/>
      </w:pPr>
      <w:rPr>
        <w:rFonts w:hint="default" w:ascii="Verdana" w:hAnsi="Verdana" w:eastAsia="Verdana" w:cs="Verdana"/>
        <w:w w:val="100"/>
        <w:sz w:val="17"/>
        <w:szCs w:val="17"/>
        <w:lang w:val="da-DY" w:eastAsia="da-DY" w:bidi="da-DY"/>
      </w:rPr>
    </w:lvl>
    <w:lvl w:ilvl="2">
      <w:start w:val="0"/>
      <w:numFmt w:val="bullet"/>
      <w:lvlText w:val="•"/>
      <w:lvlJc w:val="left"/>
      <w:pPr>
        <w:ind w:left="3348" w:hanging="360"/>
      </w:pPr>
      <w:rPr>
        <w:rFonts w:hint="default"/>
        <w:lang w:val="da-DY" w:eastAsia="da-DY" w:bidi="da-DY"/>
      </w:rPr>
    </w:lvl>
    <w:lvl w:ilvl="3">
      <w:start w:val="0"/>
      <w:numFmt w:val="bullet"/>
      <w:lvlText w:val="•"/>
      <w:lvlJc w:val="left"/>
      <w:pPr>
        <w:ind w:left="3696" w:hanging="360"/>
      </w:pPr>
      <w:rPr>
        <w:rFonts w:hint="default"/>
        <w:lang w:val="da-DY" w:eastAsia="da-DY" w:bidi="da-DY"/>
      </w:rPr>
    </w:lvl>
    <w:lvl w:ilvl="4">
      <w:start w:val="0"/>
      <w:numFmt w:val="bullet"/>
      <w:lvlText w:val="•"/>
      <w:lvlJc w:val="left"/>
      <w:pPr>
        <w:ind w:left="4044" w:hanging="360"/>
      </w:pPr>
      <w:rPr>
        <w:rFonts w:hint="default"/>
        <w:lang w:val="da-DY" w:eastAsia="da-DY" w:bidi="da-DY"/>
      </w:rPr>
    </w:lvl>
    <w:lvl w:ilvl="5">
      <w:start w:val="0"/>
      <w:numFmt w:val="bullet"/>
      <w:lvlText w:val="•"/>
      <w:lvlJc w:val="left"/>
      <w:pPr>
        <w:ind w:left="4393" w:hanging="360"/>
      </w:pPr>
      <w:rPr>
        <w:rFonts w:hint="default"/>
        <w:lang w:val="da-DY" w:eastAsia="da-DY" w:bidi="da-DY"/>
      </w:rPr>
    </w:lvl>
    <w:lvl w:ilvl="6">
      <w:start w:val="0"/>
      <w:numFmt w:val="bullet"/>
      <w:lvlText w:val="•"/>
      <w:lvlJc w:val="left"/>
      <w:pPr>
        <w:ind w:left="4741" w:hanging="360"/>
      </w:pPr>
      <w:rPr>
        <w:rFonts w:hint="default"/>
        <w:lang w:val="da-DY" w:eastAsia="da-DY" w:bidi="da-DY"/>
      </w:rPr>
    </w:lvl>
    <w:lvl w:ilvl="7">
      <w:start w:val="0"/>
      <w:numFmt w:val="bullet"/>
      <w:lvlText w:val="•"/>
      <w:lvlJc w:val="left"/>
      <w:pPr>
        <w:ind w:left="5089" w:hanging="360"/>
      </w:pPr>
      <w:rPr>
        <w:rFonts w:hint="default"/>
        <w:lang w:val="da-DY" w:eastAsia="da-DY" w:bidi="da-DY"/>
      </w:rPr>
    </w:lvl>
    <w:lvl w:ilvl="8">
      <w:start w:val="0"/>
      <w:numFmt w:val="bullet"/>
      <w:lvlText w:val="•"/>
      <w:lvlJc w:val="left"/>
      <w:pPr>
        <w:ind w:left="5437" w:hanging="360"/>
      </w:pPr>
      <w:rPr>
        <w:rFonts w:hint="default"/>
        <w:lang w:val="da-DY" w:eastAsia="da-DY" w:bidi="da-DY"/>
      </w:rPr>
    </w:lvl>
  </w:abstractNum>
  <w:abstractNum w:abstractNumId="24">
    <w:multiLevelType w:val="hybridMultilevel"/>
    <w:lvl w:ilvl="0">
      <w:start w:val="0"/>
      <w:numFmt w:val="bullet"/>
      <w:lvlText w:val="-"/>
      <w:lvlJc w:val="left"/>
      <w:pPr>
        <w:ind w:left="3009" w:hanging="360"/>
      </w:pPr>
      <w:rPr>
        <w:rFonts w:hint="default" w:ascii="Verdana" w:hAnsi="Verdana" w:eastAsia="Verdana" w:cs="Verdana"/>
        <w:w w:val="100"/>
        <w:sz w:val="17"/>
        <w:szCs w:val="17"/>
        <w:lang w:val="da-DY" w:eastAsia="da-DY" w:bidi="da-DY"/>
      </w:rPr>
    </w:lvl>
    <w:lvl w:ilvl="1">
      <w:start w:val="0"/>
      <w:numFmt w:val="bullet"/>
      <w:lvlText w:val="•"/>
      <w:lvlJc w:val="left"/>
      <w:pPr>
        <w:ind w:left="3782" w:hanging="360"/>
      </w:pPr>
      <w:rPr>
        <w:rFonts w:hint="default"/>
        <w:lang w:val="da-DY" w:eastAsia="da-DY" w:bidi="da-DY"/>
      </w:rPr>
    </w:lvl>
    <w:lvl w:ilvl="2">
      <w:start w:val="0"/>
      <w:numFmt w:val="bullet"/>
      <w:lvlText w:val="•"/>
      <w:lvlJc w:val="left"/>
      <w:pPr>
        <w:ind w:left="4565" w:hanging="360"/>
      </w:pPr>
      <w:rPr>
        <w:rFonts w:hint="default"/>
        <w:lang w:val="da-DY" w:eastAsia="da-DY" w:bidi="da-DY"/>
      </w:rPr>
    </w:lvl>
    <w:lvl w:ilvl="3">
      <w:start w:val="0"/>
      <w:numFmt w:val="bullet"/>
      <w:lvlText w:val="•"/>
      <w:lvlJc w:val="left"/>
      <w:pPr>
        <w:ind w:left="5347" w:hanging="360"/>
      </w:pPr>
      <w:rPr>
        <w:rFonts w:hint="default"/>
        <w:lang w:val="da-DY" w:eastAsia="da-DY" w:bidi="da-DY"/>
      </w:rPr>
    </w:lvl>
    <w:lvl w:ilvl="4">
      <w:start w:val="0"/>
      <w:numFmt w:val="bullet"/>
      <w:lvlText w:val="•"/>
      <w:lvlJc w:val="left"/>
      <w:pPr>
        <w:ind w:left="6130" w:hanging="360"/>
      </w:pPr>
      <w:rPr>
        <w:rFonts w:hint="default"/>
        <w:lang w:val="da-DY" w:eastAsia="da-DY" w:bidi="da-DY"/>
      </w:rPr>
    </w:lvl>
    <w:lvl w:ilvl="5">
      <w:start w:val="0"/>
      <w:numFmt w:val="bullet"/>
      <w:lvlText w:val="•"/>
      <w:lvlJc w:val="left"/>
      <w:pPr>
        <w:ind w:left="6913" w:hanging="360"/>
      </w:pPr>
      <w:rPr>
        <w:rFonts w:hint="default"/>
        <w:lang w:val="da-DY" w:eastAsia="da-DY" w:bidi="da-DY"/>
      </w:rPr>
    </w:lvl>
    <w:lvl w:ilvl="6">
      <w:start w:val="0"/>
      <w:numFmt w:val="bullet"/>
      <w:lvlText w:val="•"/>
      <w:lvlJc w:val="left"/>
      <w:pPr>
        <w:ind w:left="7695" w:hanging="360"/>
      </w:pPr>
      <w:rPr>
        <w:rFonts w:hint="default"/>
        <w:lang w:val="da-DY" w:eastAsia="da-DY" w:bidi="da-DY"/>
      </w:rPr>
    </w:lvl>
    <w:lvl w:ilvl="7">
      <w:start w:val="0"/>
      <w:numFmt w:val="bullet"/>
      <w:lvlText w:val="•"/>
      <w:lvlJc w:val="left"/>
      <w:pPr>
        <w:ind w:left="8478" w:hanging="360"/>
      </w:pPr>
      <w:rPr>
        <w:rFonts w:hint="default"/>
        <w:lang w:val="da-DY" w:eastAsia="da-DY" w:bidi="da-DY"/>
      </w:rPr>
    </w:lvl>
    <w:lvl w:ilvl="8">
      <w:start w:val="0"/>
      <w:numFmt w:val="bullet"/>
      <w:lvlText w:val="•"/>
      <w:lvlJc w:val="left"/>
      <w:pPr>
        <w:ind w:left="9261" w:hanging="360"/>
      </w:pPr>
      <w:rPr>
        <w:rFonts w:hint="default"/>
        <w:lang w:val="da-DY" w:eastAsia="da-DY" w:bidi="da-DY"/>
      </w:rPr>
    </w:lvl>
  </w:abstractNum>
  <w:abstractNum w:abstractNumId="23">
    <w:multiLevelType w:val="hybridMultilevel"/>
    <w:lvl w:ilvl="0">
      <w:start w:val="6"/>
      <w:numFmt w:val="decimal"/>
      <w:lvlText w:val="%1"/>
      <w:lvlJc w:val="left"/>
      <w:pPr>
        <w:ind w:left="2649" w:hanging="800"/>
        <w:jc w:val="right"/>
      </w:pPr>
      <w:rPr>
        <w:rFonts w:hint="default"/>
        <w:lang w:val="da-DY" w:eastAsia="da-DY" w:bidi="da-DY"/>
      </w:rPr>
    </w:lvl>
    <w:lvl w:ilvl="1">
      <w:start w:val="1"/>
      <w:numFmt w:val="decimal"/>
      <w:lvlText w:val="%1.%2"/>
      <w:lvlJc w:val="left"/>
      <w:pPr>
        <w:ind w:left="2649" w:hanging="800"/>
        <w:jc w:val="righ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3369" w:hanging="360"/>
      </w:pPr>
      <w:rPr>
        <w:rFonts w:hint="default" w:ascii="Symbol" w:hAnsi="Symbol" w:eastAsia="Symbol" w:cs="Symbol"/>
        <w:w w:val="100"/>
        <w:sz w:val="17"/>
        <w:szCs w:val="17"/>
        <w:lang w:val="da-DY" w:eastAsia="da-DY" w:bidi="da-DY"/>
      </w:rPr>
    </w:lvl>
    <w:lvl w:ilvl="4">
      <w:start w:val="0"/>
      <w:numFmt w:val="bullet"/>
      <w:lvlText w:val="o"/>
      <w:lvlJc w:val="left"/>
      <w:pPr>
        <w:ind w:left="4089" w:hanging="360"/>
      </w:pPr>
      <w:rPr>
        <w:rFonts w:hint="default" w:ascii="Courier New" w:hAnsi="Courier New" w:eastAsia="Courier New" w:cs="Courier New"/>
        <w:w w:val="100"/>
        <w:sz w:val="17"/>
        <w:szCs w:val="17"/>
        <w:lang w:val="da-DY" w:eastAsia="da-DY" w:bidi="da-DY"/>
      </w:rPr>
    </w:lvl>
    <w:lvl w:ilvl="5">
      <w:start w:val="0"/>
      <w:numFmt w:val="bullet"/>
      <w:lvlText w:val="•"/>
      <w:lvlJc w:val="left"/>
      <w:pPr>
        <w:ind w:left="6609" w:hanging="360"/>
      </w:pPr>
      <w:rPr>
        <w:rFonts w:hint="default"/>
        <w:lang w:val="da-DY" w:eastAsia="da-DY" w:bidi="da-DY"/>
      </w:rPr>
    </w:lvl>
    <w:lvl w:ilvl="6">
      <w:start w:val="0"/>
      <w:numFmt w:val="bullet"/>
      <w:lvlText w:val="•"/>
      <w:lvlJc w:val="left"/>
      <w:pPr>
        <w:ind w:left="7453" w:hanging="360"/>
      </w:pPr>
      <w:rPr>
        <w:rFonts w:hint="default"/>
        <w:lang w:val="da-DY" w:eastAsia="da-DY" w:bidi="da-DY"/>
      </w:rPr>
    </w:lvl>
    <w:lvl w:ilvl="7">
      <w:start w:val="0"/>
      <w:numFmt w:val="bullet"/>
      <w:lvlText w:val="•"/>
      <w:lvlJc w:val="left"/>
      <w:pPr>
        <w:ind w:left="8296" w:hanging="360"/>
      </w:pPr>
      <w:rPr>
        <w:rFonts w:hint="default"/>
        <w:lang w:val="da-DY" w:eastAsia="da-DY" w:bidi="da-DY"/>
      </w:rPr>
    </w:lvl>
    <w:lvl w:ilvl="8">
      <w:start w:val="0"/>
      <w:numFmt w:val="bullet"/>
      <w:lvlText w:val="•"/>
      <w:lvlJc w:val="left"/>
      <w:pPr>
        <w:ind w:left="9139" w:hanging="360"/>
      </w:pPr>
      <w:rPr>
        <w:rFonts w:hint="default"/>
        <w:lang w:val="da-DY" w:eastAsia="da-DY" w:bidi="da-DY"/>
      </w:rPr>
    </w:lvl>
  </w:abstractNum>
  <w:abstractNum w:abstractNumId="22">
    <w:multiLevelType w:val="hybridMultilevel"/>
    <w:lvl w:ilvl="0">
      <w:start w:val="0"/>
      <w:numFmt w:val="bullet"/>
      <w:lvlText w:val=""/>
      <w:lvlJc w:val="left"/>
      <w:pPr>
        <w:ind w:left="2933" w:hanging="284"/>
      </w:pPr>
      <w:rPr>
        <w:rFonts w:hint="default" w:ascii="Symbol" w:hAnsi="Symbol" w:eastAsia="Symbol" w:cs="Symbol"/>
        <w:w w:val="100"/>
        <w:sz w:val="17"/>
        <w:szCs w:val="17"/>
        <w:lang w:val="da-DY" w:eastAsia="da-DY" w:bidi="da-DY"/>
      </w:rPr>
    </w:lvl>
    <w:lvl w:ilvl="1">
      <w:start w:val="0"/>
      <w:numFmt w:val="bullet"/>
      <w:lvlText w:val="•"/>
      <w:lvlJc w:val="left"/>
      <w:pPr>
        <w:ind w:left="3728" w:hanging="284"/>
      </w:pPr>
      <w:rPr>
        <w:rFonts w:hint="default"/>
        <w:lang w:val="da-DY" w:eastAsia="da-DY" w:bidi="da-DY"/>
      </w:rPr>
    </w:lvl>
    <w:lvl w:ilvl="2">
      <w:start w:val="0"/>
      <w:numFmt w:val="bullet"/>
      <w:lvlText w:val="•"/>
      <w:lvlJc w:val="left"/>
      <w:pPr>
        <w:ind w:left="4517" w:hanging="284"/>
      </w:pPr>
      <w:rPr>
        <w:rFonts w:hint="default"/>
        <w:lang w:val="da-DY" w:eastAsia="da-DY" w:bidi="da-DY"/>
      </w:rPr>
    </w:lvl>
    <w:lvl w:ilvl="3">
      <w:start w:val="0"/>
      <w:numFmt w:val="bullet"/>
      <w:lvlText w:val="•"/>
      <w:lvlJc w:val="left"/>
      <w:pPr>
        <w:ind w:left="5305" w:hanging="284"/>
      </w:pPr>
      <w:rPr>
        <w:rFonts w:hint="default"/>
        <w:lang w:val="da-DY" w:eastAsia="da-DY" w:bidi="da-DY"/>
      </w:rPr>
    </w:lvl>
    <w:lvl w:ilvl="4">
      <w:start w:val="0"/>
      <w:numFmt w:val="bullet"/>
      <w:lvlText w:val="•"/>
      <w:lvlJc w:val="left"/>
      <w:pPr>
        <w:ind w:left="6094" w:hanging="284"/>
      </w:pPr>
      <w:rPr>
        <w:rFonts w:hint="default"/>
        <w:lang w:val="da-DY" w:eastAsia="da-DY" w:bidi="da-DY"/>
      </w:rPr>
    </w:lvl>
    <w:lvl w:ilvl="5">
      <w:start w:val="0"/>
      <w:numFmt w:val="bullet"/>
      <w:lvlText w:val="•"/>
      <w:lvlJc w:val="left"/>
      <w:pPr>
        <w:ind w:left="6883" w:hanging="284"/>
      </w:pPr>
      <w:rPr>
        <w:rFonts w:hint="default"/>
        <w:lang w:val="da-DY" w:eastAsia="da-DY" w:bidi="da-DY"/>
      </w:rPr>
    </w:lvl>
    <w:lvl w:ilvl="6">
      <w:start w:val="0"/>
      <w:numFmt w:val="bullet"/>
      <w:lvlText w:val="•"/>
      <w:lvlJc w:val="left"/>
      <w:pPr>
        <w:ind w:left="7671" w:hanging="284"/>
      </w:pPr>
      <w:rPr>
        <w:rFonts w:hint="default"/>
        <w:lang w:val="da-DY" w:eastAsia="da-DY" w:bidi="da-DY"/>
      </w:rPr>
    </w:lvl>
    <w:lvl w:ilvl="7">
      <w:start w:val="0"/>
      <w:numFmt w:val="bullet"/>
      <w:lvlText w:val="•"/>
      <w:lvlJc w:val="left"/>
      <w:pPr>
        <w:ind w:left="8460" w:hanging="284"/>
      </w:pPr>
      <w:rPr>
        <w:rFonts w:hint="default"/>
        <w:lang w:val="da-DY" w:eastAsia="da-DY" w:bidi="da-DY"/>
      </w:rPr>
    </w:lvl>
    <w:lvl w:ilvl="8">
      <w:start w:val="0"/>
      <w:numFmt w:val="bullet"/>
      <w:lvlText w:val="•"/>
      <w:lvlJc w:val="left"/>
      <w:pPr>
        <w:ind w:left="9249" w:hanging="284"/>
      </w:pPr>
      <w:rPr>
        <w:rFonts w:hint="default"/>
        <w:lang w:val="da-DY" w:eastAsia="da-DY" w:bidi="da-DY"/>
      </w:rPr>
    </w:lvl>
  </w:abstractNum>
  <w:abstractNum w:abstractNumId="21">
    <w:multiLevelType w:val="hybridMultilevel"/>
    <w:lvl w:ilvl="0">
      <w:start w:val="5"/>
      <w:numFmt w:val="decimal"/>
      <w:lvlText w:val="%1"/>
      <w:lvlJc w:val="left"/>
      <w:pPr>
        <w:ind w:left="2649" w:hanging="656"/>
        <w:jc w:val="right"/>
      </w:pPr>
      <w:rPr>
        <w:rFonts w:hint="default"/>
        <w:lang w:val="da-DY" w:eastAsia="da-DY" w:bidi="da-DY"/>
      </w:rPr>
    </w:lvl>
    <w:lvl w:ilvl="1">
      <w:start w:val="5"/>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3218" w:hanging="286"/>
      </w:pPr>
      <w:rPr>
        <w:rFonts w:hint="default" w:ascii="Symbol" w:hAnsi="Symbol" w:eastAsia="Symbol" w:cs="Symbol"/>
        <w:w w:val="100"/>
        <w:sz w:val="17"/>
        <w:szCs w:val="17"/>
        <w:lang w:val="da-DY" w:eastAsia="da-DY" w:bidi="da-DY"/>
      </w:rPr>
    </w:lvl>
    <w:lvl w:ilvl="3">
      <w:start w:val="0"/>
      <w:numFmt w:val="bullet"/>
      <w:lvlText w:val="•"/>
      <w:lvlJc w:val="left"/>
      <w:pPr>
        <w:ind w:left="4910" w:hanging="286"/>
      </w:pPr>
      <w:rPr>
        <w:rFonts w:hint="default"/>
        <w:lang w:val="da-DY" w:eastAsia="da-DY" w:bidi="da-DY"/>
      </w:rPr>
    </w:lvl>
    <w:lvl w:ilvl="4">
      <w:start w:val="0"/>
      <w:numFmt w:val="bullet"/>
      <w:lvlText w:val="•"/>
      <w:lvlJc w:val="left"/>
      <w:pPr>
        <w:ind w:left="5755" w:hanging="286"/>
      </w:pPr>
      <w:rPr>
        <w:rFonts w:hint="default"/>
        <w:lang w:val="da-DY" w:eastAsia="da-DY" w:bidi="da-DY"/>
      </w:rPr>
    </w:lvl>
    <w:lvl w:ilvl="5">
      <w:start w:val="0"/>
      <w:numFmt w:val="bullet"/>
      <w:lvlText w:val="•"/>
      <w:lvlJc w:val="left"/>
      <w:pPr>
        <w:ind w:left="6600" w:hanging="286"/>
      </w:pPr>
      <w:rPr>
        <w:rFonts w:hint="default"/>
        <w:lang w:val="da-DY" w:eastAsia="da-DY" w:bidi="da-DY"/>
      </w:rPr>
    </w:lvl>
    <w:lvl w:ilvl="6">
      <w:start w:val="0"/>
      <w:numFmt w:val="bullet"/>
      <w:lvlText w:val="•"/>
      <w:lvlJc w:val="left"/>
      <w:pPr>
        <w:ind w:left="7445" w:hanging="286"/>
      </w:pPr>
      <w:rPr>
        <w:rFonts w:hint="default"/>
        <w:lang w:val="da-DY" w:eastAsia="da-DY" w:bidi="da-DY"/>
      </w:rPr>
    </w:lvl>
    <w:lvl w:ilvl="7">
      <w:start w:val="0"/>
      <w:numFmt w:val="bullet"/>
      <w:lvlText w:val="•"/>
      <w:lvlJc w:val="left"/>
      <w:pPr>
        <w:ind w:left="8290" w:hanging="286"/>
      </w:pPr>
      <w:rPr>
        <w:rFonts w:hint="default"/>
        <w:lang w:val="da-DY" w:eastAsia="da-DY" w:bidi="da-DY"/>
      </w:rPr>
    </w:lvl>
    <w:lvl w:ilvl="8">
      <w:start w:val="0"/>
      <w:numFmt w:val="bullet"/>
      <w:lvlText w:val="•"/>
      <w:lvlJc w:val="left"/>
      <w:pPr>
        <w:ind w:left="9136" w:hanging="286"/>
      </w:pPr>
      <w:rPr>
        <w:rFonts w:hint="default"/>
        <w:lang w:val="da-DY" w:eastAsia="da-DY" w:bidi="da-DY"/>
      </w:rPr>
    </w:lvl>
  </w:abstractNum>
  <w:abstractNum w:abstractNumId="20">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1"/>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3218" w:hanging="286"/>
      </w:pPr>
      <w:rPr>
        <w:rFonts w:hint="default" w:ascii="Symbol" w:hAnsi="Symbol" w:eastAsia="Symbol" w:cs="Symbol"/>
        <w:w w:val="100"/>
        <w:sz w:val="17"/>
        <w:szCs w:val="17"/>
        <w:lang w:val="da-DY" w:eastAsia="da-DY" w:bidi="da-DY"/>
      </w:rPr>
    </w:lvl>
    <w:lvl w:ilvl="3">
      <w:start w:val="0"/>
      <w:numFmt w:val="bullet"/>
      <w:lvlText w:val="•"/>
      <w:lvlJc w:val="left"/>
      <w:pPr>
        <w:ind w:left="3584" w:hanging="286"/>
      </w:pPr>
      <w:rPr>
        <w:rFonts w:hint="default"/>
        <w:lang w:val="da-DY" w:eastAsia="da-DY" w:bidi="da-DY"/>
      </w:rPr>
    </w:lvl>
    <w:lvl w:ilvl="4">
      <w:start w:val="0"/>
      <w:numFmt w:val="bullet"/>
      <w:lvlText w:val="•"/>
      <w:lvlJc w:val="left"/>
      <w:pPr>
        <w:ind w:left="3948" w:hanging="286"/>
      </w:pPr>
      <w:rPr>
        <w:rFonts w:hint="default"/>
        <w:lang w:val="da-DY" w:eastAsia="da-DY" w:bidi="da-DY"/>
      </w:rPr>
    </w:lvl>
    <w:lvl w:ilvl="5">
      <w:start w:val="0"/>
      <w:numFmt w:val="bullet"/>
      <w:lvlText w:val="•"/>
      <w:lvlJc w:val="left"/>
      <w:pPr>
        <w:ind w:left="4312" w:hanging="286"/>
      </w:pPr>
      <w:rPr>
        <w:rFonts w:hint="default"/>
        <w:lang w:val="da-DY" w:eastAsia="da-DY" w:bidi="da-DY"/>
      </w:rPr>
    </w:lvl>
    <w:lvl w:ilvl="6">
      <w:start w:val="0"/>
      <w:numFmt w:val="bullet"/>
      <w:lvlText w:val="•"/>
      <w:lvlJc w:val="left"/>
      <w:pPr>
        <w:ind w:left="4677" w:hanging="286"/>
      </w:pPr>
      <w:rPr>
        <w:rFonts w:hint="default"/>
        <w:lang w:val="da-DY" w:eastAsia="da-DY" w:bidi="da-DY"/>
      </w:rPr>
    </w:lvl>
    <w:lvl w:ilvl="7">
      <w:start w:val="0"/>
      <w:numFmt w:val="bullet"/>
      <w:lvlText w:val="•"/>
      <w:lvlJc w:val="left"/>
      <w:pPr>
        <w:ind w:left="5041" w:hanging="286"/>
      </w:pPr>
      <w:rPr>
        <w:rFonts w:hint="default"/>
        <w:lang w:val="da-DY" w:eastAsia="da-DY" w:bidi="da-DY"/>
      </w:rPr>
    </w:lvl>
    <w:lvl w:ilvl="8">
      <w:start w:val="0"/>
      <w:numFmt w:val="bullet"/>
      <w:lvlText w:val="•"/>
      <w:lvlJc w:val="left"/>
      <w:pPr>
        <w:ind w:left="5405" w:hanging="286"/>
      </w:pPr>
      <w:rPr>
        <w:rFonts w:hint="default"/>
        <w:lang w:val="da-DY" w:eastAsia="da-DY" w:bidi="da-DY"/>
      </w:rPr>
    </w:lvl>
  </w:abstractNum>
  <w:abstractNum w:abstractNumId="19">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0"/>
      <w:numFmt w:val="bullet"/>
      <w:lvlText w:val="-"/>
      <w:lvlJc w:val="left"/>
      <w:pPr>
        <w:ind w:left="3369" w:hanging="360"/>
      </w:pPr>
      <w:rPr>
        <w:rFonts w:hint="default" w:ascii="Calibri" w:hAnsi="Calibri" w:eastAsia="Calibri" w:cs="Calibri"/>
        <w:w w:val="100"/>
        <w:sz w:val="17"/>
        <w:szCs w:val="17"/>
        <w:lang w:val="da-DY" w:eastAsia="da-DY" w:bidi="da-DY"/>
      </w:rPr>
    </w:lvl>
    <w:lvl w:ilvl="2">
      <w:start w:val="0"/>
      <w:numFmt w:val="bullet"/>
      <w:lvlText w:val="•"/>
      <w:lvlJc w:val="left"/>
      <w:pPr>
        <w:ind w:left="3668" w:hanging="360"/>
      </w:pPr>
      <w:rPr>
        <w:rFonts w:hint="default"/>
        <w:lang w:val="da-DY" w:eastAsia="da-DY" w:bidi="da-DY"/>
      </w:rPr>
    </w:lvl>
    <w:lvl w:ilvl="3">
      <w:start w:val="0"/>
      <w:numFmt w:val="bullet"/>
      <w:lvlText w:val="•"/>
      <w:lvlJc w:val="left"/>
      <w:pPr>
        <w:ind w:left="3976" w:hanging="360"/>
      </w:pPr>
      <w:rPr>
        <w:rFonts w:hint="default"/>
        <w:lang w:val="da-DY" w:eastAsia="da-DY" w:bidi="da-DY"/>
      </w:rPr>
    </w:lvl>
    <w:lvl w:ilvl="4">
      <w:start w:val="0"/>
      <w:numFmt w:val="bullet"/>
      <w:lvlText w:val="•"/>
      <w:lvlJc w:val="left"/>
      <w:pPr>
        <w:ind w:left="4284" w:hanging="360"/>
      </w:pPr>
      <w:rPr>
        <w:rFonts w:hint="default"/>
        <w:lang w:val="da-DY" w:eastAsia="da-DY" w:bidi="da-DY"/>
      </w:rPr>
    </w:lvl>
    <w:lvl w:ilvl="5">
      <w:start w:val="0"/>
      <w:numFmt w:val="bullet"/>
      <w:lvlText w:val="•"/>
      <w:lvlJc w:val="left"/>
      <w:pPr>
        <w:ind w:left="4593" w:hanging="360"/>
      </w:pPr>
      <w:rPr>
        <w:rFonts w:hint="default"/>
        <w:lang w:val="da-DY" w:eastAsia="da-DY" w:bidi="da-DY"/>
      </w:rPr>
    </w:lvl>
    <w:lvl w:ilvl="6">
      <w:start w:val="0"/>
      <w:numFmt w:val="bullet"/>
      <w:lvlText w:val="•"/>
      <w:lvlJc w:val="left"/>
      <w:pPr>
        <w:ind w:left="4901" w:hanging="360"/>
      </w:pPr>
      <w:rPr>
        <w:rFonts w:hint="default"/>
        <w:lang w:val="da-DY" w:eastAsia="da-DY" w:bidi="da-DY"/>
      </w:rPr>
    </w:lvl>
    <w:lvl w:ilvl="7">
      <w:start w:val="0"/>
      <w:numFmt w:val="bullet"/>
      <w:lvlText w:val="•"/>
      <w:lvlJc w:val="left"/>
      <w:pPr>
        <w:ind w:left="5209" w:hanging="360"/>
      </w:pPr>
      <w:rPr>
        <w:rFonts w:hint="default"/>
        <w:lang w:val="da-DY" w:eastAsia="da-DY" w:bidi="da-DY"/>
      </w:rPr>
    </w:lvl>
    <w:lvl w:ilvl="8">
      <w:start w:val="0"/>
      <w:numFmt w:val="bullet"/>
      <w:lvlText w:val="•"/>
      <w:lvlJc w:val="left"/>
      <w:pPr>
        <w:ind w:left="5517" w:hanging="360"/>
      </w:pPr>
      <w:rPr>
        <w:rFonts w:hint="default"/>
        <w:lang w:val="da-DY" w:eastAsia="da-DY" w:bidi="da-DY"/>
      </w:rPr>
    </w:lvl>
  </w:abstractNum>
  <w:abstractNum w:abstractNumId="18">
    <w:multiLevelType w:val="hybridMultilevel"/>
    <w:lvl w:ilvl="0">
      <w:start w:val="4"/>
      <w:numFmt w:val="decimal"/>
      <w:lvlText w:val="%1"/>
      <w:lvlJc w:val="left"/>
      <w:pPr>
        <w:ind w:left="2649" w:hanging="800"/>
        <w:jc w:val="right"/>
      </w:pPr>
      <w:rPr>
        <w:rFonts w:hint="default"/>
        <w:lang w:val="da-DY" w:eastAsia="da-DY" w:bidi="da-DY"/>
      </w:rPr>
    </w:lvl>
    <w:lvl w:ilvl="1">
      <w:start w:val="2"/>
      <w:numFmt w:val="decimal"/>
      <w:lvlText w:val="%1.%2"/>
      <w:lvlJc w:val="left"/>
      <w:pPr>
        <w:ind w:left="2649" w:hanging="800"/>
        <w:jc w:val="righ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3369" w:hanging="360"/>
      </w:pPr>
      <w:rPr>
        <w:rFonts w:hint="default" w:ascii="Calibri" w:hAnsi="Calibri" w:eastAsia="Calibri" w:cs="Calibri"/>
        <w:w w:val="100"/>
        <w:sz w:val="17"/>
        <w:szCs w:val="17"/>
        <w:lang w:val="da-DY" w:eastAsia="da-DY" w:bidi="da-DY"/>
      </w:rPr>
    </w:lvl>
    <w:lvl w:ilvl="4">
      <w:start w:val="0"/>
      <w:numFmt w:val="bullet"/>
      <w:lvlText w:val="•"/>
      <w:lvlJc w:val="left"/>
      <w:pPr>
        <w:ind w:left="5848" w:hanging="360"/>
      </w:pPr>
      <w:rPr>
        <w:rFonts w:hint="default"/>
        <w:lang w:val="da-DY" w:eastAsia="da-DY" w:bidi="da-DY"/>
      </w:rPr>
    </w:lvl>
    <w:lvl w:ilvl="5">
      <w:start w:val="0"/>
      <w:numFmt w:val="bullet"/>
      <w:lvlText w:val="•"/>
      <w:lvlJc w:val="left"/>
      <w:pPr>
        <w:ind w:left="6678" w:hanging="360"/>
      </w:pPr>
      <w:rPr>
        <w:rFonts w:hint="default"/>
        <w:lang w:val="da-DY" w:eastAsia="da-DY" w:bidi="da-DY"/>
      </w:rPr>
    </w:lvl>
    <w:lvl w:ilvl="6">
      <w:start w:val="0"/>
      <w:numFmt w:val="bullet"/>
      <w:lvlText w:val="•"/>
      <w:lvlJc w:val="left"/>
      <w:pPr>
        <w:ind w:left="7508" w:hanging="360"/>
      </w:pPr>
      <w:rPr>
        <w:rFonts w:hint="default"/>
        <w:lang w:val="da-DY" w:eastAsia="da-DY" w:bidi="da-DY"/>
      </w:rPr>
    </w:lvl>
    <w:lvl w:ilvl="7">
      <w:start w:val="0"/>
      <w:numFmt w:val="bullet"/>
      <w:lvlText w:val="•"/>
      <w:lvlJc w:val="left"/>
      <w:pPr>
        <w:ind w:left="8337" w:hanging="360"/>
      </w:pPr>
      <w:rPr>
        <w:rFonts w:hint="default"/>
        <w:lang w:val="da-DY" w:eastAsia="da-DY" w:bidi="da-DY"/>
      </w:rPr>
    </w:lvl>
    <w:lvl w:ilvl="8">
      <w:start w:val="0"/>
      <w:numFmt w:val="bullet"/>
      <w:lvlText w:val="•"/>
      <w:lvlJc w:val="left"/>
      <w:pPr>
        <w:ind w:left="9167" w:hanging="360"/>
      </w:pPr>
      <w:rPr>
        <w:rFonts w:hint="default"/>
        <w:lang w:val="da-DY" w:eastAsia="da-DY" w:bidi="da-DY"/>
      </w:rPr>
    </w:lvl>
  </w:abstractNum>
  <w:abstractNum w:abstractNumId="17">
    <w:multiLevelType w:val="hybridMultilevel"/>
    <w:lvl w:ilvl="0">
      <w:start w:val="4"/>
      <w:numFmt w:val="decimal"/>
      <w:lvlText w:val="%1"/>
      <w:lvlJc w:val="left"/>
      <w:pPr>
        <w:ind w:left="2649" w:hanging="656"/>
        <w:jc w:val="left"/>
      </w:pPr>
      <w:rPr>
        <w:rFonts w:hint="default"/>
        <w:lang w:val="da-DY" w:eastAsia="da-DY" w:bidi="da-DY"/>
      </w:rPr>
    </w:lvl>
    <w:lvl w:ilvl="1">
      <w:start w:val="1"/>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2933" w:hanging="284"/>
      </w:pPr>
      <w:rPr>
        <w:rFonts w:hint="default" w:ascii="Symbol" w:hAnsi="Symbol" w:eastAsia="Symbol" w:cs="Symbol"/>
        <w:w w:val="100"/>
        <w:sz w:val="17"/>
        <w:szCs w:val="17"/>
        <w:lang w:val="da-DY" w:eastAsia="da-DY" w:bidi="da-DY"/>
      </w:rPr>
    </w:lvl>
    <w:lvl w:ilvl="3">
      <w:start w:val="0"/>
      <w:numFmt w:val="bullet"/>
      <w:lvlText w:val="•"/>
      <w:lvlJc w:val="left"/>
      <w:pPr>
        <w:ind w:left="4692" w:hanging="284"/>
      </w:pPr>
      <w:rPr>
        <w:rFonts w:hint="default"/>
        <w:lang w:val="da-DY" w:eastAsia="da-DY" w:bidi="da-DY"/>
      </w:rPr>
    </w:lvl>
    <w:lvl w:ilvl="4">
      <w:start w:val="0"/>
      <w:numFmt w:val="bullet"/>
      <w:lvlText w:val="•"/>
      <w:lvlJc w:val="left"/>
      <w:pPr>
        <w:ind w:left="5568" w:hanging="284"/>
      </w:pPr>
      <w:rPr>
        <w:rFonts w:hint="default"/>
        <w:lang w:val="da-DY" w:eastAsia="da-DY" w:bidi="da-DY"/>
      </w:rPr>
    </w:lvl>
    <w:lvl w:ilvl="5">
      <w:start w:val="0"/>
      <w:numFmt w:val="bullet"/>
      <w:lvlText w:val="•"/>
      <w:lvlJc w:val="left"/>
      <w:pPr>
        <w:ind w:left="6445" w:hanging="284"/>
      </w:pPr>
      <w:rPr>
        <w:rFonts w:hint="default"/>
        <w:lang w:val="da-DY" w:eastAsia="da-DY" w:bidi="da-DY"/>
      </w:rPr>
    </w:lvl>
    <w:lvl w:ilvl="6">
      <w:start w:val="0"/>
      <w:numFmt w:val="bullet"/>
      <w:lvlText w:val="•"/>
      <w:lvlJc w:val="left"/>
      <w:pPr>
        <w:ind w:left="7321" w:hanging="284"/>
      </w:pPr>
      <w:rPr>
        <w:rFonts w:hint="default"/>
        <w:lang w:val="da-DY" w:eastAsia="da-DY" w:bidi="da-DY"/>
      </w:rPr>
    </w:lvl>
    <w:lvl w:ilvl="7">
      <w:start w:val="0"/>
      <w:numFmt w:val="bullet"/>
      <w:lvlText w:val="•"/>
      <w:lvlJc w:val="left"/>
      <w:pPr>
        <w:ind w:left="8197" w:hanging="284"/>
      </w:pPr>
      <w:rPr>
        <w:rFonts w:hint="default"/>
        <w:lang w:val="da-DY" w:eastAsia="da-DY" w:bidi="da-DY"/>
      </w:rPr>
    </w:lvl>
    <w:lvl w:ilvl="8">
      <w:start w:val="0"/>
      <w:numFmt w:val="bullet"/>
      <w:lvlText w:val="•"/>
      <w:lvlJc w:val="left"/>
      <w:pPr>
        <w:ind w:left="9073" w:hanging="284"/>
      </w:pPr>
      <w:rPr>
        <w:rFonts w:hint="default"/>
        <w:lang w:val="da-DY" w:eastAsia="da-DY" w:bidi="da-DY"/>
      </w:rPr>
    </w:lvl>
  </w:abstractNum>
  <w:abstractNum w:abstractNumId="16">
    <w:multiLevelType w:val="hybridMultilevel"/>
    <w:lvl w:ilvl="0">
      <w:start w:val="0"/>
      <w:numFmt w:val="bullet"/>
      <w:lvlText w:val="-"/>
      <w:lvlJc w:val="left"/>
      <w:pPr>
        <w:ind w:left="462" w:hanging="360"/>
      </w:pPr>
      <w:rPr>
        <w:rFonts w:hint="default" w:ascii="Verdana" w:hAnsi="Verdana" w:eastAsia="Verdana" w:cs="Verdana"/>
        <w:w w:val="100"/>
        <w:sz w:val="17"/>
        <w:szCs w:val="17"/>
        <w:lang w:val="da-DY" w:eastAsia="da-DY" w:bidi="da-DY"/>
      </w:rPr>
    </w:lvl>
    <w:lvl w:ilvl="1">
      <w:start w:val="0"/>
      <w:numFmt w:val="bullet"/>
      <w:lvlText w:val="•"/>
      <w:lvlJc w:val="left"/>
      <w:pPr>
        <w:ind w:left="665" w:hanging="360"/>
      </w:pPr>
      <w:rPr>
        <w:rFonts w:hint="default"/>
        <w:lang w:val="da-DY" w:eastAsia="da-DY" w:bidi="da-DY"/>
      </w:rPr>
    </w:lvl>
    <w:lvl w:ilvl="2">
      <w:start w:val="0"/>
      <w:numFmt w:val="bullet"/>
      <w:lvlText w:val="•"/>
      <w:lvlJc w:val="left"/>
      <w:pPr>
        <w:ind w:left="871" w:hanging="360"/>
      </w:pPr>
      <w:rPr>
        <w:rFonts w:hint="default"/>
        <w:lang w:val="da-DY" w:eastAsia="da-DY" w:bidi="da-DY"/>
      </w:rPr>
    </w:lvl>
    <w:lvl w:ilvl="3">
      <w:start w:val="0"/>
      <w:numFmt w:val="bullet"/>
      <w:lvlText w:val="•"/>
      <w:lvlJc w:val="left"/>
      <w:pPr>
        <w:ind w:left="1076" w:hanging="360"/>
      </w:pPr>
      <w:rPr>
        <w:rFonts w:hint="default"/>
        <w:lang w:val="da-DY" w:eastAsia="da-DY" w:bidi="da-DY"/>
      </w:rPr>
    </w:lvl>
    <w:lvl w:ilvl="4">
      <w:start w:val="0"/>
      <w:numFmt w:val="bullet"/>
      <w:lvlText w:val="•"/>
      <w:lvlJc w:val="left"/>
      <w:pPr>
        <w:ind w:left="1282" w:hanging="360"/>
      </w:pPr>
      <w:rPr>
        <w:rFonts w:hint="default"/>
        <w:lang w:val="da-DY" w:eastAsia="da-DY" w:bidi="da-DY"/>
      </w:rPr>
    </w:lvl>
    <w:lvl w:ilvl="5">
      <w:start w:val="0"/>
      <w:numFmt w:val="bullet"/>
      <w:lvlText w:val="•"/>
      <w:lvlJc w:val="left"/>
      <w:pPr>
        <w:ind w:left="1487" w:hanging="360"/>
      </w:pPr>
      <w:rPr>
        <w:rFonts w:hint="default"/>
        <w:lang w:val="da-DY" w:eastAsia="da-DY" w:bidi="da-DY"/>
      </w:rPr>
    </w:lvl>
    <w:lvl w:ilvl="6">
      <w:start w:val="0"/>
      <w:numFmt w:val="bullet"/>
      <w:lvlText w:val="•"/>
      <w:lvlJc w:val="left"/>
      <w:pPr>
        <w:ind w:left="1693" w:hanging="360"/>
      </w:pPr>
      <w:rPr>
        <w:rFonts w:hint="default"/>
        <w:lang w:val="da-DY" w:eastAsia="da-DY" w:bidi="da-DY"/>
      </w:rPr>
    </w:lvl>
    <w:lvl w:ilvl="7">
      <w:start w:val="0"/>
      <w:numFmt w:val="bullet"/>
      <w:lvlText w:val="•"/>
      <w:lvlJc w:val="left"/>
      <w:pPr>
        <w:ind w:left="1898" w:hanging="360"/>
      </w:pPr>
      <w:rPr>
        <w:rFonts w:hint="default"/>
        <w:lang w:val="da-DY" w:eastAsia="da-DY" w:bidi="da-DY"/>
      </w:rPr>
    </w:lvl>
    <w:lvl w:ilvl="8">
      <w:start w:val="0"/>
      <w:numFmt w:val="bullet"/>
      <w:lvlText w:val="•"/>
      <w:lvlJc w:val="left"/>
      <w:pPr>
        <w:ind w:left="2104" w:hanging="360"/>
      </w:pPr>
      <w:rPr>
        <w:rFonts w:hint="default"/>
        <w:lang w:val="da-DY" w:eastAsia="da-DY" w:bidi="da-DY"/>
      </w:rPr>
    </w:lvl>
  </w:abstractNum>
  <w:abstractNum w:abstractNumId="15">
    <w:multiLevelType w:val="hybridMultilevel"/>
    <w:lvl w:ilvl="0">
      <w:start w:val="3"/>
      <w:numFmt w:val="decimal"/>
      <w:lvlText w:val="%1"/>
      <w:lvlJc w:val="left"/>
      <w:pPr>
        <w:ind w:left="2649" w:hanging="800"/>
        <w:jc w:val="left"/>
      </w:pPr>
      <w:rPr>
        <w:rFonts w:hint="default"/>
        <w:lang w:val="da-DY" w:eastAsia="da-DY" w:bidi="da-DY"/>
      </w:rPr>
    </w:lvl>
    <w:lvl w:ilvl="1">
      <w:start w:val="3"/>
      <w:numFmt w:val="decimal"/>
      <w:lvlText w:val="%1.%2"/>
      <w:lvlJc w:val="left"/>
      <w:pPr>
        <w:ind w:left="2649" w:hanging="800"/>
        <w:jc w:val="lef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2933" w:hanging="284"/>
      </w:pPr>
      <w:rPr>
        <w:rFonts w:hint="default" w:ascii="Symbol" w:hAnsi="Symbol" w:eastAsia="Symbol" w:cs="Symbol"/>
        <w:w w:val="100"/>
        <w:sz w:val="17"/>
        <w:szCs w:val="17"/>
        <w:lang w:val="da-DY" w:eastAsia="da-DY" w:bidi="da-DY"/>
      </w:rPr>
    </w:lvl>
    <w:lvl w:ilvl="4">
      <w:start w:val="0"/>
      <w:numFmt w:val="bullet"/>
      <w:lvlText w:val="•"/>
      <w:lvlJc w:val="left"/>
      <w:pPr>
        <w:ind w:left="5568" w:hanging="284"/>
      </w:pPr>
      <w:rPr>
        <w:rFonts w:hint="default"/>
        <w:lang w:val="da-DY" w:eastAsia="da-DY" w:bidi="da-DY"/>
      </w:rPr>
    </w:lvl>
    <w:lvl w:ilvl="5">
      <w:start w:val="0"/>
      <w:numFmt w:val="bullet"/>
      <w:lvlText w:val="•"/>
      <w:lvlJc w:val="left"/>
      <w:pPr>
        <w:ind w:left="6445" w:hanging="284"/>
      </w:pPr>
      <w:rPr>
        <w:rFonts w:hint="default"/>
        <w:lang w:val="da-DY" w:eastAsia="da-DY" w:bidi="da-DY"/>
      </w:rPr>
    </w:lvl>
    <w:lvl w:ilvl="6">
      <w:start w:val="0"/>
      <w:numFmt w:val="bullet"/>
      <w:lvlText w:val="•"/>
      <w:lvlJc w:val="left"/>
      <w:pPr>
        <w:ind w:left="7321" w:hanging="284"/>
      </w:pPr>
      <w:rPr>
        <w:rFonts w:hint="default"/>
        <w:lang w:val="da-DY" w:eastAsia="da-DY" w:bidi="da-DY"/>
      </w:rPr>
    </w:lvl>
    <w:lvl w:ilvl="7">
      <w:start w:val="0"/>
      <w:numFmt w:val="bullet"/>
      <w:lvlText w:val="•"/>
      <w:lvlJc w:val="left"/>
      <w:pPr>
        <w:ind w:left="8197" w:hanging="284"/>
      </w:pPr>
      <w:rPr>
        <w:rFonts w:hint="default"/>
        <w:lang w:val="da-DY" w:eastAsia="da-DY" w:bidi="da-DY"/>
      </w:rPr>
    </w:lvl>
    <w:lvl w:ilvl="8">
      <w:start w:val="0"/>
      <w:numFmt w:val="bullet"/>
      <w:lvlText w:val="•"/>
      <w:lvlJc w:val="left"/>
      <w:pPr>
        <w:ind w:left="9073" w:hanging="284"/>
      </w:pPr>
      <w:rPr>
        <w:rFonts w:hint="default"/>
        <w:lang w:val="da-DY" w:eastAsia="da-DY" w:bidi="da-DY"/>
      </w:rPr>
    </w:lvl>
  </w:abstractNum>
  <w:abstractNum w:abstractNumId="14">
    <w:multiLevelType w:val="hybridMultilevel"/>
    <w:lvl w:ilvl="0">
      <w:start w:val="1"/>
      <w:numFmt w:val="decimal"/>
      <w:lvlText w:val="%1."/>
      <w:lvlJc w:val="left"/>
      <w:pPr>
        <w:ind w:left="3357" w:hanging="425"/>
        <w:jc w:val="left"/>
      </w:pPr>
      <w:rPr>
        <w:rFonts w:hint="default" w:ascii="Verdana" w:hAnsi="Verdana" w:eastAsia="Verdana" w:cs="Verdana"/>
        <w:spacing w:val="-1"/>
        <w:w w:val="100"/>
        <w:sz w:val="17"/>
        <w:szCs w:val="17"/>
        <w:lang w:val="da-DY" w:eastAsia="da-DY" w:bidi="da-DY"/>
      </w:rPr>
    </w:lvl>
    <w:lvl w:ilvl="1">
      <w:start w:val="0"/>
      <w:numFmt w:val="bullet"/>
      <w:lvlText w:val="•"/>
      <w:lvlJc w:val="left"/>
      <w:pPr>
        <w:ind w:left="4106" w:hanging="425"/>
      </w:pPr>
      <w:rPr>
        <w:rFonts w:hint="default"/>
        <w:lang w:val="da-DY" w:eastAsia="da-DY" w:bidi="da-DY"/>
      </w:rPr>
    </w:lvl>
    <w:lvl w:ilvl="2">
      <w:start w:val="0"/>
      <w:numFmt w:val="bullet"/>
      <w:lvlText w:val="•"/>
      <w:lvlJc w:val="left"/>
      <w:pPr>
        <w:ind w:left="4853" w:hanging="425"/>
      </w:pPr>
      <w:rPr>
        <w:rFonts w:hint="default"/>
        <w:lang w:val="da-DY" w:eastAsia="da-DY" w:bidi="da-DY"/>
      </w:rPr>
    </w:lvl>
    <w:lvl w:ilvl="3">
      <w:start w:val="0"/>
      <w:numFmt w:val="bullet"/>
      <w:lvlText w:val="•"/>
      <w:lvlJc w:val="left"/>
      <w:pPr>
        <w:ind w:left="5599" w:hanging="425"/>
      </w:pPr>
      <w:rPr>
        <w:rFonts w:hint="default"/>
        <w:lang w:val="da-DY" w:eastAsia="da-DY" w:bidi="da-DY"/>
      </w:rPr>
    </w:lvl>
    <w:lvl w:ilvl="4">
      <w:start w:val="0"/>
      <w:numFmt w:val="bullet"/>
      <w:lvlText w:val="•"/>
      <w:lvlJc w:val="left"/>
      <w:pPr>
        <w:ind w:left="6346" w:hanging="425"/>
      </w:pPr>
      <w:rPr>
        <w:rFonts w:hint="default"/>
        <w:lang w:val="da-DY" w:eastAsia="da-DY" w:bidi="da-DY"/>
      </w:rPr>
    </w:lvl>
    <w:lvl w:ilvl="5">
      <w:start w:val="0"/>
      <w:numFmt w:val="bullet"/>
      <w:lvlText w:val="•"/>
      <w:lvlJc w:val="left"/>
      <w:pPr>
        <w:ind w:left="7093" w:hanging="425"/>
      </w:pPr>
      <w:rPr>
        <w:rFonts w:hint="default"/>
        <w:lang w:val="da-DY" w:eastAsia="da-DY" w:bidi="da-DY"/>
      </w:rPr>
    </w:lvl>
    <w:lvl w:ilvl="6">
      <w:start w:val="0"/>
      <w:numFmt w:val="bullet"/>
      <w:lvlText w:val="•"/>
      <w:lvlJc w:val="left"/>
      <w:pPr>
        <w:ind w:left="7839" w:hanging="425"/>
      </w:pPr>
      <w:rPr>
        <w:rFonts w:hint="default"/>
        <w:lang w:val="da-DY" w:eastAsia="da-DY" w:bidi="da-DY"/>
      </w:rPr>
    </w:lvl>
    <w:lvl w:ilvl="7">
      <w:start w:val="0"/>
      <w:numFmt w:val="bullet"/>
      <w:lvlText w:val="•"/>
      <w:lvlJc w:val="left"/>
      <w:pPr>
        <w:ind w:left="8586" w:hanging="425"/>
      </w:pPr>
      <w:rPr>
        <w:rFonts w:hint="default"/>
        <w:lang w:val="da-DY" w:eastAsia="da-DY" w:bidi="da-DY"/>
      </w:rPr>
    </w:lvl>
    <w:lvl w:ilvl="8">
      <w:start w:val="0"/>
      <w:numFmt w:val="bullet"/>
      <w:lvlText w:val="•"/>
      <w:lvlJc w:val="left"/>
      <w:pPr>
        <w:ind w:left="9333" w:hanging="425"/>
      </w:pPr>
      <w:rPr>
        <w:rFonts w:hint="default"/>
        <w:lang w:val="da-DY" w:eastAsia="da-DY" w:bidi="da-DY"/>
      </w:rPr>
    </w:lvl>
  </w:abstractNum>
  <w:abstractNum w:abstractNumId="13">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0"/>
      <w:numFmt w:val="bullet"/>
      <w:lvlText w:val=""/>
      <w:lvlJc w:val="left"/>
      <w:pPr>
        <w:ind w:left="3216" w:hanging="284"/>
      </w:pPr>
      <w:rPr>
        <w:rFonts w:hint="default" w:ascii="Symbol" w:hAnsi="Symbol" w:eastAsia="Symbol" w:cs="Symbol"/>
        <w:w w:val="100"/>
        <w:sz w:val="17"/>
        <w:szCs w:val="17"/>
        <w:lang w:val="da-DY" w:eastAsia="da-DY" w:bidi="da-DY"/>
      </w:rPr>
    </w:lvl>
    <w:lvl w:ilvl="2">
      <w:start w:val="0"/>
      <w:numFmt w:val="bullet"/>
      <w:lvlText w:val="•"/>
      <w:lvlJc w:val="left"/>
      <w:pPr>
        <w:ind w:left="3543" w:hanging="284"/>
      </w:pPr>
      <w:rPr>
        <w:rFonts w:hint="default"/>
        <w:lang w:val="da-DY" w:eastAsia="da-DY" w:bidi="da-DY"/>
      </w:rPr>
    </w:lvl>
    <w:lvl w:ilvl="3">
      <w:start w:val="0"/>
      <w:numFmt w:val="bullet"/>
      <w:lvlText w:val="•"/>
      <w:lvlJc w:val="left"/>
      <w:pPr>
        <w:ind w:left="3867" w:hanging="284"/>
      </w:pPr>
      <w:rPr>
        <w:rFonts w:hint="default"/>
        <w:lang w:val="da-DY" w:eastAsia="da-DY" w:bidi="da-DY"/>
      </w:rPr>
    </w:lvl>
    <w:lvl w:ilvl="4">
      <w:start w:val="0"/>
      <w:numFmt w:val="bullet"/>
      <w:lvlText w:val="•"/>
      <w:lvlJc w:val="left"/>
      <w:pPr>
        <w:ind w:left="4191" w:hanging="284"/>
      </w:pPr>
      <w:rPr>
        <w:rFonts w:hint="default"/>
        <w:lang w:val="da-DY" w:eastAsia="da-DY" w:bidi="da-DY"/>
      </w:rPr>
    </w:lvl>
    <w:lvl w:ilvl="5">
      <w:start w:val="0"/>
      <w:numFmt w:val="bullet"/>
      <w:lvlText w:val="•"/>
      <w:lvlJc w:val="left"/>
      <w:pPr>
        <w:ind w:left="4515" w:hanging="284"/>
      </w:pPr>
      <w:rPr>
        <w:rFonts w:hint="default"/>
        <w:lang w:val="da-DY" w:eastAsia="da-DY" w:bidi="da-DY"/>
      </w:rPr>
    </w:lvl>
    <w:lvl w:ilvl="6">
      <w:start w:val="0"/>
      <w:numFmt w:val="bullet"/>
      <w:lvlText w:val="•"/>
      <w:lvlJc w:val="left"/>
      <w:pPr>
        <w:ind w:left="4839" w:hanging="284"/>
      </w:pPr>
      <w:rPr>
        <w:rFonts w:hint="default"/>
        <w:lang w:val="da-DY" w:eastAsia="da-DY" w:bidi="da-DY"/>
      </w:rPr>
    </w:lvl>
    <w:lvl w:ilvl="7">
      <w:start w:val="0"/>
      <w:numFmt w:val="bullet"/>
      <w:lvlText w:val="•"/>
      <w:lvlJc w:val="left"/>
      <w:pPr>
        <w:ind w:left="5162" w:hanging="284"/>
      </w:pPr>
      <w:rPr>
        <w:rFonts w:hint="default"/>
        <w:lang w:val="da-DY" w:eastAsia="da-DY" w:bidi="da-DY"/>
      </w:rPr>
    </w:lvl>
    <w:lvl w:ilvl="8">
      <w:start w:val="0"/>
      <w:numFmt w:val="bullet"/>
      <w:lvlText w:val="•"/>
      <w:lvlJc w:val="left"/>
      <w:pPr>
        <w:ind w:left="5486" w:hanging="284"/>
      </w:pPr>
      <w:rPr>
        <w:rFonts w:hint="default"/>
        <w:lang w:val="da-DY" w:eastAsia="da-DY" w:bidi="da-DY"/>
      </w:rPr>
    </w:lvl>
  </w:abstractNum>
  <w:abstractNum w:abstractNumId="12">
    <w:multiLevelType w:val="hybridMultilevel"/>
    <w:lvl w:ilvl="0">
      <w:start w:val="3"/>
      <w:numFmt w:val="decimal"/>
      <w:lvlText w:val="%1"/>
      <w:lvlJc w:val="left"/>
      <w:pPr>
        <w:ind w:left="2649" w:hanging="656"/>
        <w:jc w:val="right"/>
      </w:pPr>
      <w:rPr>
        <w:rFonts w:hint="default"/>
        <w:lang w:val="da-DY" w:eastAsia="da-DY" w:bidi="da-DY"/>
      </w:rPr>
    </w:lvl>
    <w:lvl w:ilvl="1">
      <w:start w:val="3"/>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3216" w:hanging="284"/>
      </w:pPr>
      <w:rPr>
        <w:rFonts w:hint="default" w:ascii="Symbol" w:hAnsi="Symbol" w:eastAsia="Symbol" w:cs="Symbol"/>
        <w:w w:val="100"/>
        <w:sz w:val="17"/>
        <w:szCs w:val="17"/>
        <w:lang w:val="da-DY" w:eastAsia="da-DY" w:bidi="da-DY"/>
      </w:rPr>
    </w:lvl>
    <w:lvl w:ilvl="3">
      <w:start w:val="0"/>
      <w:numFmt w:val="bullet"/>
      <w:lvlText w:val="•"/>
      <w:lvlJc w:val="left"/>
      <w:pPr>
        <w:ind w:left="4910" w:hanging="284"/>
      </w:pPr>
      <w:rPr>
        <w:rFonts w:hint="default"/>
        <w:lang w:val="da-DY" w:eastAsia="da-DY" w:bidi="da-DY"/>
      </w:rPr>
    </w:lvl>
    <w:lvl w:ilvl="4">
      <w:start w:val="0"/>
      <w:numFmt w:val="bullet"/>
      <w:lvlText w:val="•"/>
      <w:lvlJc w:val="left"/>
      <w:pPr>
        <w:ind w:left="5755" w:hanging="284"/>
      </w:pPr>
      <w:rPr>
        <w:rFonts w:hint="default"/>
        <w:lang w:val="da-DY" w:eastAsia="da-DY" w:bidi="da-DY"/>
      </w:rPr>
    </w:lvl>
    <w:lvl w:ilvl="5">
      <w:start w:val="0"/>
      <w:numFmt w:val="bullet"/>
      <w:lvlText w:val="•"/>
      <w:lvlJc w:val="left"/>
      <w:pPr>
        <w:ind w:left="6600" w:hanging="284"/>
      </w:pPr>
      <w:rPr>
        <w:rFonts w:hint="default"/>
        <w:lang w:val="da-DY" w:eastAsia="da-DY" w:bidi="da-DY"/>
      </w:rPr>
    </w:lvl>
    <w:lvl w:ilvl="6">
      <w:start w:val="0"/>
      <w:numFmt w:val="bullet"/>
      <w:lvlText w:val="•"/>
      <w:lvlJc w:val="left"/>
      <w:pPr>
        <w:ind w:left="7445" w:hanging="284"/>
      </w:pPr>
      <w:rPr>
        <w:rFonts w:hint="default"/>
        <w:lang w:val="da-DY" w:eastAsia="da-DY" w:bidi="da-DY"/>
      </w:rPr>
    </w:lvl>
    <w:lvl w:ilvl="7">
      <w:start w:val="0"/>
      <w:numFmt w:val="bullet"/>
      <w:lvlText w:val="•"/>
      <w:lvlJc w:val="left"/>
      <w:pPr>
        <w:ind w:left="8290" w:hanging="284"/>
      </w:pPr>
      <w:rPr>
        <w:rFonts w:hint="default"/>
        <w:lang w:val="da-DY" w:eastAsia="da-DY" w:bidi="da-DY"/>
      </w:rPr>
    </w:lvl>
    <w:lvl w:ilvl="8">
      <w:start w:val="0"/>
      <w:numFmt w:val="bullet"/>
      <w:lvlText w:val="•"/>
      <w:lvlJc w:val="left"/>
      <w:pPr>
        <w:ind w:left="9136" w:hanging="284"/>
      </w:pPr>
      <w:rPr>
        <w:rFonts w:hint="default"/>
        <w:lang w:val="da-DY" w:eastAsia="da-DY" w:bidi="da-DY"/>
      </w:rPr>
    </w:lvl>
  </w:abstractNum>
  <w:abstractNum w:abstractNumId="11">
    <w:multiLevelType w:val="hybridMultilevel"/>
    <w:lvl w:ilvl="0">
      <w:start w:val="3"/>
      <w:numFmt w:val="decimal"/>
      <w:lvlText w:val="%1"/>
      <w:lvlJc w:val="left"/>
      <w:pPr>
        <w:ind w:left="2649" w:hanging="656"/>
        <w:jc w:val="left"/>
      </w:pPr>
      <w:rPr>
        <w:rFonts w:hint="default"/>
        <w:lang w:val="da-DY" w:eastAsia="da-DY" w:bidi="da-DY"/>
      </w:rPr>
    </w:lvl>
    <w:lvl w:ilvl="1">
      <w:start w:val="2"/>
      <w:numFmt w:val="decimal"/>
      <w:lvlText w:val="%1.%2"/>
      <w:lvlJc w:val="left"/>
      <w:pPr>
        <w:ind w:left="2649" w:hanging="656"/>
        <w:jc w:val="left"/>
      </w:pPr>
      <w:rPr>
        <w:rFonts w:hint="default" w:ascii="Verdana" w:hAnsi="Verdana" w:eastAsia="Verdana" w:cs="Verdana"/>
        <w:b/>
        <w:bCs/>
        <w:spacing w:val="-2"/>
        <w:w w:val="100"/>
        <w:sz w:val="24"/>
        <w:szCs w:val="24"/>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5095" w:hanging="800"/>
      </w:pPr>
      <w:rPr>
        <w:rFonts w:hint="default"/>
        <w:lang w:val="da-DY" w:eastAsia="da-DY" w:bidi="da-DY"/>
      </w:rPr>
    </w:lvl>
    <w:lvl w:ilvl="4">
      <w:start w:val="0"/>
      <w:numFmt w:val="bullet"/>
      <w:lvlText w:val="•"/>
      <w:lvlJc w:val="left"/>
      <w:pPr>
        <w:ind w:left="5914" w:hanging="800"/>
      </w:pPr>
      <w:rPr>
        <w:rFonts w:hint="default"/>
        <w:lang w:val="da-DY" w:eastAsia="da-DY" w:bidi="da-DY"/>
      </w:rPr>
    </w:lvl>
    <w:lvl w:ilvl="5">
      <w:start w:val="0"/>
      <w:numFmt w:val="bullet"/>
      <w:lvlText w:val="•"/>
      <w:lvlJc w:val="left"/>
      <w:pPr>
        <w:ind w:left="6733" w:hanging="800"/>
      </w:pPr>
      <w:rPr>
        <w:rFonts w:hint="default"/>
        <w:lang w:val="da-DY" w:eastAsia="da-DY" w:bidi="da-DY"/>
      </w:rPr>
    </w:lvl>
    <w:lvl w:ilvl="6">
      <w:start w:val="0"/>
      <w:numFmt w:val="bullet"/>
      <w:lvlText w:val="•"/>
      <w:lvlJc w:val="left"/>
      <w:pPr>
        <w:ind w:left="7551" w:hanging="800"/>
      </w:pPr>
      <w:rPr>
        <w:rFonts w:hint="default"/>
        <w:lang w:val="da-DY" w:eastAsia="da-DY" w:bidi="da-DY"/>
      </w:rPr>
    </w:lvl>
    <w:lvl w:ilvl="7">
      <w:start w:val="0"/>
      <w:numFmt w:val="bullet"/>
      <w:lvlText w:val="•"/>
      <w:lvlJc w:val="left"/>
      <w:pPr>
        <w:ind w:left="8370" w:hanging="800"/>
      </w:pPr>
      <w:rPr>
        <w:rFonts w:hint="default"/>
        <w:lang w:val="da-DY" w:eastAsia="da-DY" w:bidi="da-DY"/>
      </w:rPr>
    </w:lvl>
    <w:lvl w:ilvl="8">
      <w:start w:val="0"/>
      <w:numFmt w:val="bullet"/>
      <w:lvlText w:val="•"/>
      <w:lvlJc w:val="left"/>
      <w:pPr>
        <w:ind w:left="9189" w:hanging="800"/>
      </w:pPr>
      <w:rPr>
        <w:rFonts w:hint="default"/>
        <w:lang w:val="da-DY" w:eastAsia="da-DY" w:bidi="da-DY"/>
      </w:rPr>
    </w:lvl>
  </w:abstractNum>
  <w:abstractNum w:abstractNumId="10">
    <w:multiLevelType w:val="hybridMultilevel"/>
    <w:lvl w:ilvl="0">
      <w:start w:val="1"/>
      <w:numFmt w:val="decimal"/>
      <w:lvlText w:val="%1."/>
      <w:lvlJc w:val="left"/>
      <w:pPr>
        <w:ind w:left="3357" w:hanging="708"/>
        <w:jc w:val="left"/>
      </w:pPr>
      <w:rPr>
        <w:rFonts w:hint="default"/>
        <w:i/>
        <w:w w:val="100"/>
        <w:lang w:val="da-DY" w:eastAsia="da-DY" w:bidi="da-DY"/>
      </w:rPr>
    </w:lvl>
    <w:lvl w:ilvl="1">
      <w:start w:val="0"/>
      <w:numFmt w:val="bullet"/>
      <w:lvlText w:val="•"/>
      <w:lvlJc w:val="left"/>
      <w:pPr>
        <w:ind w:left="4106" w:hanging="708"/>
      </w:pPr>
      <w:rPr>
        <w:rFonts w:hint="default"/>
        <w:lang w:val="da-DY" w:eastAsia="da-DY" w:bidi="da-DY"/>
      </w:rPr>
    </w:lvl>
    <w:lvl w:ilvl="2">
      <w:start w:val="0"/>
      <w:numFmt w:val="bullet"/>
      <w:lvlText w:val="•"/>
      <w:lvlJc w:val="left"/>
      <w:pPr>
        <w:ind w:left="4853" w:hanging="708"/>
      </w:pPr>
      <w:rPr>
        <w:rFonts w:hint="default"/>
        <w:lang w:val="da-DY" w:eastAsia="da-DY" w:bidi="da-DY"/>
      </w:rPr>
    </w:lvl>
    <w:lvl w:ilvl="3">
      <w:start w:val="0"/>
      <w:numFmt w:val="bullet"/>
      <w:lvlText w:val="•"/>
      <w:lvlJc w:val="left"/>
      <w:pPr>
        <w:ind w:left="5599" w:hanging="708"/>
      </w:pPr>
      <w:rPr>
        <w:rFonts w:hint="default"/>
        <w:lang w:val="da-DY" w:eastAsia="da-DY" w:bidi="da-DY"/>
      </w:rPr>
    </w:lvl>
    <w:lvl w:ilvl="4">
      <w:start w:val="0"/>
      <w:numFmt w:val="bullet"/>
      <w:lvlText w:val="•"/>
      <w:lvlJc w:val="left"/>
      <w:pPr>
        <w:ind w:left="6346" w:hanging="708"/>
      </w:pPr>
      <w:rPr>
        <w:rFonts w:hint="default"/>
        <w:lang w:val="da-DY" w:eastAsia="da-DY" w:bidi="da-DY"/>
      </w:rPr>
    </w:lvl>
    <w:lvl w:ilvl="5">
      <w:start w:val="0"/>
      <w:numFmt w:val="bullet"/>
      <w:lvlText w:val="•"/>
      <w:lvlJc w:val="left"/>
      <w:pPr>
        <w:ind w:left="7093" w:hanging="708"/>
      </w:pPr>
      <w:rPr>
        <w:rFonts w:hint="default"/>
        <w:lang w:val="da-DY" w:eastAsia="da-DY" w:bidi="da-DY"/>
      </w:rPr>
    </w:lvl>
    <w:lvl w:ilvl="6">
      <w:start w:val="0"/>
      <w:numFmt w:val="bullet"/>
      <w:lvlText w:val="•"/>
      <w:lvlJc w:val="left"/>
      <w:pPr>
        <w:ind w:left="7839" w:hanging="708"/>
      </w:pPr>
      <w:rPr>
        <w:rFonts w:hint="default"/>
        <w:lang w:val="da-DY" w:eastAsia="da-DY" w:bidi="da-DY"/>
      </w:rPr>
    </w:lvl>
    <w:lvl w:ilvl="7">
      <w:start w:val="0"/>
      <w:numFmt w:val="bullet"/>
      <w:lvlText w:val="•"/>
      <w:lvlJc w:val="left"/>
      <w:pPr>
        <w:ind w:left="8586" w:hanging="708"/>
      </w:pPr>
      <w:rPr>
        <w:rFonts w:hint="default"/>
        <w:lang w:val="da-DY" w:eastAsia="da-DY" w:bidi="da-DY"/>
      </w:rPr>
    </w:lvl>
    <w:lvl w:ilvl="8">
      <w:start w:val="0"/>
      <w:numFmt w:val="bullet"/>
      <w:lvlText w:val="•"/>
      <w:lvlJc w:val="left"/>
      <w:pPr>
        <w:ind w:left="9333" w:hanging="708"/>
      </w:pPr>
      <w:rPr>
        <w:rFonts w:hint="default"/>
        <w:lang w:val="da-DY" w:eastAsia="da-DY" w:bidi="da-DY"/>
      </w:rPr>
    </w:lvl>
  </w:abstractNum>
  <w:abstractNum w:abstractNumId="9">
    <w:multiLevelType w:val="hybridMultilevel"/>
    <w:lvl w:ilvl="0">
      <w:start w:val="2"/>
      <w:numFmt w:val="decimal"/>
      <w:lvlText w:val="%1"/>
      <w:lvlJc w:val="left"/>
      <w:pPr>
        <w:ind w:left="2649" w:hanging="656"/>
        <w:jc w:val="right"/>
      </w:pPr>
      <w:rPr>
        <w:rFonts w:hint="default"/>
        <w:lang w:val="da-DY" w:eastAsia="da-DY" w:bidi="da-DY"/>
      </w:rPr>
    </w:lvl>
    <w:lvl w:ilvl="1">
      <w:start w:val="4"/>
      <w:numFmt w:val="decimal"/>
      <w:lvlText w:val="%1.%2"/>
      <w:lvlJc w:val="left"/>
      <w:pPr>
        <w:ind w:left="2649" w:hanging="656"/>
        <w:jc w:val="left"/>
      </w:pPr>
      <w:rPr>
        <w:rFonts w:hint="default" w:ascii="Verdana" w:hAnsi="Verdana" w:eastAsia="Verdana" w:cs="Verdana"/>
        <w:b/>
        <w:bCs/>
        <w:spacing w:val="-1"/>
        <w:w w:val="100"/>
        <w:sz w:val="24"/>
        <w:szCs w:val="24"/>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3369" w:hanging="360"/>
      </w:pPr>
      <w:rPr>
        <w:rFonts w:hint="default" w:ascii="Symbol" w:hAnsi="Symbol" w:eastAsia="Symbol" w:cs="Symbol"/>
        <w:w w:val="100"/>
        <w:sz w:val="17"/>
        <w:szCs w:val="17"/>
        <w:lang w:val="da-DY" w:eastAsia="da-DY" w:bidi="da-DY"/>
      </w:rPr>
    </w:lvl>
    <w:lvl w:ilvl="4">
      <w:start w:val="0"/>
      <w:numFmt w:val="bullet"/>
      <w:lvlText w:val="•"/>
      <w:lvlJc w:val="left"/>
      <w:pPr>
        <w:ind w:left="5848" w:hanging="360"/>
      </w:pPr>
      <w:rPr>
        <w:rFonts w:hint="default"/>
        <w:lang w:val="da-DY" w:eastAsia="da-DY" w:bidi="da-DY"/>
      </w:rPr>
    </w:lvl>
    <w:lvl w:ilvl="5">
      <w:start w:val="0"/>
      <w:numFmt w:val="bullet"/>
      <w:lvlText w:val="•"/>
      <w:lvlJc w:val="left"/>
      <w:pPr>
        <w:ind w:left="6678" w:hanging="360"/>
      </w:pPr>
      <w:rPr>
        <w:rFonts w:hint="default"/>
        <w:lang w:val="da-DY" w:eastAsia="da-DY" w:bidi="da-DY"/>
      </w:rPr>
    </w:lvl>
    <w:lvl w:ilvl="6">
      <w:start w:val="0"/>
      <w:numFmt w:val="bullet"/>
      <w:lvlText w:val="•"/>
      <w:lvlJc w:val="left"/>
      <w:pPr>
        <w:ind w:left="7508" w:hanging="360"/>
      </w:pPr>
      <w:rPr>
        <w:rFonts w:hint="default"/>
        <w:lang w:val="da-DY" w:eastAsia="da-DY" w:bidi="da-DY"/>
      </w:rPr>
    </w:lvl>
    <w:lvl w:ilvl="7">
      <w:start w:val="0"/>
      <w:numFmt w:val="bullet"/>
      <w:lvlText w:val="•"/>
      <w:lvlJc w:val="left"/>
      <w:pPr>
        <w:ind w:left="8337" w:hanging="360"/>
      </w:pPr>
      <w:rPr>
        <w:rFonts w:hint="default"/>
        <w:lang w:val="da-DY" w:eastAsia="da-DY" w:bidi="da-DY"/>
      </w:rPr>
    </w:lvl>
    <w:lvl w:ilvl="8">
      <w:start w:val="0"/>
      <w:numFmt w:val="bullet"/>
      <w:lvlText w:val="•"/>
      <w:lvlJc w:val="left"/>
      <w:pPr>
        <w:ind w:left="9167" w:hanging="360"/>
      </w:pPr>
      <w:rPr>
        <w:rFonts w:hint="default"/>
        <w:lang w:val="da-DY" w:eastAsia="da-DY" w:bidi="da-DY"/>
      </w:rPr>
    </w:lvl>
  </w:abstractNum>
  <w:abstractNum w:abstractNumId="8">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0"/>
      <w:numFmt w:val="bullet"/>
      <w:lvlText w:val=""/>
      <w:lvlJc w:val="left"/>
      <w:pPr>
        <w:ind w:left="2933" w:hanging="284"/>
      </w:pPr>
      <w:rPr>
        <w:rFonts w:hint="default" w:ascii="Symbol" w:hAnsi="Symbol" w:eastAsia="Symbol" w:cs="Symbol"/>
        <w:w w:val="100"/>
        <w:sz w:val="17"/>
        <w:szCs w:val="17"/>
        <w:lang w:val="da-DY" w:eastAsia="da-DY" w:bidi="da-DY"/>
      </w:rPr>
    </w:lvl>
    <w:lvl w:ilvl="2">
      <w:start w:val="0"/>
      <w:numFmt w:val="bullet"/>
      <w:lvlText w:val="•"/>
      <w:lvlJc w:val="left"/>
      <w:pPr>
        <w:ind w:left="3294" w:hanging="284"/>
      </w:pPr>
      <w:rPr>
        <w:rFonts w:hint="default"/>
        <w:lang w:val="da-DY" w:eastAsia="da-DY" w:bidi="da-DY"/>
      </w:rPr>
    </w:lvl>
    <w:lvl w:ilvl="3">
      <w:start w:val="0"/>
      <w:numFmt w:val="bullet"/>
      <w:lvlText w:val="•"/>
      <w:lvlJc w:val="left"/>
      <w:pPr>
        <w:ind w:left="3649" w:hanging="284"/>
      </w:pPr>
      <w:rPr>
        <w:rFonts w:hint="default"/>
        <w:lang w:val="da-DY" w:eastAsia="da-DY" w:bidi="da-DY"/>
      </w:rPr>
    </w:lvl>
    <w:lvl w:ilvl="4">
      <w:start w:val="0"/>
      <w:numFmt w:val="bullet"/>
      <w:lvlText w:val="•"/>
      <w:lvlJc w:val="left"/>
      <w:pPr>
        <w:ind w:left="4004" w:hanging="284"/>
      </w:pPr>
      <w:rPr>
        <w:rFonts w:hint="default"/>
        <w:lang w:val="da-DY" w:eastAsia="da-DY" w:bidi="da-DY"/>
      </w:rPr>
    </w:lvl>
    <w:lvl w:ilvl="5">
      <w:start w:val="0"/>
      <w:numFmt w:val="bullet"/>
      <w:lvlText w:val="•"/>
      <w:lvlJc w:val="left"/>
      <w:pPr>
        <w:ind w:left="4359" w:hanging="284"/>
      </w:pPr>
      <w:rPr>
        <w:rFonts w:hint="default"/>
        <w:lang w:val="da-DY" w:eastAsia="da-DY" w:bidi="da-DY"/>
      </w:rPr>
    </w:lvl>
    <w:lvl w:ilvl="6">
      <w:start w:val="0"/>
      <w:numFmt w:val="bullet"/>
      <w:lvlText w:val="•"/>
      <w:lvlJc w:val="left"/>
      <w:pPr>
        <w:ind w:left="4714" w:hanging="284"/>
      </w:pPr>
      <w:rPr>
        <w:rFonts w:hint="default"/>
        <w:lang w:val="da-DY" w:eastAsia="da-DY" w:bidi="da-DY"/>
      </w:rPr>
    </w:lvl>
    <w:lvl w:ilvl="7">
      <w:start w:val="0"/>
      <w:numFmt w:val="bullet"/>
      <w:lvlText w:val="•"/>
      <w:lvlJc w:val="left"/>
      <w:pPr>
        <w:ind w:left="5069" w:hanging="284"/>
      </w:pPr>
      <w:rPr>
        <w:rFonts w:hint="default"/>
        <w:lang w:val="da-DY" w:eastAsia="da-DY" w:bidi="da-DY"/>
      </w:rPr>
    </w:lvl>
    <w:lvl w:ilvl="8">
      <w:start w:val="0"/>
      <w:numFmt w:val="bullet"/>
      <w:lvlText w:val="•"/>
      <w:lvlJc w:val="left"/>
      <w:pPr>
        <w:ind w:left="5424" w:hanging="284"/>
      </w:pPr>
      <w:rPr>
        <w:rFonts w:hint="default"/>
        <w:lang w:val="da-DY" w:eastAsia="da-DY" w:bidi="da-DY"/>
      </w:rPr>
    </w:lvl>
  </w:abstractNum>
  <w:abstractNum w:abstractNumId="7">
    <w:multiLevelType w:val="hybridMultilevel"/>
    <w:lvl w:ilvl="0">
      <w:start w:val="2"/>
      <w:numFmt w:val="decimal"/>
      <w:lvlText w:val="%1"/>
      <w:lvlJc w:val="left"/>
      <w:pPr>
        <w:ind w:left="2649" w:hanging="800"/>
        <w:jc w:val="left"/>
      </w:pPr>
      <w:rPr>
        <w:rFonts w:hint="default"/>
        <w:lang w:val="da-DY" w:eastAsia="da-DY" w:bidi="da-DY"/>
      </w:rPr>
    </w:lvl>
    <w:lvl w:ilvl="1">
      <w:start w:val="2"/>
      <w:numFmt w:val="decimal"/>
      <w:lvlText w:val="%1.%2"/>
      <w:lvlJc w:val="left"/>
      <w:pPr>
        <w:ind w:left="2649" w:hanging="800"/>
        <w:jc w:val="right"/>
      </w:pPr>
      <w:rPr>
        <w:rFonts w:hint="default"/>
        <w:lang w:val="da-DY" w:eastAsia="da-DY" w:bidi="da-DY"/>
      </w:rPr>
    </w:lvl>
    <w:lvl w:ilvl="2">
      <w:start w:val="1"/>
      <w:numFmt w:val="decimal"/>
      <w:lvlText w:val="%1.%2.%3"/>
      <w:lvlJc w:val="left"/>
      <w:pPr>
        <w:ind w:left="2649" w:hanging="800"/>
        <w:jc w:val="left"/>
      </w:pPr>
      <w:rPr>
        <w:rFonts w:hint="default" w:ascii="Verdana" w:hAnsi="Verdana" w:eastAsia="Verdana" w:cs="Verdana"/>
        <w:b/>
        <w:bCs/>
        <w:spacing w:val="-1"/>
        <w:w w:val="99"/>
        <w:sz w:val="20"/>
        <w:szCs w:val="20"/>
        <w:lang w:val="da-DY" w:eastAsia="da-DY" w:bidi="da-DY"/>
      </w:rPr>
    </w:lvl>
    <w:lvl w:ilvl="3">
      <w:start w:val="0"/>
      <w:numFmt w:val="bullet"/>
      <w:lvlText w:val=""/>
      <w:lvlJc w:val="left"/>
      <w:pPr>
        <w:ind w:left="2933" w:hanging="284"/>
      </w:pPr>
      <w:rPr>
        <w:rFonts w:hint="default" w:ascii="Symbol" w:hAnsi="Symbol" w:eastAsia="Symbol" w:cs="Symbol"/>
        <w:w w:val="100"/>
        <w:sz w:val="17"/>
        <w:szCs w:val="17"/>
        <w:lang w:val="da-DY" w:eastAsia="da-DY" w:bidi="da-DY"/>
      </w:rPr>
    </w:lvl>
    <w:lvl w:ilvl="4">
      <w:start w:val="0"/>
      <w:numFmt w:val="bullet"/>
      <w:lvlText w:val="•"/>
      <w:lvlJc w:val="left"/>
      <w:pPr>
        <w:ind w:left="5568" w:hanging="284"/>
      </w:pPr>
      <w:rPr>
        <w:rFonts w:hint="default"/>
        <w:lang w:val="da-DY" w:eastAsia="da-DY" w:bidi="da-DY"/>
      </w:rPr>
    </w:lvl>
    <w:lvl w:ilvl="5">
      <w:start w:val="0"/>
      <w:numFmt w:val="bullet"/>
      <w:lvlText w:val="•"/>
      <w:lvlJc w:val="left"/>
      <w:pPr>
        <w:ind w:left="6445" w:hanging="284"/>
      </w:pPr>
      <w:rPr>
        <w:rFonts w:hint="default"/>
        <w:lang w:val="da-DY" w:eastAsia="da-DY" w:bidi="da-DY"/>
      </w:rPr>
    </w:lvl>
    <w:lvl w:ilvl="6">
      <w:start w:val="0"/>
      <w:numFmt w:val="bullet"/>
      <w:lvlText w:val="•"/>
      <w:lvlJc w:val="left"/>
      <w:pPr>
        <w:ind w:left="7321" w:hanging="284"/>
      </w:pPr>
      <w:rPr>
        <w:rFonts w:hint="default"/>
        <w:lang w:val="da-DY" w:eastAsia="da-DY" w:bidi="da-DY"/>
      </w:rPr>
    </w:lvl>
    <w:lvl w:ilvl="7">
      <w:start w:val="0"/>
      <w:numFmt w:val="bullet"/>
      <w:lvlText w:val="•"/>
      <w:lvlJc w:val="left"/>
      <w:pPr>
        <w:ind w:left="8197" w:hanging="284"/>
      </w:pPr>
      <w:rPr>
        <w:rFonts w:hint="default"/>
        <w:lang w:val="da-DY" w:eastAsia="da-DY" w:bidi="da-DY"/>
      </w:rPr>
    </w:lvl>
    <w:lvl w:ilvl="8">
      <w:start w:val="0"/>
      <w:numFmt w:val="bullet"/>
      <w:lvlText w:val="•"/>
      <w:lvlJc w:val="left"/>
      <w:pPr>
        <w:ind w:left="9073" w:hanging="284"/>
      </w:pPr>
      <w:rPr>
        <w:rFonts w:hint="default"/>
        <w:lang w:val="da-DY" w:eastAsia="da-DY" w:bidi="da-DY"/>
      </w:rPr>
    </w:lvl>
  </w:abstractNum>
  <w:abstractNum w:abstractNumId="6">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0"/>
      <w:numFmt w:val="bullet"/>
      <w:lvlText w:val=""/>
      <w:lvlJc w:val="left"/>
      <w:pPr>
        <w:ind w:left="3501" w:hanging="284"/>
      </w:pPr>
      <w:rPr>
        <w:rFonts w:hint="default" w:ascii="Symbol" w:hAnsi="Symbol" w:eastAsia="Symbol" w:cs="Symbol"/>
        <w:w w:val="100"/>
        <w:sz w:val="17"/>
        <w:szCs w:val="17"/>
        <w:lang w:val="da-DY" w:eastAsia="da-DY" w:bidi="da-DY"/>
      </w:rPr>
    </w:lvl>
    <w:lvl w:ilvl="2">
      <w:start w:val="0"/>
      <w:numFmt w:val="bullet"/>
      <w:lvlText w:val="•"/>
      <w:lvlJc w:val="left"/>
      <w:pPr>
        <w:ind w:left="3792" w:hanging="284"/>
      </w:pPr>
      <w:rPr>
        <w:rFonts w:hint="default"/>
        <w:lang w:val="da-DY" w:eastAsia="da-DY" w:bidi="da-DY"/>
      </w:rPr>
    </w:lvl>
    <w:lvl w:ilvl="3">
      <w:start w:val="0"/>
      <w:numFmt w:val="bullet"/>
      <w:lvlText w:val="•"/>
      <w:lvlJc w:val="left"/>
      <w:pPr>
        <w:ind w:left="4085" w:hanging="284"/>
      </w:pPr>
      <w:rPr>
        <w:rFonts w:hint="default"/>
        <w:lang w:val="da-DY" w:eastAsia="da-DY" w:bidi="da-DY"/>
      </w:rPr>
    </w:lvl>
    <w:lvl w:ilvl="4">
      <w:start w:val="0"/>
      <w:numFmt w:val="bullet"/>
      <w:lvlText w:val="•"/>
      <w:lvlJc w:val="left"/>
      <w:pPr>
        <w:ind w:left="4378" w:hanging="284"/>
      </w:pPr>
      <w:rPr>
        <w:rFonts w:hint="default"/>
        <w:lang w:val="da-DY" w:eastAsia="da-DY" w:bidi="da-DY"/>
      </w:rPr>
    </w:lvl>
    <w:lvl w:ilvl="5">
      <w:start w:val="0"/>
      <w:numFmt w:val="bullet"/>
      <w:lvlText w:val="•"/>
      <w:lvlJc w:val="left"/>
      <w:pPr>
        <w:ind w:left="4670" w:hanging="284"/>
      </w:pPr>
      <w:rPr>
        <w:rFonts w:hint="default"/>
        <w:lang w:val="da-DY" w:eastAsia="da-DY" w:bidi="da-DY"/>
      </w:rPr>
    </w:lvl>
    <w:lvl w:ilvl="6">
      <w:start w:val="0"/>
      <w:numFmt w:val="bullet"/>
      <w:lvlText w:val="•"/>
      <w:lvlJc w:val="left"/>
      <w:pPr>
        <w:ind w:left="4963" w:hanging="284"/>
      </w:pPr>
      <w:rPr>
        <w:rFonts w:hint="default"/>
        <w:lang w:val="da-DY" w:eastAsia="da-DY" w:bidi="da-DY"/>
      </w:rPr>
    </w:lvl>
    <w:lvl w:ilvl="7">
      <w:start w:val="0"/>
      <w:numFmt w:val="bullet"/>
      <w:lvlText w:val="•"/>
      <w:lvlJc w:val="left"/>
      <w:pPr>
        <w:ind w:left="5256" w:hanging="284"/>
      </w:pPr>
      <w:rPr>
        <w:rFonts w:hint="default"/>
        <w:lang w:val="da-DY" w:eastAsia="da-DY" w:bidi="da-DY"/>
      </w:rPr>
    </w:lvl>
    <w:lvl w:ilvl="8">
      <w:start w:val="0"/>
      <w:numFmt w:val="bullet"/>
      <w:lvlText w:val="•"/>
      <w:lvlJc w:val="left"/>
      <w:pPr>
        <w:ind w:left="5548" w:hanging="284"/>
      </w:pPr>
      <w:rPr>
        <w:rFonts w:hint="default"/>
        <w:lang w:val="da-DY" w:eastAsia="da-DY" w:bidi="da-DY"/>
      </w:rPr>
    </w:lvl>
  </w:abstractNum>
  <w:abstractNum w:abstractNumId="5">
    <w:multiLevelType w:val="hybridMultilevel"/>
    <w:lvl w:ilvl="0">
      <w:start w:val="5"/>
      <w:numFmt w:val="decimalZero"/>
      <w:lvlText w:val="%1."/>
      <w:lvlJc w:val="left"/>
      <w:pPr>
        <w:ind w:left="650" w:hanging="240"/>
        <w:jc w:val="left"/>
      </w:pPr>
      <w:rPr>
        <w:rFonts w:hint="default" w:ascii="Verdana" w:hAnsi="Verdana" w:eastAsia="Verdana" w:cs="Verdana"/>
        <w:spacing w:val="-2"/>
        <w:w w:val="100"/>
        <w:sz w:val="12"/>
        <w:szCs w:val="12"/>
        <w:lang w:val="da-DY" w:eastAsia="da-DY" w:bidi="da-DY"/>
      </w:rPr>
    </w:lvl>
    <w:lvl w:ilvl="1">
      <w:start w:val="1"/>
      <w:numFmt w:val="decimal"/>
      <w:lvlText w:val="%2"/>
      <w:lvlJc w:val="left"/>
      <w:pPr>
        <w:ind w:left="2649" w:hanging="428"/>
        <w:jc w:val="left"/>
      </w:pPr>
      <w:rPr>
        <w:rFonts w:hint="default" w:ascii="Verdana" w:hAnsi="Verdana" w:eastAsia="Verdana" w:cs="Verdana"/>
        <w:b/>
        <w:bCs/>
        <w:w w:val="100"/>
        <w:sz w:val="28"/>
        <w:szCs w:val="28"/>
        <w:lang w:val="da-DY" w:eastAsia="da-DY" w:bidi="da-DY"/>
      </w:rPr>
    </w:lvl>
    <w:lvl w:ilvl="2">
      <w:start w:val="1"/>
      <w:numFmt w:val="decimal"/>
      <w:lvlText w:val="%2.%3"/>
      <w:lvlJc w:val="left"/>
      <w:pPr>
        <w:ind w:left="2649" w:hanging="656"/>
        <w:jc w:val="left"/>
      </w:pPr>
      <w:rPr>
        <w:rFonts w:hint="default" w:ascii="Verdana" w:hAnsi="Verdana" w:eastAsia="Verdana" w:cs="Verdana"/>
        <w:b/>
        <w:bCs/>
        <w:spacing w:val="-2"/>
        <w:w w:val="100"/>
        <w:sz w:val="24"/>
        <w:szCs w:val="24"/>
        <w:lang w:val="da-DY" w:eastAsia="da-DY" w:bidi="da-DY"/>
      </w:rPr>
    </w:lvl>
    <w:lvl w:ilvl="3">
      <w:start w:val="0"/>
      <w:numFmt w:val="bullet"/>
      <w:lvlText w:val=""/>
      <w:lvlJc w:val="left"/>
      <w:pPr>
        <w:ind w:left="3501" w:hanging="284"/>
      </w:pPr>
      <w:rPr>
        <w:rFonts w:hint="default" w:ascii="Symbol" w:hAnsi="Symbol" w:eastAsia="Symbol" w:cs="Symbol"/>
        <w:w w:val="100"/>
        <w:sz w:val="17"/>
        <w:szCs w:val="17"/>
        <w:lang w:val="da-DY" w:eastAsia="da-DY" w:bidi="da-DY"/>
      </w:rPr>
    </w:lvl>
    <w:lvl w:ilvl="4">
      <w:start w:val="0"/>
      <w:numFmt w:val="bullet"/>
      <w:lvlText w:val="•"/>
      <w:lvlJc w:val="left"/>
      <w:pPr>
        <w:ind w:left="4158" w:hanging="284"/>
      </w:pPr>
      <w:rPr>
        <w:rFonts w:hint="default"/>
        <w:lang w:val="da-DY" w:eastAsia="da-DY" w:bidi="da-DY"/>
      </w:rPr>
    </w:lvl>
    <w:lvl w:ilvl="5">
      <w:start w:val="0"/>
      <w:numFmt w:val="bullet"/>
      <w:lvlText w:val="•"/>
      <w:lvlJc w:val="left"/>
      <w:pPr>
        <w:ind w:left="4487" w:hanging="284"/>
      </w:pPr>
      <w:rPr>
        <w:rFonts w:hint="default"/>
        <w:lang w:val="da-DY" w:eastAsia="da-DY" w:bidi="da-DY"/>
      </w:rPr>
    </w:lvl>
    <w:lvl w:ilvl="6">
      <w:start w:val="0"/>
      <w:numFmt w:val="bullet"/>
      <w:lvlText w:val="•"/>
      <w:lvlJc w:val="left"/>
      <w:pPr>
        <w:ind w:left="4817" w:hanging="284"/>
      </w:pPr>
      <w:rPr>
        <w:rFonts w:hint="default"/>
        <w:lang w:val="da-DY" w:eastAsia="da-DY" w:bidi="da-DY"/>
      </w:rPr>
    </w:lvl>
    <w:lvl w:ilvl="7">
      <w:start w:val="0"/>
      <w:numFmt w:val="bullet"/>
      <w:lvlText w:val="•"/>
      <w:lvlJc w:val="left"/>
      <w:pPr>
        <w:ind w:left="5146" w:hanging="284"/>
      </w:pPr>
      <w:rPr>
        <w:rFonts w:hint="default"/>
        <w:lang w:val="da-DY" w:eastAsia="da-DY" w:bidi="da-DY"/>
      </w:rPr>
    </w:lvl>
    <w:lvl w:ilvl="8">
      <w:start w:val="0"/>
      <w:numFmt w:val="bullet"/>
      <w:lvlText w:val="•"/>
      <w:lvlJc w:val="left"/>
      <w:pPr>
        <w:ind w:left="5475" w:hanging="284"/>
      </w:pPr>
      <w:rPr>
        <w:rFonts w:hint="default"/>
        <w:lang w:val="da-DY" w:eastAsia="da-DY" w:bidi="da-DY"/>
      </w:rPr>
    </w:lvl>
  </w:abstractNum>
  <w:abstractNum w:abstractNumId="4">
    <w:multiLevelType w:val="hybridMultilevel"/>
    <w:lvl w:ilvl="0">
      <w:start w:val="6"/>
      <w:numFmt w:val="decimal"/>
      <w:lvlText w:val="%1"/>
      <w:lvlJc w:val="left"/>
      <w:pPr>
        <w:ind w:left="3641" w:hanging="992"/>
        <w:jc w:val="left"/>
      </w:pPr>
      <w:rPr>
        <w:rFonts w:hint="default"/>
        <w:lang w:val="da-DY" w:eastAsia="da-DY" w:bidi="da-DY"/>
      </w:rPr>
    </w:lvl>
    <w:lvl w:ilvl="1">
      <w:start w:val="3"/>
      <w:numFmt w:val="decimal"/>
      <w:lvlText w:val="%1.%2"/>
      <w:lvlJc w:val="left"/>
      <w:pPr>
        <w:ind w:left="3641" w:hanging="992"/>
        <w:jc w:val="left"/>
      </w:pPr>
      <w:rPr>
        <w:rFonts w:hint="default"/>
        <w:lang w:val="da-DY" w:eastAsia="da-DY" w:bidi="da-DY"/>
      </w:rPr>
    </w:lvl>
    <w:lvl w:ilvl="2">
      <w:start w:val="1"/>
      <w:numFmt w:val="decimal"/>
      <w:lvlText w:val="%1.%2.%3"/>
      <w:lvlJc w:val="left"/>
      <w:pPr>
        <w:ind w:left="3641" w:hanging="992"/>
        <w:jc w:val="left"/>
      </w:pPr>
      <w:rPr>
        <w:rFonts w:hint="default" w:ascii="Verdana" w:hAnsi="Verdana" w:eastAsia="Verdana" w:cs="Verdana"/>
        <w:spacing w:val="-2"/>
        <w:w w:val="100"/>
        <w:sz w:val="18"/>
        <w:szCs w:val="18"/>
        <w:lang w:val="da-DY" w:eastAsia="da-DY" w:bidi="da-DY"/>
      </w:rPr>
    </w:lvl>
    <w:lvl w:ilvl="3">
      <w:start w:val="0"/>
      <w:numFmt w:val="bullet"/>
      <w:lvlText w:val="•"/>
      <w:lvlJc w:val="left"/>
      <w:pPr>
        <w:ind w:left="5795" w:hanging="992"/>
      </w:pPr>
      <w:rPr>
        <w:rFonts w:hint="default"/>
        <w:lang w:val="da-DY" w:eastAsia="da-DY" w:bidi="da-DY"/>
      </w:rPr>
    </w:lvl>
    <w:lvl w:ilvl="4">
      <w:start w:val="0"/>
      <w:numFmt w:val="bullet"/>
      <w:lvlText w:val="•"/>
      <w:lvlJc w:val="left"/>
      <w:pPr>
        <w:ind w:left="6514" w:hanging="992"/>
      </w:pPr>
      <w:rPr>
        <w:rFonts w:hint="default"/>
        <w:lang w:val="da-DY" w:eastAsia="da-DY" w:bidi="da-DY"/>
      </w:rPr>
    </w:lvl>
    <w:lvl w:ilvl="5">
      <w:start w:val="0"/>
      <w:numFmt w:val="bullet"/>
      <w:lvlText w:val="•"/>
      <w:lvlJc w:val="left"/>
      <w:pPr>
        <w:ind w:left="7233" w:hanging="992"/>
      </w:pPr>
      <w:rPr>
        <w:rFonts w:hint="default"/>
        <w:lang w:val="da-DY" w:eastAsia="da-DY" w:bidi="da-DY"/>
      </w:rPr>
    </w:lvl>
    <w:lvl w:ilvl="6">
      <w:start w:val="0"/>
      <w:numFmt w:val="bullet"/>
      <w:lvlText w:val="•"/>
      <w:lvlJc w:val="left"/>
      <w:pPr>
        <w:ind w:left="7951" w:hanging="992"/>
      </w:pPr>
      <w:rPr>
        <w:rFonts w:hint="default"/>
        <w:lang w:val="da-DY" w:eastAsia="da-DY" w:bidi="da-DY"/>
      </w:rPr>
    </w:lvl>
    <w:lvl w:ilvl="7">
      <w:start w:val="0"/>
      <w:numFmt w:val="bullet"/>
      <w:lvlText w:val="•"/>
      <w:lvlJc w:val="left"/>
      <w:pPr>
        <w:ind w:left="8670" w:hanging="992"/>
      </w:pPr>
      <w:rPr>
        <w:rFonts w:hint="default"/>
        <w:lang w:val="da-DY" w:eastAsia="da-DY" w:bidi="da-DY"/>
      </w:rPr>
    </w:lvl>
    <w:lvl w:ilvl="8">
      <w:start w:val="0"/>
      <w:numFmt w:val="bullet"/>
      <w:lvlText w:val="•"/>
      <w:lvlJc w:val="left"/>
      <w:pPr>
        <w:ind w:left="9389" w:hanging="992"/>
      </w:pPr>
      <w:rPr>
        <w:rFonts w:hint="default"/>
        <w:lang w:val="da-DY" w:eastAsia="da-DY" w:bidi="da-DY"/>
      </w:rPr>
    </w:lvl>
  </w:abstractNum>
  <w:abstractNum w:abstractNumId="3">
    <w:multiLevelType w:val="hybridMultilevel"/>
    <w:lvl w:ilvl="0">
      <w:start w:val="3"/>
      <w:numFmt w:val="decimal"/>
      <w:lvlText w:val="%1"/>
      <w:lvlJc w:val="left"/>
      <w:pPr>
        <w:ind w:left="3641" w:hanging="992"/>
        <w:jc w:val="left"/>
      </w:pPr>
      <w:rPr>
        <w:rFonts w:hint="default"/>
        <w:lang w:val="da-DY" w:eastAsia="da-DY" w:bidi="da-DY"/>
      </w:rPr>
    </w:lvl>
    <w:lvl w:ilvl="1">
      <w:start w:val="3"/>
      <w:numFmt w:val="decimal"/>
      <w:lvlText w:val="%1.%2"/>
      <w:lvlJc w:val="left"/>
      <w:pPr>
        <w:ind w:left="3641" w:hanging="992"/>
        <w:jc w:val="left"/>
      </w:pPr>
      <w:rPr>
        <w:rFonts w:hint="default"/>
        <w:lang w:val="da-DY" w:eastAsia="da-DY" w:bidi="da-DY"/>
      </w:rPr>
    </w:lvl>
    <w:lvl w:ilvl="2">
      <w:start w:val="1"/>
      <w:numFmt w:val="decimal"/>
      <w:lvlText w:val="%1.%2.%3"/>
      <w:lvlJc w:val="left"/>
      <w:pPr>
        <w:ind w:left="3641" w:hanging="992"/>
        <w:jc w:val="left"/>
      </w:pPr>
      <w:rPr>
        <w:rFonts w:hint="default" w:ascii="Verdana" w:hAnsi="Verdana" w:eastAsia="Verdana" w:cs="Verdana"/>
        <w:spacing w:val="-2"/>
        <w:w w:val="100"/>
        <w:sz w:val="18"/>
        <w:szCs w:val="18"/>
        <w:lang w:val="da-DY" w:eastAsia="da-DY" w:bidi="da-DY"/>
      </w:rPr>
    </w:lvl>
    <w:lvl w:ilvl="3">
      <w:start w:val="0"/>
      <w:numFmt w:val="bullet"/>
      <w:lvlText w:val="•"/>
      <w:lvlJc w:val="left"/>
      <w:pPr>
        <w:ind w:left="5795" w:hanging="992"/>
      </w:pPr>
      <w:rPr>
        <w:rFonts w:hint="default"/>
        <w:lang w:val="da-DY" w:eastAsia="da-DY" w:bidi="da-DY"/>
      </w:rPr>
    </w:lvl>
    <w:lvl w:ilvl="4">
      <w:start w:val="0"/>
      <w:numFmt w:val="bullet"/>
      <w:lvlText w:val="•"/>
      <w:lvlJc w:val="left"/>
      <w:pPr>
        <w:ind w:left="6514" w:hanging="992"/>
      </w:pPr>
      <w:rPr>
        <w:rFonts w:hint="default"/>
        <w:lang w:val="da-DY" w:eastAsia="da-DY" w:bidi="da-DY"/>
      </w:rPr>
    </w:lvl>
    <w:lvl w:ilvl="5">
      <w:start w:val="0"/>
      <w:numFmt w:val="bullet"/>
      <w:lvlText w:val="•"/>
      <w:lvlJc w:val="left"/>
      <w:pPr>
        <w:ind w:left="7233" w:hanging="992"/>
      </w:pPr>
      <w:rPr>
        <w:rFonts w:hint="default"/>
        <w:lang w:val="da-DY" w:eastAsia="da-DY" w:bidi="da-DY"/>
      </w:rPr>
    </w:lvl>
    <w:lvl w:ilvl="6">
      <w:start w:val="0"/>
      <w:numFmt w:val="bullet"/>
      <w:lvlText w:val="•"/>
      <w:lvlJc w:val="left"/>
      <w:pPr>
        <w:ind w:left="7951" w:hanging="992"/>
      </w:pPr>
      <w:rPr>
        <w:rFonts w:hint="default"/>
        <w:lang w:val="da-DY" w:eastAsia="da-DY" w:bidi="da-DY"/>
      </w:rPr>
    </w:lvl>
    <w:lvl w:ilvl="7">
      <w:start w:val="0"/>
      <w:numFmt w:val="bullet"/>
      <w:lvlText w:val="•"/>
      <w:lvlJc w:val="left"/>
      <w:pPr>
        <w:ind w:left="8670" w:hanging="992"/>
      </w:pPr>
      <w:rPr>
        <w:rFonts w:hint="default"/>
        <w:lang w:val="da-DY" w:eastAsia="da-DY" w:bidi="da-DY"/>
      </w:rPr>
    </w:lvl>
    <w:lvl w:ilvl="8">
      <w:start w:val="0"/>
      <w:numFmt w:val="bullet"/>
      <w:lvlText w:val="•"/>
      <w:lvlJc w:val="left"/>
      <w:pPr>
        <w:ind w:left="9389" w:hanging="992"/>
      </w:pPr>
      <w:rPr>
        <w:rFonts w:hint="default"/>
        <w:lang w:val="da-DY" w:eastAsia="da-DY" w:bidi="da-DY"/>
      </w:rPr>
    </w:lvl>
  </w:abstractNum>
  <w:abstractNum w:abstractNumId="2">
    <w:multiLevelType w:val="hybridMultilevel"/>
    <w:lvl w:ilvl="0">
      <w:start w:val="3"/>
      <w:numFmt w:val="decimal"/>
      <w:lvlText w:val="%1"/>
      <w:lvlJc w:val="left"/>
      <w:pPr>
        <w:ind w:left="3641" w:hanging="992"/>
        <w:jc w:val="left"/>
      </w:pPr>
      <w:rPr>
        <w:rFonts w:hint="default"/>
        <w:lang w:val="da-DY" w:eastAsia="da-DY" w:bidi="da-DY"/>
      </w:rPr>
    </w:lvl>
    <w:lvl w:ilvl="1">
      <w:start w:val="1"/>
      <w:numFmt w:val="decimal"/>
      <w:lvlText w:val="%1.%2"/>
      <w:lvlJc w:val="left"/>
      <w:pPr>
        <w:ind w:left="3641" w:hanging="992"/>
        <w:jc w:val="left"/>
      </w:pPr>
      <w:rPr>
        <w:rFonts w:hint="default" w:ascii="Verdana" w:hAnsi="Verdana" w:eastAsia="Verdana" w:cs="Verdana"/>
        <w:spacing w:val="-3"/>
        <w:w w:val="100"/>
        <w:sz w:val="18"/>
        <w:szCs w:val="18"/>
        <w:lang w:val="da-DY" w:eastAsia="da-DY" w:bidi="da-DY"/>
      </w:rPr>
    </w:lvl>
    <w:lvl w:ilvl="2">
      <w:start w:val="1"/>
      <w:numFmt w:val="decimal"/>
      <w:lvlText w:val="%1.%2.%3"/>
      <w:lvlJc w:val="left"/>
      <w:pPr>
        <w:ind w:left="3641" w:hanging="992"/>
        <w:jc w:val="left"/>
      </w:pPr>
      <w:rPr>
        <w:rFonts w:hint="default" w:ascii="Verdana" w:hAnsi="Verdana" w:eastAsia="Verdana" w:cs="Verdana"/>
        <w:spacing w:val="-4"/>
        <w:w w:val="100"/>
        <w:sz w:val="18"/>
        <w:szCs w:val="18"/>
        <w:lang w:val="da-DY" w:eastAsia="da-DY" w:bidi="da-DY"/>
      </w:rPr>
    </w:lvl>
    <w:lvl w:ilvl="3">
      <w:start w:val="0"/>
      <w:numFmt w:val="bullet"/>
      <w:lvlText w:val="•"/>
      <w:lvlJc w:val="left"/>
      <w:pPr>
        <w:ind w:left="5795" w:hanging="992"/>
      </w:pPr>
      <w:rPr>
        <w:rFonts w:hint="default"/>
        <w:lang w:val="da-DY" w:eastAsia="da-DY" w:bidi="da-DY"/>
      </w:rPr>
    </w:lvl>
    <w:lvl w:ilvl="4">
      <w:start w:val="0"/>
      <w:numFmt w:val="bullet"/>
      <w:lvlText w:val="•"/>
      <w:lvlJc w:val="left"/>
      <w:pPr>
        <w:ind w:left="6514" w:hanging="992"/>
      </w:pPr>
      <w:rPr>
        <w:rFonts w:hint="default"/>
        <w:lang w:val="da-DY" w:eastAsia="da-DY" w:bidi="da-DY"/>
      </w:rPr>
    </w:lvl>
    <w:lvl w:ilvl="5">
      <w:start w:val="0"/>
      <w:numFmt w:val="bullet"/>
      <w:lvlText w:val="•"/>
      <w:lvlJc w:val="left"/>
      <w:pPr>
        <w:ind w:left="7233" w:hanging="992"/>
      </w:pPr>
      <w:rPr>
        <w:rFonts w:hint="default"/>
        <w:lang w:val="da-DY" w:eastAsia="da-DY" w:bidi="da-DY"/>
      </w:rPr>
    </w:lvl>
    <w:lvl w:ilvl="6">
      <w:start w:val="0"/>
      <w:numFmt w:val="bullet"/>
      <w:lvlText w:val="•"/>
      <w:lvlJc w:val="left"/>
      <w:pPr>
        <w:ind w:left="7951" w:hanging="992"/>
      </w:pPr>
      <w:rPr>
        <w:rFonts w:hint="default"/>
        <w:lang w:val="da-DY" w:eastAsia="da-DY" w:bidi="da-DY"/>
      </w:rPr>
    </w:lvl>
    <w:lvl w:ilvl="7">
      <w:start w:val="0"/>
      <w:numFmt w:val="bullet"/>
      <w:lvlText w:val="•"/>
      <w:lvlJc w:val="left"/>
      <w:pPr>
        <w:ind w:left="8670" w:hanging="992"/>
      </w:pPr>
      <w:rPr>
        <w:rFonts w:hint="default"/>
        <w:lang w:val="da-DY" w:eastAsia="da-DY" w:bidi="da-DY"/>
      </w:rPr>
    </w:lvl>
    <w:lvl w:ilvl="8">
      <w:start w:val="0"/>
      <w:numFmt w:val="bullet"/>
      <w:lvlText w:val="•"/>
      <w:lvlJc w:val="left"/>
      <w:pPr>
        <w:ind w:left="9389" w:hanging="992"/>
      </w:pPr>
      <w:rPr>
        <w:rFonts w:hint="default"/>
        <w:lang w:val="da-DY" w:eastAsia="da-DY" w:bidi="da-DY"/>
      </w:rPr>
    </w:lvl>
  </w:abstractNum>
  <w:abstractNum w:abstractNumId="1">
    <w:multiLevelType w:val="hybridMultilevel"/>
    <w:lvl w:ilvl="0">
      <w:start w:val="2"/>
      <w:numFmt w:val="decimal"/>
      <w:lvlText w:val="%1"/>
      <w:lvlJc w:val="left"/>
      <w:pPr>
        <w:ind w:left="3641" w:hanging="992"/>
        <w:jc w:val="left"/>
      </w:pPr>
      <w:rPr>
        <w:rFonts w:hint="default"/>
        <w:lang w:val="da-DY" w:eastAsia="da-DY" w:bidi="da-DY"/>
      </w:rPr>
    </w:lvl>
    <w:lvl w:ilvl="1">
      <w:start w:val="4"/>
      <w:numFmt w:val="decimal"/>
      <w:lvlText w:val="%1.%2"/>
      <w:lvlJc w:val="left"/>
      <w:pPr>
        <w:ind w:left="3641" w:hanging="992"/>
        <w:jc w:val="left"/>
      </w:pPr>
      <w:rPr>
        <w:rFonts w:hint="default" w:ascii="Verdana" w:hAnsi="Verdana" w:eastAsia="Verdana" w:cs="Verdana"/>
        <w:spacing w:val="-2"/>
        <w:w w:val="100"/>
        <w:sz w:val="18"/>
        <w:szCs w:val="18"/>
        <w:lang w:val="da-DY" w:eastAsia="da-DY" w:bidi="da-DY"/>
      </w:rPr>
    </w:lvl>
    <w:lvl w:ilvl="2">
      <w:start w:val="1"/>
      <w:numFmt w:val="decimal"/>
      <w:lvlText w:val="%1.%2.%3"/>
      <w:lvlJc w:val="left"/>
      <w:pPr>
        <w:ind w:left="3641" w:hanging="992"/>
        <w:jc w:val="left"/>
      </w:pPr>
      <w:rPr>
        <w:rFonts w:hint="default" w:ascii="Verdana" w:hAnsi="Verdana" w:eastAsia="Verdana" w:cs="Verdana"/>
        <w:spacing w:val="-2"/>
        <w:w w:val="100"/>
        <w:sz w:val="18"/>
        <w:szCs w:val="18"/>
        <w:lang w:val="da-DY" w:eastAsia="da-DY" w:bidi="da-DY"/>
      </w:rPr>
    </w:lvl>
    <w:lvl w:ilvl="3">
      <w:start w:val="0"/>
      <w:numFmt w:val="bullet"/>
      <w:lvlText w:val="•"/>
      <w:lvlJc w:val="left"/>
      <w:pPr>
        <w:ind w:left="5795" w:hanging="992"/>
      </w:pPr>
      <w:rPr>
        <w:rFonts w:hint="default"/>
        <w:lang w:val="da-DY" w:eastAsia="da-DY" w:bidi="da-DY"/>
      </w:rPr>
    </w:lvl>
    <w:lvl w:ilvl="4">
      <w:start w:val="0"/>
      <w:numFmt w:val="bullet"/>
      <w:lvlText w:val="•"/>
      <w:lvlJc w:val="left"/>
      <w:pPr>
        <w:ind w:left="6514" w:hanging="992"/>
      </w:pPr>
      <w:rPr>
        <w:rFonts w:hint="default"/>
        <w:lang w:val="da-DY" w:eastAsia="da-DY" w:bidi="da-DY"/>
      </w:rPr>
    </w:lvl>
    <w:lvl w:ilvl="5">
      <w:start w:val="0"/>
      <w:numFmt w:val="bullet"/>
      <w:lvlText w:val="•"/>
      <w:lvlJc w:val="left"/>
      <w:pPr>
        <w:ind w:left="7233" w:hanging="992"/>
      </w:pPr>
      <w:rPr>
        <w:rFonts w:hint="default"/>
        <w:lang w:val="da-DY" w:eastAsia="da-DY" w:bidi="da-DY"/>
      </w:rPr>
    </w:lvl>
    <w:lvl w:ilvl="6">
      <w:start w:val="0"/>
      <w:numFmt w:val="bullet"/>
      <w:lvlText w:val="•"/>
      <w:lvlJc w:val="left"/>
      <w:pPr>
        <w:ind w:left="7951" w:hanging="992"/>
      </w:pPr>
      <w:rPr>
        <w:rFonts w:hint="default"/>
        <w:lang w:val="da-DY" w:eastAsia="da-DY" w:bidi="da-DY"/>
      </w:rPr>
    </w:lvl>
    <w:lvl w:ilvl="7">
      <w:start w:val="0"/>
      <w:numFmt w:val="bullet"/>
      <w:lvlText w:val="•"/>
      <w:lvlJc w:val="left"/>
      <w:pPr>
        <w:ind w:left="8670" w:hanging="992"/>
      </w:pPr>
      <w:rPr>
        <w:rFonts w:hint="default"/>
        <w:lang w:val="da-DY" w:eastAsia="da-DY" w:bidi="da-DY"/>
      </w:rPr>
    </w:lvl>
    <w:lvl w:ilvl="8">
      <w:start w:val="0"/>
      <w:numFmt w:val="bullet"/>
      <w:lvlText w:val="•"/>
      <w:lvlJc w:val="left"/>
      <w:pPr>
        <w:ind w:left="9389" w:hanging="992"/>
      </w:pPr>
      <w:rPr>
        <w:rFonts w:hint="default"/>
        <w:lang w:val="da-DY" w:eastAsia="da-DY" w:bidi="da-DY"/>
      </w:rPr>
    </w:lvl>
  </w:abstractNum>
  <w:abstractNum w:abstractNumId="0">
    <w:multiLevelType w:val="hybridMultilevel"/>
    <w:lvl w:ilvl="0">
      <w:start w:val="5"/>
      <w:numFmt w:val="decimalZero"/>
      <w:lvlText w:val="%1."/>
      <w:lvlJc w:val="left"/>
      <w:pPr>
        <w:ind w:left="603" w:hanging="240"/>
        <w:jc w:val="left"/>
      </w:pPr>
      <w:rPr>
        <w:rFonts w:hint="default" w:ascii="Verdana" w:hAnsi="Verdana" w:eastAsia="Verdana" w:cs="Verdana"/>
        <w:spacing w:val="-2"/>
        <w:w w:val="100"/>
        <w:sz w:val="12"/>
        <w:szCs w:val="12"/>
        <w:lang w:val="da-DY" w:eastAsia="da-DY" w:bidi="da-DY"/>
      </w:rPr>
    </w:lvl>
    <w:lvl w:ilvl="1">
      <w:start w:val="1"/>
      <w:numFmt w:val="decimal"/>
      <w:lvlText w:val="%2"/>
      <w:lvlJc w:val="left"/>
      <w:pPr>
        <w:ind w:left="3641" w:hanging="992"/>
        <w:jc w:val="left"/>
      </w:pPr>
      <w:rPr>
        <w:rFonts w:hint="default" w:ascii="Verdana" w:hAnsi="Verdana" w:eastAsia="Verdana" w:cs="Verdana"/>
        <w:b/>
        <w:bCs/>
        <w:spacing w:val="-2"/>
        <w:w w:val="100"/>
        <w:sz w:val="18"/>
        <w:szCs w:val="18"/>
        <w:lang w:val="da-DY" w:eastAsia="da-DY" w:bidi="da-DY"/>
      </w:rPr>
    </w:lvl>
    <w:lvl w:ilvl="2">
      <w:start w:val="1"/>
      <w:numFmt w:val="decimal"/>
      <w:lvlText w:val="%2.%3"/>
      <w:lvlJc w:val="left"/>
      <w:pPr>
        <w:ind w:left="3641" w:hanging="992"/>
        <w:jc w:val="left"/>
      </w:pPr>
      <w:rPr>
        <w:rFonts w:hint="default" w:ascii="Verdana" w:hAnsi="Verdana" w:eastAsia="Verdana" w:cs="Verdana"/>
        <w:spacing w:val="-2"/>
        <w:w w:val="100"/>
        <w:sz w:val="18"/>
        <w:szCs w:val="18"/>
        <w:lang w:val="da-DY" w:eastAsia="da-DY" w:bidi="da-DY"/>
      </w:rPr>
    </w:lvl>
    <w:lvl w:ilvl="3">
      <w:start w:val="1"/>
      <w:numFmt w:val="decimal"/>
      <w:lvlText w:val="%2.%3.%4"/>
      <w:lvlJc w:val="left"/>
      <w:pPr>
        <w:ind w:left="3641" w:hanging="992"/>
        <w:jc w:val="left"/>
      </w:pPr>
      <w:rPr>
        <w:rFonts w:hint="default" w:ascii="Verdana" w:hAnsi="Verdana" w:eastAsia="Verdana" w:cs="Verdana"/>
        <w:spacing w:val="-2"/>
        <w:w w:val="100"/>
        <w:sz w:val="18"/>
        <w:szCs w:val="18"/>
        <w:lang w:val="da-DY" w:eastAsia="da-DY" w:bidi="da-DY"/>
      </w:rPr>
    </w:lvl>
    <w:lvl w:ilvl="4">
      <w:start w:val="0"/>
      <w:numFmt w:val="bullet"/>
      <w:lvlText w:val="•"/>
      <w:lvlJc w:val="left"/>
      <w:pPr>
        <w:ind w:left="4455" w:hanging="992"/>
      </w:pPr>
      <w:rPr>
        <w:rFonts w:hint="default"/>
        <w:lang w:val="da-DY" w:eastAsia="da-DY" w:bidi="da-DY"/>
      </w:rPr>
    </w:lvl>
    <w:lvl w:ilvl="5">
      <w:start w:val="0"/>
      <w:numFmt w:val="bullet"/>
      <w:lvlText w:val="•"/>
      <w:lvlJc w:val="left"/>
      <w:pPr>
        <w:ind w:left="4727" w:hanging="992"/>
      </w:pPr>
      <w:rPr>
        <w:rFonts w:hint="default"/>
        <w:lang w:val="da-DY" w:eastAsia="da-DY" w:bidi="da-DY"/>
      </w:rPr>
    </w:lvl>
    <w:lvl w:ilvl="6">
      <w:start w:val="0"/>
      <w:numFmt w:val="bullet"/>
      <w:lvlText w:val="•"/>
      <w:lvlJc w:val="left"/>
      <w:pPr>
        <w:ind w:left="4999" w:hanging="992"/>
      </w:pPr>
      <w:rPr>
        <w:rFonts w:hint="default"/>
        <w:lang w:val="da-DY" w:eastAsia="da-DY" w:bidi="da-DY"/>
      </w:rPr>
    </w:lvl>
    <w:lvl w:ilvl="7">
      <w:start w:val="0"/>
      <w:numFmt w:val="bullet"/>
      <w:lvlText w:val="•"/>
      <w:lvlJc w:val="left"/>
      <w:pPr>
        <w:ind w:left="5271" w:hanging="992"/>
      </w:pPr>
      <w:rPr>
        <w:rFonts w:hint="default"/>
        <w:lang w:val="da-DY" w:eastAsia="da-DY" w:bidi="da-DY"/>
      </w:rPr>
    </w:lvl>
    <w:lvl w:ilvl="8">
      <w:start w:val="0"/>
      <w:numFmt w:val="bullet"/>
      <w:lvlText w:val="•"/>
      <w:lvlJc w:val="left"/>
      <w:pPr>
        <w:ind w:left="5543" w:hanging="992"/>
      </w:pPr>
      <w:rPr>
        <w:rFonts w:hint="default"/>
        <w:lang w:val="da-DY" w:eastAsia="da-DY" w:bidi="da-DY"/>
      </w:rPr>
    </w:lvl>
  </w:abstract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da-DY" w:eastAsia="da-DY" w:bidi="da-DY"/>
    </w:rPr>
  </w:style>
  <w:style w:styleId="TOC1" w:type="paragraph">
    <w:name w:val="TOC 1"/>
    <w:basedOn w:val="Normal"/>
    <w:uiPriority w:val="1"/>
    <w:qFormat/>
    <w:pPr>
      <w:spacing w:before="382"/>
      <w:ind w:left="3641" w:hanging="992"/>
    </w:pPr>
    <w:rPr>
      <w:rFonts w:ascii="Verdana" w:hAnsi="Verdana" w:eastAsia="Verdana" w:cs="Verdana"/>
      <w:b/>
      <w:bCs/>
      <w:sz w:val="18"/>
      <w:szCs w:val="18"/>
      <w:lang w:val="da-DY" w:eastAsia="da-DY" w:bidi="da-DY"/>
    </w:rPr>
  </w:style>
  <w:style w:styleId="TOC2" w:type="paragraph">
    <w:name w:val="TOC 2"/>
    <w:basedOn w:val="Normal"/>
    <w:uiPriority w:val="1"/>
    <w:qFormat/>
    <w:pPr>
      <w:spacing w:before="122"/>
      <w:ind w:left="3641" w:hanging="992"/>
    </w:pPr>
    <w:rPr>
      <w:rFonts w:ascii="Verdana" w:hAnsi="Verdana" w:eastAsia="Verdana" w:cs="Verdana"/>
      <w:sz w:val="18"/>
      <w:szCs w:val="18"/>
      <w:lang w:val="da-DY" w:eastAsia="da-DY" w:bidi="da-DY"/>
    </w:rPr>
  </w:style>
  <w:style w:styleId="TOC3" w:type="paragraph">
    <w:name w:val="TOC 3"/>
    <w:basedOn w:val="Normal"/>
    <w:uiPriority w:val="1"/>
    <w:qFormat/>
    <w:pPr>
      <w:spacing w:before="22"/>
      <w:ind w:left="3641"/>
    </w:pPr>
    <w:rPr>
      <w:rFonts w:ascii="Verdana" w:hAnsi="Verdana" w:eastAsia="Verdana" w:cs="Verdana"/>
      <w:sz w:val="18"/>
      <w:szCs w:val="18"/>
      <w:lang w:val="da-DY" w:eastAsia="da-DY" w:bidi="da-DY"/>
    </w:rPr>
  </w:style>
  <w:style w:styleId="BodyText" w:type="paragraph">
    <w:name w:val="Body Text"/>
    <w:basedOn w:val="Normal"/>
    <w:uiPriority w:val="1"/>
    <w:qFormat/>
    <w:pPr/>
    <w:rPr>
      <w:rFonts w:ascii="Verdana" w:hAnsi="Verdana" w:eastAsia="Verdana" w:cs="Verdana"/>
      <w:sz w:val="17"/>
      <w:szCs w:val="17"/>
      <w:lang w:val="da-DY" w:eastAsia="da-DY" w:bidi="da-DY"/>
    </w:rPr>
  </w:style>
  <w:style w:styleId="Heading1" w:type="paragraph">
    <w:name w:val="Heading 1"/>
    <w:basedOn w:val="Normal"/>
    <w:uiPriority w:val="1"/>
    <w:qFormat/>
    <w:pPr>
      <w:spacing w:before="101"/>
      <w:ind w:left="2649" w:hanging="427"/>
      <w:outlineLvl w:val="1"/>
    </w:pPr>
    <w:rPr>
      <w:rFonts w:ascii="Verdana" w:hAnsi="Verdana" w:eastAsia="Verdana" w:cs="Verdana"/>
      <w:b/>
      <w:bCs/>
      <w:sz w:val="28"/>
      <w:szCs w:val="28"/>
      <w:lang w:val="da-DY" w:eastAsia="da-DY" w:bidi="da-DY"/>
    </w:rPr>
  </w:style>
  <w:style w:styleId="Heading2" w:type="paragraph">
    <w:name w:val="Heading 2"/>
    <w:basedOn w:val="Normal"/>
    <w:uiPriority w:val="1"/>
    <w:qFormat/>
    <w:pPr>
      <w:ind w:left="2649" w:hanging="655"/>
      <w:outlineLvl w:val="2"/>
    </w:pPr>
    <w:rPr>
      <w:rFonts w:ascii="Verdana" w:hAnsi="Verdana" w:eastAsia="Verdana" w:cs="Verdana"/>
      <w:b/>
      <w:bCs/>
      <w:sz w:val="24"/>
      <w:szCs w:val="24"/>
      <w:lang w:val="da-DY" w:eastAsia="da-DY" w:bidi="da-DY"/>
    </w:rPr>
  </w:style>
  <w:style w:styleId="Heading3" w:type="paragraph">
    <w:name w:val="Heading 3"/>
    <w:basedOn w:val="Normal"/>
    <w:uiPriority w:val="1"/>
    <w:qFormat/>
    <w:pPr>
      <w:ind w:left="2649" w:hanging="799"/>
      <w:outlineLvl w:val="3"/>
    </w:pPr>
    <w:rPr>
      <w:rFonts w:ascii="Verdana" w:hAnsi="Verdana" w:eastAsia="Verdana" w:cs="Verdana"/>
      <w:b/>
      <w:bCs/>
      <w:sz w:val="20"/>
      <w:szCs w:val="20"/>
      <w:lang w:val="da-DY" w:eastAsia="da-DY" w:bidi="da-DY"/>
    </w:rPr>
  </w:style>
  <w:style w:styleId="Heading4" w:type="paragraph">
    <w:name w:val="Heading 4"/>
    <w:basedOn w:val="Normal"/>
    <w:uiPriority w:val="1"/>
    <w:qFormat/>
    <w:pPr>
      <w:ind w:left="2649"/>
      <w:outlineLvl w:val="4"/>
    </w:pPr>
    <w:rPr>
      <w:rFonts w:ascii="Verdana" w:hAnsi="Verdana" w:eastAsia="Verdana" w:cs="Verdana"/>
      <w:b/>
      <w:bCs/>
      <w:sz w:val="17"/>
      <w:szCs w:val="17"/>
      <w:lang w:val="da-DY" w:eastAsia="da-DY" w:bidi="da-DY"/>
    </w:rPr>
  </w:style>
  <w:style w:styleId="ListParagraph" w:type="paragraph">
    <w:name w:val="List Paragraph"/>
    <w:basedOn w:val="Normal"/>
    <w:uiPriority w:val="1"/>
    <w:qFormat/>
    <w:pPr>
      <w:ind w:left="3641" w:hanging="992"/>
    </w:pPr>
    <w:rPr>
      <w:rFonts w:ascii="Verdana" w:hAnsi="Verdana" w:eastAsia="Verdana" w:cs="Verdana"/>
      <w:lang w:val="da-DY" w:eastAsia="da-DY" w:bidi="da-DY"/>
    </w:rPr>
  </w:style>
  <w:style w:styleId="TableParagraph" w:type="paragraph">
    <w:name w:val="Table Paragraph"/>
    <w:basedOn w:val="Normal"/>
    <w:uiPriority w:val="1"/>
    <w:qFormat/>
    <w:pPr/>
    <w:rPr>
      <w:rFonts w:ascii="Verdana" w:hAnsi="Verdana" w:eastAsia="Verdana" w:cs="Verdana"/>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hyperlink" Target="http://www.niras.dk/"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esri.com/esri-news/arcuser/spring-2018/gis-and-bim-integration-leads-to-smart-communities" TargetMode="External"/><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https://www.retsinformation.dk/Forms/R0710.aspx?id=144517" TargetMode="External"/><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s://www.buildingsmart.org/standards/" TargetMode="External"/><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hyperlink" Target="https://bips.dk/files/news_files/idm_-_dk-gov-area.pdf" TargetMode="External"/><Relationship Id="rId28" Type="http://schemas.openxmlformats.org/officeDocument/2006/relationships/hyperlink" Target="http://www.blis-project.org/IAI-MVD/reporting/listMVDs_4.php" TargetMode="External"/><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hyperlink" Target="https://ens.dk/sites/ens.dk/files/Energibesparelser/kommuner_og_regioners_brug_af_data_i_energieffektiviseringsindsatsen.pdf" TargetMode="External"/><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jpe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jpeg"/><Relationship Id="rId61" Type="http://schemas.openxmlformats.org/officeDocument/2006/relationships/image" Target="media/image49.png"/><Relationship Id="rId62" Type="http://schemas.openxmlformats.org/officeDocument/2006/relationships/hyperlink" Target="https://www.w3.org/TR/dwbp/#ReuseVocabularies" TargetMode="External"/><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Hallstrøm Eriksen</dc:creator>
  <dcterms:created xsi:type="dcterms:W3CDTF">2019-09-16T10:41:01Z</dcterms:created>
  <dcterms:modified xsi:type="dcterms:W3CDTF">2019-09-16T10:41:01Z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2019-02-06T00:00:00Z</vt:filetime>
  </property>
  <property fmtid="{D5CDD505-2E9C-101B-9397-08002B2CF9AE}" pid="3" name="Creator">
    <vt:lpwstr>Microsoft® Word 2016</vt:lpwstr>
  </property>
  <property fmtid="{D5CDD505-2E9C-101B-9397-08002B2CF9AE}" pid="4" name="LastSaved">
    <vt:filetime>2019-09-16T00:00:00Z</vt:filetime>
  </property>
</Properties>
</file>