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235" w:right="0" w:firstLine="0"/>
        <w:jc w:val="left"/>
        <w:rPr>
          <w:sz w:val="14"/>
        </w:rPr>
      </w:pPr>
      <w:r>
        <w:rPr>
          <w:sz w:val="14"/>
        </w:rPr>
        <w:t>Til</w:t>
      </w:r>
    </w:p>
    <w:p>
      <w:pPr>
        <w:spacing w:before="23"/>
        <w:ind w:left="235" w:right="0" w:firstLine="0"/>
        <w:jc w:val="left"/>
        <w:rPr>
          <w:b/>
          <w:sz w:val="18"/>
        </w:rPr>
      </w:pPr>
      <w:r>
        <w:rPr>
          <w:b/>
          <w:sz w:val="18"/>
        </w:rPr>
        <w:t>Styrelsen for Forskning og Innovation</w:t>
      </w:r>
    </w:p>
    <w:p>
      <w:pPr>
        <w:pStyle w:val="BodyText"/>
        <w:spacing w:before="4"/>
        <w:rPr>
          <w:b/>
          <w:sz w:val="25"/>
        </w:rPr>
      </w:pPr>
    </w:p>
    <w:p>
      <w:pPr>
        <w:spacing w:before="1"/>
        <w:ind w:left="235" w:right="0" w:firstLine="0"/>
        <w:jc w:val="left"/>
        <w:rPr>
          <w:sz w:val="14"/>
        </w:rPr>
      </w:pPr>
      <w:r>
        <w:rPr>
          <w:sz w:val="14"/>
        </w:rPr>
        <w:t>Dokumenttype</w:t>
      </w:r>
    </w:p>
    <w:p>
      <w:pPr>
        <w:spacing w:before="22"/>
        <w:ind w:left="235" w:right="0" w:firstLine="0"/>
        <w:jc w:val="left"/>
        <w:rPr>
          <w:b/>
          <w:sz w:val="18"/>
        </w:rPr>
      </w:pPr>
      <w:r>
        <w:rPr>
          <w:b/>
          <w:sz w:val="18"/>
        </w:rPr>
        <w:t>Rapport</w:t>
      </w:r>
    </w:p>
    <w:p>
      <w:pPr>
        <w:pStyle w:val="BodyText"/>
        <w:spacing w:before="5"/>
        <w:rPr>
          <w:b/>
          <w:sz w:val="25"/>
        </w:rPr>
      </w:pPr>
    </w:p>
    <w:p>
      <w:pPr>
        <w:spacing w:before="0"/>
        <w:ind w:left="235" w:right="0" w:firstLine="0"/>
        <w:jc w:val="left"/>
        <w:rPr>
          <w:sz w:val="14"/>
        </w:rPr>
      </w:pPr>
      <w:r>
        <w:rPr>
          <w:sz w:val="14"/>
        </w:rPr>
        <w:t>Dato</w:t>
      </w:r>
    </w:p>
    <w:p>
      <w:pPr>
        <w:spacing w:before="22"/>
        <w:ind w:left="235" w:right="0" w:firstLine="0"/>
        <w:jc w:val="left"/>
        <w:rPr>
          <w:b/>
          <w:sz w:val="18"/>
        </w:rPr>
      </w:pPr>
      <w:r>
        <w:rPr>
          <w:b/>
          <w:sz w:val="18"/>
        </w:rPr>
        <w:t>Maj 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3" w:lineRule="auto" w:before="235"/>
        <w:ind w:left="230" w:right="2872" w:firstLine="0"/>
        <w:jc w:val="left"/>
        <w:rPr>
          <w:b/>
          <w:sz w:val="52"/>
        </w:rPr>
      </w:pPr>
      <w:r>
        <w:rPr>
          <w:b/>
          <w:color w:val="4D4D4D"/>
          <w:sz w:val="52"/>
        </w:rPr>
        <w:t>ANALYSE- OG EVIDENSGRUNDLAG FOR </w:t>
      </w:r>
      <w:r>
        <w:rPr>
          <w:b/>
          <w:color w:val="009DDF"/>
          <w:sz w:val="52"/>
        </w:rPr>
        <w:t>RUMOMRÅDET I DANMARK</w:t>
      </w:r>
    </w:p>
    <w:p>
      <w:pPr>
        <w:pStyle w:val="BodyText"/>
        <w:rPr>
          <w:b/>
          <w:sz w:val="20"/>
        </w:rPr>
      </w:pPr>
    </w:p>
    <w:p>
      <w:pPr>
        <w:pStyle w:val="BodyText"/>
        <w:spacing w:before="6"/>
        <w:rPr>
          <w:b/>
          <w:sz w:val="25"/>
        </w:rPr>
      </w:pPr>
      <w:r>
        <w:rPr/>
        <w:drawing>
          <wp:anchor distT="0" distB="0" distL="0" distR="0" allowOverlap="1" layoutInCell="1" locked="0" behindDoc="0" simplePos="0" relativeHeight="0">
            <wp:simplePos x="0" y="0"/>
            <wp:positionH relativeFrom="page">
              <wp:posOffset>1016635</wp:posOffset>
            </wp:positionH>
            <wp:positionV relativeFrom="paragraph">
              <wp:posOffset>221534</wp:posOffset>
            </wp:positionV>
            <wp:extent cx="5577706" cy="335280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577706" cy="3352800"/>
                    </a:xfrm>
                    <a:prstGeom prst="rect">
                      <a:avLst/>
                    </a:prstGeom>
                  </pic:spPr>
                </pic:pic>
              </a:graphicData>
            </a:graphic>
          </wp:anchor>
        </w:drawing>
      </w:r>
      <w:r>
        <w:rPr/>
        <w:pict>
          <v:shape style="position:absolute;margin-left:59.630867pt;margin-top:309.038025pt;width:90.5pt;height:18.6pt;mso-position-horizontal-relative:page;mso-position-vertical-relative:paragraph;z-index:-1000;mso-wrap-distance-left:0;mso-wrap-distance-right:0" coordorigin="1193,6181" coordsize="1810,372" path="m2416,6181l1269,6181,1234,6185,1210,6199,1197,6223,1193,6257,1193,6476,1197,6510,1210,6534,1234,6548,1269,6552,2926,6552,2961,6548,2984,6534,2998,6510,3002,6476,3002,6454,2378,6454,2369,6452,1384,6452,1375,6446,1375,6281,1384,6274,1652,6274,1655,6271,2396,6271,2416,6181xm2542,6321l2465,6321,2469,6330,2472,6340,2474,6351,2474,6353,2475,6362,2468,6398,2448,6427,2417,6447,2378,6454,3002,6454,3002,6451,2551,6451,2542,6444,2542,6321xm1446,6394l1416,6394,1416,6446,1407,6452,1495,6452,1490,6449,1485,6442,1446,6394xm1652,6274l1458,6274,1474,6275,1488,6279,1500,6285,1510,6292,1517,6301,1522,6310,1524,6321,1525,6330,1525,6333,1523,6352,1516,6367,1505,6379,1490,6387,1517,6419,1520,6424,1524,6427,1524,6444,1514,6452,1588,6452,1579,6446,1579,6429,1581,6426,1644,6286,1649,6277,1652,6274xm1708,6411l1628,6411,1615,6441,1612,6449,1606,6452,1730,6452,1723,6449,1720,6441,1708,6411xm2380,6271l1681,6271,1688,6277,1693,6286,1755,6426,1757,6429,1757,6446,1748,6452,1826,6452,1818,6446,1818,6279,1829,6272,2371,6272,2380,6271xm1857,6346l1857,6446,1848,6452,1966,6452,1958,6446,1958,6407,1900,6407,1895,6404,1890,6397,1857,6346xm2371,6272l1987,6272,1998,6279,1998,6446,1990,6452,2369,6452,2360,6451,2083,6451,2074,6444,2074,6281,2083,6274,2363,6274,2371,6272xm2363,6274l2159,6274,2173,6275,2186,6278,2197,6283,2206,6289,2215,6297,2218,6307,2218,6321,2216,6333,2211,6344,2204,6352,2194,6359,2208,6365,2219,6374,2226,6386,2228,6402,2223,6424,2210,6439,2188,6448,2161,6451,2360,6451,2340,6447,2310,6428,2291,6399,2284,6362,2291,6327,2311,6298,2342,6278,2363,6274xm2735,6272l2574,6272,2583,6279,2583,6416,2666,6416,2674,6422,2674,6444,2666,6451,2735,6451,2726,6444,2726,6279,2735,6272xm3002,6272l2757,6272,2765,6279,2765,6416,2850,6416,2857,6422,2857,6444,2850,6451,3002,6451,3002,6272xm2179,6377l2113,6377,2113,6417,2177,6417,2189,6411,2189,6386,2179,6377xm2387,6307l2378,6307,2356,6312,2339,6324,2328,6341,2324,6362,2329,6384,2340,6401,2358,6413,2380,6417,2402,6413,2419,6402,2430,6384,2432,6377,2377,6377,2372,6374,2387,6307xm1958,6344l1924,6397,1921,6404,1916,6407,1958,6407,1958,6344xm1667,6319l1642,6377,1693,6377,1667,6319xm2926,6181l2542,6181,2377,6377,2432,6377,2434,6362,2434,6357,2433,6351,2431,6346,2465,6321,2542,6321,2542,6279,2551,6272,3002,6272,3002,6257,2998,6223,2984,6199,2961,6185,2926,6181xm1473,6309l1416,6309,1416,6361,1454,6361,1468,6359,1477,6353,1483,6345,1485,6334,1485,6317,1473,6309xm1966,6272l1850,6272,1857,6276,1862,6284,1909,6359,1960,6276,1966,6272xm2169,6307l2113,6307,2113,6346,2167,6346,2179,6341,2179,6314,2169,6307xm2396,6271l2390,6271,2395,6272,2396,6271xe" filled="true" fillcolor="#009ddf" stroked="false">
            <v:path arrowok="t"/>
            <v:fill type="solid"/>
            <w10:wrap type="topAndBottom"/>
          </v:shape>
        </w:pict>
      </w:r>
      <w:r>
        <w:rPr/>
        <w:drawing>
          <wp:anchor distT="0" distB="0" distL="0" distR="0" allowOverlap="1" layoutInCell="1" locked="0" behindDoc="0" simplePos="0" relativeHeight="2">
            <wp:simplePos x="0" y="0"/>
            <wp:positionH relativeFrom="page">
              <wp:posOffset>5560695</wp:posOffset>
            </wp:positionH>
            <wp:positionV relativeFrom="paragraph">
              <wp:posOffset>3772454</wp:posOffset>
            </wp:positionV>
            <wp:extent cx="1238394" cy="55778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38394" cy="557784"/>
                    </a:xfrm>
                    <a:prstGeom prst="rect">
                      <a:avLst/>
                    </a:prstGeom>
                  </pic:spPr>
                </pic:pic>
              </a:graphicData>
            </a:graphic>
          </wp:anchor>
        </w:drawing>
      </w:r>
    </w:p>
    <w:p>
      <w:pPr>
        <w:pStyle w:val="BodyText"/>
        <w:rPr>
          <w:b/>
          <w:sz w:val="20"/>
        </w:rPr>
      </w:pPr>
    </w:p>
    <w:p>
      <w:pPr>
        <w:spacing w:after="0"/>
        <w:rPr>
          <w:sz w:val="20"/>
        </w:rPr>
        <w:sectPr>
          <w:type w:val="continuous"/>
          <w:pgSz w:w="11910" w:h="16840"/>
          <w:pgMar w:top="1400" w:bottom="280" w:left="960" w:right="0"/>
        </w:sectPr>
      </w:pPr>
    </w:p>
    <w:p>
      <w:pPr>
        <w:spacing w:line="249" w:lineRule="auto" w:before="76"/>
        <w:ind w:left="230" w:right="5863" w:firstLine="0"/>
        <w:jc w:val="left"/>
        <w:rPr>
          <w:b/>
          <w:sz w:val="22"/>
        </w:rPr>
      </w:pPr>
      <w:r>
        <w:rPr>
          <w:b/>
          <w:color w:val="797766"/>
          <w:sz w:val="22"/>
        </w:rPr>
        <w:t>ANALYSE- OG EVIDENSGRUNDLAG FOR </w:t>
      </w:r>
      <w:r>
        <w:rPr>
          <w:b/>
          <w:color w:val="009DDF"/>
          <w:sz w:val="22"/>
        </w:rPr>
        <w:t>RUMOMRÅDET I DANMARK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1"/>
        <w:ind w:left="230" w:right="0" w:firstLine="0"/>
        <w:jc w:val="left"/>
        <w:rPr>
          <w:b/>
          <w:sz w:val="22"/>
        </w:rPr>
      </w:pPr>
      <w:r>
        <w:rPr>
          <w:b/>
          <w:color w:val="009DDF"/>
          <w:sz w:val="22"/>
        </w:rPr>
        <w:t>FORFATTERE</w:t>
      </w:r>
    </w:p>
    <w:p>
      <w:pPr>
        <w:pStyle w:val="BodyText"/>
        <w:rPr>
          <w:b/>
          <w:sz w:val="26"/>
        </w:rPr>
      </w:pPr>
    </w:p>
    <w:p>
      <w:pPr>
        <w:pStyle w:val="BodyText"/>
        <w:spacing w:before="167"/>
        <w:ind w:left="230"/>
      </w:pPr>
      <w:r>
        <w:rPr/>
        <w:t>Brian Landbo,</w:t>
      </w:r>
    </w:p>
    <w:p>
      <w:pPr>
        <w:pStyle w:val="BodyText"/>
        <w:spacing w:before="2"/>
        <w:ind w:left="230" w:right="5627"/>
      </w:pPr>
      <w:r>
        <w:rPr/>
        <w:t>Managing Consultant, Rambøll Management Consulting, </w:t>
      </w:r>
      <w:hyperlink r:id="rId7">
        <w:r>
          <w:rPr>
            <w:color w:val="009DDF"/>
          </w:rPr>
          <w:t>brla@ramboll.com</w:t>
        </w:r>
      </w:hyperlink>
    </w:p>
    <w:p>
      <w:pPr>
        <w:pStyle w:val="BodyText"/>
        <w:spacing w:before="11"/>
        <w:rPr>
          <w:sz w:val="17"/>
        </w:rPr>
      </w:pPr>
    </w:p>
    <w:p>
      <w:pPr>
        <w:pStyle w:val="BodyText"/>
        <w:spacing w:line="219" w:lineRule="exact"/>
        <w:ind w:left="230"/>
      </w:pPr>
      <w:r>
        <w:rPr/>
        <w:t>Rasmus Flytkjær,</w:t>
      </w:r>
    </w:p>
    <w:p>
      <w:pPr>
        <w:pStyle w:val="BodyText"/>
        <w:ind w:left="230" w:right="6297"/>
      </w:pPr>
      <w:r>
        <w:rPr/>
        <w:t>Senior Economic Consultant, London Economics, </w:t>
      </w:r>
      <w:hyperlink r:id="rId8">
        <w:r>
          <w:rPr>
            <w:color w:val="009DDF"/>
          </w:rPr>
          <w:t>rflytkjaer@londoneconomics.co.uk</w:t>
        </w:r>
      </w:hyperlink>
    </w:p>
    <w:p>
      <w:pPr>
        <w:pStyle w:val="BodyText"/>
        <w:spacing w:before="1"/>
      </w:pPr>
    </w:p>
    <w:p>
      <w:pPr>
        <w:pStyle w:val="BodyText"/>
        <w:spacing w:line="219" w:lineRule="exact" w:before="1"/>
        <w:ind w:left="230"/>
      </w:pPr>
      <w:r>
        <w:rPr/>
        <w:t>Tune Bergholt Hammer,</w:t>
      </w:r>
    </w:p>
    <w:p>
      <w:pPr>
        <w:pStyle w:val="BodyText"/>
        <w:ind w:left="230" w:right="5627"/>
      </w:pPr>
      <w:r>
        <w:rPr/>
        <w:t>Managing Consultant, Rambøll Management Consulting, </w:t>
      </w:r>
      <w:hyperlink r:id="rId9">
        <w:r>
          <w:rPr>
            <w:color w:val="009DDF"/>
          </w:rPr>
          <w:t>tuh@ramboll.com</w:t>
        </w:r>
      </w:hyperlink>
    </w:p>
    <w:p>
      <w:pPr>
        <w:pStyle w:val="BodyText"/>
        <w:spacing w:before="10"/>
        <w:rPr>
          <w:sz w:val="17"/>
        </w:rPr>
      </w:pPr>
    </w:p>
    <w:p>
      <w:pPr>
        <w:pStyle w:val="BodyText"/>
        <w:spacing w:line="219" w:lineRule="exact"/>
        <w:ind w:left="230"/>
      </w:pPr>
      <w:r>
        <w:rPr/>
        <w:t>Sofie Friis,</w:t>
      </w:r>
    </w:p>
    <w:p>
      <w:pPr>
        <w:pStyle w:val="BodyText"/>
        <w:spacing w:line="242" w:lineRule="auto"/>
        <w:ind w:left="230" w:right="6020"/>
      </w:pPr>
      <w:r>
        <w:rPr/>
        <w:t>Project Assistant, Rambøll Management Consulting, </w:t>
      </w:r>
      <w:hyperlink r:id="rId10">
        <w:r>
          <w:rPr>
            <w:color w:val="009DDF"/>
          </w:rPr>
          <w:t>sfr@ramboll.com</w:t>
        </w:r>
      </w:hyperlink>
    </w:p>
    <w:p>
      <w:pPr>
        <w:pStyle w:val="BodyText"/>
        <w:rPr>
          <w:sz w:val="22"/>
        </w:rPr>
      </w:pPr>
    </w:p>
    <w:p>
      <w:pPr>
        <w:pStyle w:val="BodyText"/>
        <w:spacing w:before="8"/>
        <w:rPr>
          <w:sz w:val="31"/>
        </w:rPr>
      </w:pPr>
    </w:p>
    <w:p>
      <w:pPr>
        <w:pStyle w:val="BodyText"/>
        <w:spacing w:before="1"/>
        <w:ind w:left="230"/>
      </w:pPr>
      <w:r>
        <w:rPr/>
        <w:t>ISBN 978-87-93468-11-5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pgSz w:w="11910" w:h="16840"/>
          <w:pgMar w:top="1400" w:bottom="280" w:left="960" w:right="0"/>
        </w:sectPr>
      </w:pPr>
    </w:p>
    <w:p>
      <w:pPr>
        <w:spacing w:line="280" w:lineRule="auto" w:before="99"/>
        <w:ind w:left="230" w:right="167" w:firstLine="0"/>
        <w:jc w:val="left"/>
        <w:rPr>
          <w:sz w:val="14"/>
        </w:rPr>
      </w:pPr>
      <w:r>
        <w:rPr>
          <w:sz w:val="14"/>
        </w:rPr>
        <w:t>Rambøll Hannemanns Allé 53</w:t>
      </w:r>
    </w:p>
    <w:p>
      <w:pPr>
        <w:spacing w:line="283" w:lineRule="auto" w:before="0"/>
        <w:ind w:left="230" w:right="27" w:firstLine="0"/>
        <w:jc w:val="left"/>
        <w:rPr>
          <w:sz w:val="14"/>
        </w:rPr>
      </w:pPr>
      <w:r>
        <w:rPr>
          <w:sz w:val="14"/>
        </w:rPr>
        <w:t>DK-2300 København </w:t>
      </w:r>
      <w:r>
        <w:rPr>
          <w:spacing w:val="-11"/>
          <w:sz w:val="14"/>
        </w:rPr>
        <w:t>S </w:t>
      </w:r>
      <w:r>
        <w:rPr>
          <w:sz w:val="14"/>
        </w:rPr>
        <w:t>T +45 5161</w:t>
      </w:r>
      <w:r>
        <w:rPr>
          <w:spacing w:val="9"/>
          <w:sz w:val="14"/>
        </w:rPr>
        <w:t> </w:t>
      </w:r>
      <w:r>
        <w:rPr>
          <w:sz w:val="14"/>
        </w:rPr>
        <w:t>1000</w:t>
      </w:r>
    </w:p>
    <w:p>
      <w:pPr>
        <w:spacing w:line="169" w:lineRule="exact" w:before="0"/>
        <w:ind w:left="230" w:right="0" w:firstLine="0"/>
        <w:jc w:val="left"/>
        <w:rPr>
          <w:sz w:val="14"/>
        </w:rPr>
      </w:pPr>
      <w:r>
        <w:rPr>
          <w:sz w:val="14"/>
        </w:rPr>
        <w:t>F  +45 5161</w:t>
      </w:r>
      <w:r>
        <w:rPr>
          <w:spacing w:val="11"/>
          <w:sz w:val="14"/>
        </w:rPr>
        <w:t> </w:t>
      </w:r>
      <w:r>
        <w:rPr>
          <w:sz w:val="14"/>
        </w:rPr>
        <w:t>1001</w:t>
      </w:r>
    </w:p>
    <w:p>
      <w:pPr>
        <w:spacing w:before="29"/>
        <w:ind w:left="230" w:right="0" w:firstLine="0"/>
        <w:jc w:val="left"/>
        <w:rPr>
          <w:sz w:val="14"/>
        </w:rPr>
      </w:pPr>
      <w:hyperlink r:id="rId11">
        <w:r>
          <w:rPr>
            <w:sz w:val="14"/>
          </w:rPr>
          <w:t>www.ramboll.dk</w:t>
        </w:r>
      </w:hyperlink>
    </w:p>
    <w:p>
      <w:pPr>
        <w:spacing w:before="99"/>
        <w:ind w:left="230" w:right="0" w:firstLine="0"/>
        <w:jc w:val="left"/>
        <w:rPr>
          <w:sz w:val="14"/>
        </w:rPr>
      </w:pPr>
      <w:r>
        <w:rPr/>
        <w:br w:type="column"/>
      </w:r>
      <w:r>
        <w:rPr>
          <w:sz w:val="14"/>
        </w:rPr>
        <w:t>London Economics</w:t>
      </w:r>
    </w:p>
    <w:p>
      <w:pPr>
        <w:spacing w:line="280" w:lineRule="auto" w:before="29"/>
        <w:ind w:left="230" w:right="2254" w:firstLine="0"/>
        <w:jc w:val="left"/>
        <w:rPr>
          <w:sz w:val="14"/>
        </w:rPr>
      </w:pPr>
      <w:r>
        <w:rPr>
          <w:sz w:val="14"/>
        </w:rPr>
        <w:t>Somerset House, New Wing, Strand UK-WC2R 1LA, London</w:t>
      </w:r>
    </w:p>
    <w:p>
      <w:pPr>
        <w:spacing w:before="3"/>
        <w:ind w:left="230" w:right="0" w:firstLine="0"/>
        <w:jc w:val="left"/>
        <w:rPr>
          <w:sz w:val="14"/>
        </w:rPr>
      </w:pPr>
      <w:r>
        <w:rPr>
          <w:sz w:val="14"/>
        </w:rPr>
        <w:t>T  +44 203 701</w:t>
      </w:r>
      <w:r>
        <w:rPr>
          <w:spacing w:val="3"/>
          <w:sz w:val="14"/>
        </w:rPr>
        <w:t> </w:t>
      </w:r>
      <w:r>
        <w:rPr>
          <w:sz w:val="14"/>
        </w:rPr>
        <w:t>7700</w:t>
      </w:r>
    </w:p>
    <w:p>
      <w:pPr>
        <w:spacing w:before="29"/>
        <w:ind w:left="230" w:right="0" w:firstLine="0"/>
        <w:jc w:val="left"/>
        <w:rPr>
          <w:sz w:val="14"/>
        </w:rPr>
      </w:pPr>
      <w:r>
        <w:rPr>
          <w:sz w:val="14"/>
        </w:rPr>
        <w:t>F  +44 203 701</w:t>
      </w:r>
      <w:r>
        <w:rPr>
          <w:spacing w:val="9"/>
          <w:sz w:val="14"/>
        </w:rPr>
        <w:t> </w:t>
      </w:r>
      <w:r>
        <w:rPr>
          <w:sz w:val="14"/>
        </w:rPr>
        <w:t>7701</w:t>
      </w:r>
    </w:p>
    <w:p>
      <w:pPr>
        <w:spacing w:before="29"/>
        <w:ind w:left="230" w:right="0" w:firstLine="0"/>
        <w:jc w:val="left"/>
        <w:rPr>
          <w:sz w:val="14"/>
        </w:rPr>
      </w:pPr>
      <w:hyperlink r:id="rId12">
        <w:r>
          <w:rPr>
            <w:sz w:val="14"/>
          </w:rPr>
          <w:t>www.londoneconomics.co.uk</w:t>
        </w:r>
      </w:hyperlink>
    </w:p>
    <w:p>
      <w:pPr>
        <w:spacing w:after="0"/>
        <w:jc w:val="left"/>
        <w:rPr>
          <w:sz w:val="14"/>
        </w:rPr>
        <w:sectPr>
          <w:type w:val="continuous"/>
          <w:pgSz w:w="11910" w:h="16840"/>
          <w:pgMar w:top="1400" w:bottom="280" w:left="960" w:right="0"/>
          <w:cols w:num="2" w:equalWidth="0">
            <w:col w:w="1870" w:space="4061"/>
            <w:col w:w="5019"/>
          </w:cols>
        </w:sectPr>
      </w:pPr>
    </w:p>
    <w:p>
      <w:pPr>
        <w:spacing w:before="70"/>
        <w:ind w:left="230" w:right="0" w:firstLine="0"/>
        <w:jc w:val="left"/>
        <w:rPr>
          <w:sz w:val="13"/>
        </w:rPr>
      </w:pPr>
      <w:r>
        <w:rPr>
          <w:sz w:val="13"/>
        </w:rPr>
        <w:t>Analyse- og evidensgrundlag for rumområdet i Danmark</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9"/>
        </w:rPr>
      </w:pPr>
    </w:p>
    <w:p>
      <w:pPr>
        <w:spacing w:before="0"/>
        <w:ind w:left="230" w:right="0" w:firstLine="0"/>
        <w:jc w:val="left"/>
        <w:rPr>
          <w:b/>
          <w:sz w:val="22"/>
        </w:rPr>
      </w:pPr>
      <w:r>
        <w:rPr>
          <w:b/>
          <w:color w:val="009DDF"/>
          <w:sz w:val="22"/>
        </w:rPr>
        <w:t>INDHOLD</w:t>
      </w:r>
    </w:p>
    <w:sdt>
      <w:sdtPr>
        <w:docPartObj>
          <w:docPartGallery w:val="Table of Contents"/>
          <w:docPartUnique/>
        </w:docPartObj>
      </w:sdtPr>
      <w:sdtEndPr/>
      <w:sdtContent>
        <w:p>
          <w:pPr>
            <w:pStyle w:val="TOC1"/>
            <w:numPr>
              <w:ilvl w:val="0"/>
              <w:numId w:val="1"/>
            </w:numPr>
            <w:tabs>
              <w:tab w:pos="1082" w:val="left" w:leader="none"/>
              <w:tab w:pos="1083" w:val="left" w:leader="none"/>
              <w:tab w:pos="9305" w:val="right" w:leader="none"/>
            </w:tabs>
            <w:spacing w:line="240" w:lineRule="auto" w:before="205" w:after="0"/>
            <w:ind w:left="1082" w:right="0" w:hanging="852"/>
            <w:jc w:val="left"/>
          </w:pPr>
          <w:hyperlink w:history="true" w:anchor="_bookmark0">
            <w:r>
              <w:rPr/>
              <w:t>RESUMÉ</w:t>
              <w:tab/>
              <w:t>1</w:t>
            </w:r>
          </w:hyperlink>
        </w:p>
        <w:p>
          <w:pPr>
            <w:pStyle w:val="TOC2"/>
            <w:numPr>
              <w:ilvl w:val="1"/>
              <w:numId w:val="1"/>
            </w:numPr>
            <w:tabs>
              <w:tab w:pos="1082" w:val="left" w:leader="none"/>
              <w:tab w:pos="1083" w:val="left" w:leader="none"/>
              <w:tab w:pos="9303" w:val="right" w:leader="none"/>
            </w:tabs>
            <w:spacing w:line="240" w:lineRule="auto" w:before="21" w:after="0"/>
            <w:ind w:left="1082" w:right="0" w:hanging="852"/>
            <w:jc w:val="left"/>
          </w:pPr>
          <w:hyperlink w:history="true" w:anchor="_bookmark1">
            <w:r>
              <w:rPr/>
              <w:t>De</w:t>
            </w:r>
            <w:r>
              <w:rPr>
                <w:spacing w:val="-1"/>
              </w:rPr>
              <w:t> </w:t>
            </w:r>
            <w:r>
              <w:rPr/>
              <w:t>danske</w:t>
            </w:r>
            <w:r>
              <w:rPr>
                <w:spacing w:val="-1"/>
              </w:rPr>
              <w:t> </w:t>
            </w:r>
            <w:r>
              <w:rPr/>
              <w:t>virksomheder</w:t>
              <w:tab/>
              <w:t>2</w:t>
            </w:r>
          </w:hyperlink>
        </w:p>
        <w:p>
          <w:pPr>
            <w:pStyle w:val="TOC2"/>
            <w:numPr>
              <w:ilvl w:val="1"/>
              <w:numId w:val="1"/>
            </w:numPr>
            <w:tabs>
              <w:tab w:pos="1082" w:val="left" w:leader="none"/>
              <w:tab w:pos="1083" w:val="left" w:leader="none"/>
              <w:tab w:pos="9303" w:val="right" w:leader="none"/>
            </w:tabs>
            <w:spacing w:line="240" w:lineRule="auto" w:before="21" w:after="0"/>
            <w:ind w:left="1082" w:right="0" w:hanging="852"/>
            <w:jc w:val="left"/>
          </w:pPr>
          <w:hyperlink w:history="true" w:anchor="_bookmark2">
            <w:r>
              <w:rPr/>
              <w:t>De</w:t>
            </w:r>
            <w:r>
              <w:rPr>
                <w:spacing w:val="-1"/>
              </w:rPr>
              <w:t> </w:t>
            </w:r>
            <w:r>
              <w:rPr/>
              <w:t>danske</w:t>
            </w:r>
            <w:r>
              <w:rPr>
                <w:spacing w:val="-1"/>
              </w:rPr>
              <w:t> </w:t>
            </w:r>
            <w:r>
              <w:rPr/>
              <w:t>universiteter</w:t>
              <w:tab/>
              <w:t>3</w:t>
            </w:r>
          </w:hyperlink>
        </w:p>
        <w:p>
          <w:pPr>
            <w:pStyle w:val="TOC2"/>
            <w:numPr>
              <w:ilvl w:val="1"/>
              <w:numId w:val="1"/>
            </w:numPr>
            <w:tabs>
              <w:tab w:pos="1082" w:val="left" w:leader="none"/>
              <w:tab w:pos="1083" w:val="left" w:leader="none"/>
              <w:tab w:pos="9303" w:val="right" w:leader="none"/>
            </w:tabs>
            <w:spacing w:line="240" w:lineRule="auto" w:before="21" w:after="0"/>
            <w:ind w:left="1082" w:right="0" w:hanging="852"/>
            <w:jc w:val="left"/>
          </w:pPr>
          <w:hyperlink w:history="true" w:anchor="_bookmark3">
            <w:r>
              <w:rPr/>
              <w:t>De</w:t>
            </w:r>
            <w:r>
              <w:rPr>
                <w:spacing w:val="-1"/>
              </w:rPr>
              <w:t> </w:t>
            </w:r>
            <w:r>
              <w:rPr/>
              <w:t>danske</w:t>
            </w:r>
            <w:r>
              <w:rPr>
                <w:spacing w:val="-1"/>
              </w:rPr>
              <w:t> </w:t>
            </w:r>
            <w:r>
              <w:rPr/>
              <w:t>myndigheder</w:t>
              <w:tab/>
              <w:t>4</w:t>
            </w:r>
          </w:hyperlink>
        </w:p>
        <w:p>
          <w:pPr>
            <w:pStyle w:val="TOC2"/>
            <w:numPr>
              <w:ilvl w:val="1"/>
              <w:numId w:val="1"/>
            </w:numPr>
            <w:tabs>
              <w:tab w:pos="1082" w:val="left" w:leader="none"/>
              <w:tab w:pos="1083" w:val="left" w:leader="none"/>
              <w:tab w:pos="9303" w:val="right" w:leader="none"/>
            </w:tabs>
            <w:spacing w:line="240" w:lineRule="auto" w:before="22" w:after="0"/>
            <w:ind w:left="1082" w:right="0" w:hanging="852"/>
            <w:jc w:val="left"/>
          </w:pPr>
          <w:hyperlink w:history="true" w:anchor="_bookmark4">
            <w:r>
              <w:rPr/>
              <w:t>Samfundsøkonomiske gevinster</w:t>
            </w:r>
            <w:r>
              <w:rPr>
                <w:spacing w:val="-3"/>
              </w:rPr>
              <w:t> </w:t>
            </w:r>
            <w:r>
              <w:rPr/>
              <w:t>ved</w:t>
            </w:r>
            <w:r>
              <w:rPr>
                <w:spacing w:val="-1"/>
              </w:rPr>
              <w:t> </w:t>
            </w:r>
            <w:r>
              <w:rPr/>
              <w:t>rummet</w:t>
              <w:tab/>
              <w:t>5</w:t>
            </w:r>
          </w:hyperlink>
        </w:p>
        <w:p>
          <w:pPr>
            <w:pStyle w:val="TOC2"/>
            <w:numPr>
              <w:ilvl w:val="1"/>
              <w:numId w:val="1"/>
            </w:numPr>
            <w:tabs>
              <w:tab w:pos="1082" w:val="left" w:leader="none"/>
              <w:tab w:pos="1083" w:val="left" w:leader="none"/>
              <w:tab w:pos="9303" w:val="right" w:leader="none"/>
            </w:tabs>
            <w:spacing w:line="240" w:lineRule="auto" w:before="21" w:after="0"/>
            <w:ind w:left="1082" w:right="0" w:hanging="852"/>
            <w:jc w:val="left"/>
          </w:pPr>
          <w:hyperlink w:history="true" w:anchor="_bookmark5">
            <w:r>
              <w:rPr/>
              <w:t>Anvendelsesmuligheder</w:t>
              <w:tab/>
              <w:t>6</w:t>
            </w:r>
          </w:hyperlink>
        </w:p>
        <w:p>
          <w:pPr>
            <w:pStyle w:val="TOC1"/>
            <w:numPr>
              <w:ilvl w:val="0"/>
              <w:numId w:val="1"/>
            </w:numPr>
            <w:tabs>
              <w:tab w:pos="1082" w:val="left" w:leader="none"/>
              <w:tab w:pos="1083" w:val="left" w:leader="none"/>
              <w:tab w:pos="9305" w:val="right" w:leader="none"/>
            </w:tabs>
            <w:spacing w:line="240" w:lineRule="auto" w:before="141" w:after="0"/>
            <w:ind w:left="1082" w:right="0" w:hanging="852"/>
            <w:jc w:val="left"/>
          </w:pPr>
          <w:hyperlink w:history="true" w:anchor="_bookmark6">
            <w:r>
              <w:rPr/>
              <w:t>INDLEDNING</w:t>
              <w:tab/>
              <w:t>7</w:t>
            </w:r>
          </w:hyperlink>
        </w:p>
        <w:p>
          <w:pPr>
            <w:pStyle w:val="TOC2"/>
            <w:numPr>
              <w:ilvl w:val="1"/>
              <w:numId w:val="1"/>
            </w:numPr>
            <w:tabs>
              <w:tab w:pos="1082" w:val="left" w:leader="none"/>
              <w:tab w:pos="1083" w:val="left" w:leader="none"/>
              <w:tab w:pos="9303" w:val="right" w:leader="none"/>
            </w:tabs>
            <w:spacing w:line="240" w:lineRule="auto" w:before="21" w:after="0"/>
            <w:ind w:left="1082" w:right="0" w:hanging="852"/>
            <w:jc w:val="left"/>
          </w:pPr>
          <w:hyperlink w:history="true" w:anchor="_bookmark7">
            <w:r>
              <w:rPr/>
              <w:t>Danmarks</w:t>
            </w:r>
            <w:r>
              <w:rPr>
                <w:spacing w:val="-2"/>
              </w:rPr>
              <w:t> </w:t>
            </w:r>
            <w:r>
              <w:rPr/>
              <w:t>rumhistorie</w:t>
              <w:tab/>
              <w:t>8</w:t>
            </w:r>
          </w:hyperlink>
        </w:p>
        <w:p>
          <w:pPr>
            <w:pStyle w:val="TOC2"/>
            <w:numPr>
              <w:ilvl w:val="1"/>
              <w:numId w:val="1"/>
            </w:numPr>
            <w:tabs>
              <w:tab w:pos="1082" w:val="left" w:leader="none"/>
              <w:tab w:pos="1083" w:val="left" w:leader="none"/>
              <w:tab w:pos="9303" w:val="right" w:leader="none"/>
            </w:tabs>
            <w:spacing w:line="240" w:lineRule="auto" w:before="22" w:after="0"/>
            <w:ind w:left="1082" w:right="0" w:hanging="852"/>
            <w:jc w:val="left"/>
          </w:pPr>
          <w:hyperlink w:history="true" w:anchor="_bookmark8">
            <w:r>
              <w:rPr/>
              <w:t>Terminologi</w:t>
            </w:r>
            <w:r>
              <w:rPr>
                <w:spacing w:val="-1"/>
              </w:rPr>
              <w:t> </w:t>
            </w:r>
            <w:r>
              <w:rPr/>
              <w:t>og</w:t>
            </w:r>
            <w:r>
              <w:rPr>
                <w:spacing w:val="-1"/>
              </w:rPr>
              <w:t> </w:t>
            </w:r>
            <w:r>
              <w:rPr/>
              <w:t>definitioner</w:t>
              <w:tab/>
              <w:t>9</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9">
            <w:r>
              <w:rPr/>
              <w:t>Offentlige</w:t>
            </w:r>
            <w:r>
              <w:rPr>
                <w:spacing w:val="-2"/>
              </w:rPr>
              <w:t> </w:t>
            </w:r>
            <w:r>
              <w:rPr/>
              <w:t>rumudgifter</w:t>
              <w:tab/>
              <w:t>10</w:t>
            </w:r>
          </w:hyperlink>
        </w:p>
        <w:p>
          <w:pPr>
            <w:pStyle w:val="TOC1"/>
            <w:numPr>
              <w:ilvl w:val="0"/>
              <w:numId w:val="1"/>
            </w:numPr>
            <w:tabs>
              <w:tab w:pos="1082" w:val="left" w:leader="none"/>
              <w:tab w:pos="1083" w:val="left" w:leader="none"/>
              <w:tab w:pos="9302" w:val="right" w:leader="none"/>
            </w:tabs>
            <w:spacing w:line="240" w:lineRule="auto" w:before="141" w:after="0"/>
            <w:ind w:left="1082" w:right="0" w:hanging="852"/>
            <w:jc w:val="left"/>
          </w:pPr>
          <w:hyperlink w:history="true" w:anchor="_bookmark12">
            <w:r>
              <w:rPr/>
              <w:t>RUMOMRÅDETS REELLE OMFANG</w:t>
            </w:r>
            <w:r>
              <w:rPr>
                <w:spacing w:val="-1"/>
              </w:rPr>
              <w:t> </w:t>
            </w:r>
            <w:r>
              <w:rPr/>
              <w:t>I</w:t>
            </w:r>
            <w:r>
              <w:rPr>
                <w:spacing w:val="-2"/>
              </w:rPr>
              <w:t> </w:t>
            </w:r>
            <w:r>
              <w:rPr/>
              <w:t>DANMARK</w:t>
              <w:tab/>
              <w:t>14</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13">
            <w:r>
              <w:rPr/>
              <w:t>Definition</w:t>
            </w:r>
            <w:r>
              <w:rPr>
                <w:spacing w:val="-3"/>
              </w:rPr>
              <w:t> </w:t>
            </w:r>
            <w:r>
              <w:rPr/>
              <w:t>af</w:t>
            </w:r>
            <w:r>
              <w:rPr>
                <w:spacing w:val="-2"/>
              </w:rPr>
              <w:t> </w:t>
            </w:r>
            <w:r>
              <w:rPr/>
              <w:t>rumøkonomien</w:t>
              <w:tab/>
              <w:t>14</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15">
            <w:r>
              <w:rPr/>
              <w:t>Identifikation af</w:t>
            </w:r>
            <w:r>
              <w:rPr>
                <w:spacing w:val="-5"/>
              </w:rPr>
              <w:t> </w:t>
            </w:r>
            <w:r>
              <w:rPr/>
              <w:t>relevante</w:t>
            </w:r>
            <w:r>
              <w:rPr>
                <w:spacing w:val="-1"/>
              </w:rPr>
              <w:t> </w:t>
            </w:r>
            <w:r>
              <w:rPr/>
              <w:t>aktører</w:t>
              <w:tab/>
              <w:t>15</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16">
            <w:r>
              <w:rPr/>
              <w:t>Metode</w:t>
              <w:tab/>
              <w:t>16</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17">
            <w:r>
              <w:rPr/>
              <w:t>Erhverv</w:t>
              <w:tab/>
              <w:t>17</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21">
            <w:r>
              <w:rPr/>
              <w:t>De</w:t>
            </w:r>
            <w:r>
              <w:rPr>
                <w:spacing w:val="-1"/>
              </w:rPr>
              <w:t> </w:t>
            </w:r>
            <w:r>
              <w:rPr/>
              <w:t>danske</w:t>
            </w:r>
            <w:r>
              <w:rPr>
                <w:spacing w:val="-1"/>
              </w:rPr>
              <w:t> </w:t>
            </w:r>
            <w:r>
              <w:rPr/>
              <w:t>universiteter</w:t>
              <w:tab/>
              <w:t>21</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22">
            <w:r>
              <w:rPr/>
              <w:t>Offentlige</w:t>
            </w:r>
            <w:r>
              <w:rPr>
                <w:spacing w:val="-2"/>
              </w:rPr>
              <w:t> </w:t>
            </w:r>
            <w:r>
              <w:rPr/>
              <w:t>myndigheder</w:t>
              <w:tab/>
              <w:t>24</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23">
            <w:r>
              <w:rPr/>
              <w:t>Rumprojekters succesrate</w:t>
            </w:r>
            <w:r>
              <w:rPr>
                <w:spacing w:val="-4"/>
              </w:rPr>
              <w:t> </w:t>
            </w:r>
            <w:r>
              <w:rPr/>
              <w:t>i bevillingssystemerne</w:t>
              <w:tab/>
              <w:t>25</w:t>
            </w:r>
          </w:hyperlink>
        </w:p>
        <w:p>
          <w:pPr>
            <w:pStyle w:val="TOC1"/>
            <w:numPr>
              <w:ilvl w:val="0"/>
              <w:numId w:val="1"/>
            </w:numPr>
            <w:tabs>
              <w:tab w:pos="1082" w:val="left" w:leader="none"/>
              <w:tab w:pos="1083" w:val="left" w:leader="none"/>
              <w:tab w:pos="9302" w:val="right" w:leader="none"/>
            </w:tabs>
            <w:spacing w:line="240" w:lineRule="auto" w:before="142" w:after="0"/>
            <w:ind w:left="1082" w:right="0" w:hanging="852"/>
            <w:jc w:val="left"/>
          </w:pPr>
          <w:hyperlink w:history="true" w:anchor="_bookmark24">
            <w:r>
              <w:rPr/>
              <w:t>SAMFUNDSØKONOMISKE</w:t>
            </w:r>
            <w:r>
              <w:rPr>
                <w:spacing w:val="-1"/>
              </w:rPr>
              <w:t> </w:t>
            </w:r>
            <w:r>
              <w:rPr/>
              <w:t>GEVINSTER</w:t>
              <w:tab/>
              <w:t>27</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25">
            <w:r>
              <w:rPr/>
              <w:t>Rummets indflydelse på</w:t>
            </w:r>
            <w:r>
              <w:rPr>
                <w:spacing w:val="-3"/>
              </w:rPr>
              <w:t> </w:t>
            </w:r>
            <w:r>
              <w:rPr/>
              <w:t>andre</w:t>
            </w:r>
            <w:r>
              <w:rPr>
                <w:spacing w:val="-1"/>
              </w:rPr>
              <w:t> </w:t>
            </w:r>
            <w:r>
              <w:rPr/>
              <w:t>brancher</w:t>
              <w:tab/>
              <w:t>27</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26">
            <w:r>
              <w:rPr/>
              <w:t>Samfundsøkonomiske gevinster</w:t>
            </w:r>
            <w:r>
              <w:rPr>
                <w:spacing w:val="-3"/>
              </w:rPr>
              <w:t> </w:t>
            </w:r>
            <w:r>
              <w:rPr/>
              <w:t>ved</w:t>
            </w:r>
            <w:r>
              <w:rPr>
                <w:spacing w:val="-1"/>
              </w:rPr>
              <w:t> </w:t>
            </w:r>
            <w:r>
              <w:rPr/>
              <w:t>rummet</w:t>
              <w:tab/>
              <w:t>29</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33">
            <w:r>
              <w:rPr/>
              <w:t>Gevinster ved brug</w:t>
            </w:r>
            <w:r>
              <w:rPr>
                <w:spacing w:val="-4"/>
              </w:rPr>
              <w:t> </w:t>
            </w:r>
            <w:r>
              <w:rPr/>
              <w:t>af</w:t>
            </w:r>
            <w:r>
              <w:rPr>
                <w:spacing w:val="-2"/>
              </w:rPr>
              <w:t> </w:t>
            </w:r>
            <w:r>
              <w:rPr/>
              <w:t>satellitkommunikation</w:t>
              <w:tab/>
              <w:t>39</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34">
            <w:r>
              <w:rPr/>
              <w:t>Casestudier</w:t>
            </w:r>
            <w:r>
              <w:rPr>
                <w:spacing w:val="-2"/>
              </w:rPr>
              <w:t> </w:t>
            </w:r>
            <w:r>
              <w:rPr/>
              <w:t>af</w:t>
            </w:r>
            <w:r>
              <w:rPr>
                <w:spacing w:val="-2"/>
              </w:rPr>
              <w:t> </w:t>
            </w:r>
            <w:r>
              <w:rPr/>
              <w:t>rumanvendelse</w:t>
              <w:tab/>
              <w:t>40</w:t>
            </w:r>
          </w:hyperlink>
        </w:p>
        <w:p>
          <w:pPr>
            <w:pStyle w:val="TOC1"/>
            <w:numPr>
              <w:ilvl w:val="0"/>
              <w:numId w:val="1"/>
            </w:numPr>
            <w:tabs>
              <w:tab w:pos="1082" w:val="left" w:leader="none"/>
              <w:tab w:pos="1083" w:val="left" w:leader="none"/>
              <w:tab w:pos="9302" w:val="right" w:leader="none"/>
            </w:tabs>
            <w:spacing w:line="240" w:lineRule="auto" w:before="142" w:after="0"/>
            <w:ind w:left="1082" w:right="0" w:hanging="852"/>
            <w:jc w:val="left"/>
          </w:pPr>
          <w:hyperlink w:history="true" w:anchor="_bookmark38">
            <w:r>
              <w:rPr/>
              <w:t>DANMARKS</w:t>
            </w:r>
            <w:r>
              <w:rPr>
                <w:spacing w:val="-1"/>
              </w:rPr>
              <w:t> </w:t>
            </w:r>
            <w:r>
              <w:rPr/>
              <w:t>STYRKEPOSITIONER</w:t>
              <w:tab/>
              <w:t>46</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39">
            <w:r>
              <w:rPr/>
              <w:t>Styrkepositioner i samspillet mellem erhvervsliv, forskning</w:t>
            </w:r>
            <w:r>
              <w:rPr>
                <w:spacing w:val="-13"/>
              </w:rPr>
              <w:t> </w:t>
            </w:r>
            <w:r>
              <w:rPr/>
              <w:t>og</w:t>
            </w:r>
            <w:r>
              <w:rPr>
                <w:spacing w:val="-2"/>
              </w:rPr>
              <w:t> </w:t>
            </w:r>
            <w:r>
              <w:rPr/>
              <w:t>myndigheder</w:t>
              <w:tab/>
              <w:t>46</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40">
            <w:r>
              <w:rPr/>
              <w:t>Erhverv</w:t>
              <w:tab/>
              <w:t>48</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42">
            <w:r>
              <w:rPr/>
              <w:t>Forskning</w:t>
              <w:tab/>
              <w:t>53</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43">
            <w:r>
              <w:rPr/>
              <w:t>Myndighederne</w:t>
              <w:tab/>
              <w:t>57</w:t>
            </w:r>
          </w:hyperlink>
        </w:p>
        <w:p>
          <w:pPr>
            <w:pStyle w:val="TOC1"/>
            <w:numPr>
              <w:ilvl w:val="0"/>
              <w:numId w:val="1"/>
            </w:numPr>
            <w:tabs>
              <w:tab w:pos="1082" w:val="left" w:leader="none"/>
              <w:tab w:pos="1083" w:val="left" w:leader="none"/>
              <w:tab w:pos="9302" w:val="right" w:leader="none"/>
            </w:tabs>
            <w:spacing w:line="240" w:lineRule="auto" w:before="141" w:after="0"/>
            <w:ind w:left="1082" w:right="0" w:hanging="852"/>
            <w:jc w:val="left"/>
          </w:pPr>
          <w:hyperlink w:history="true" w:anchor="_bookmark44">
            <w:r>
              <w:rPr/>
              <w:t>NUVÆRENDE OG FREMTIDIGE</w:t>
            </w:r>
            <w:r>
              <w:rPr>
                <w:spacing w:val="-9"/>
              </w:rPr>
              <w:t> </w:t>
            </w:r>
            <w:r>
              <w:rPr/>
              <w:t>KOMMERCIELLE</w:t>
            </w:r>
            <w:r>
              <w:rPr>
                <w:spacing w:val="-5"/>
              </w:rPr>
              <w:t> </w:t>
            </w:r>
            <w:r>
              <w:rPr/>
              <w:t>ANVENDELSESMULIGHEDER</w:t>
              <w:tab/>
              <w:t>59</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45">
            <w:r>
              <w:rPr/>
              <w:t>Navigation</w:t>
              <w:tab/>
              <w:t>59</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48">
            <w:r>
              <w:rPr/>
              <w:t>Jordobservation</w:t>
              <w:tab/>
              <w:t>63</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1">
            <w:r>
              <w:rPr/>
              <w:t>Satellitkommunikation</w:t>
              <w:tab/>
              <w:t>67</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3">
            <w:r>
              <w:rPr/>
              <w:t>Integrerede</w:t>
            </w:r>
            <w:r>
              <w:rPr>
                <w:spacing w:val="-2"/>
              </w:rPr>
              <w:t> </w:t>
            </w:r>
            <w:r>
              <w:rPr/>
              <w:t>applikationer</w:t>
              <w:tab/>
              <w:t>67</w:t>
            </w:r>
          </w:hyperlink>
        </w:p>
        <w:p>
          <w:pPr>
            <w:pStyle w:val="TOC1"/>
            <w:numPr>
              <w:ilvl w:val="0"/>
              <w:numId w:val="1"/>
            </w:numPr>
            <w:tabs>
              <w:tab w:pos="1082" w:val="left" w:leader="none"/>
              <w:tab w:pos="1083" w:val="left" w:leader="none"/>
              <w:tab w:pos="9302" w:val="right" w:leader="none"/>
            </w:tabs>
            <w:spacing w:line="240" w:lineRule="auto" w:before="142" w:after="0"/>
            <w:ind w:left="1082" w:right="0" w:hanging="852"/>
            <w:jc w:val="left"/>
          </w:pPr>
          <w:hyperlink w:history="true" w:anchor="_bookmark54">
            <w:r>
              <w:rPr/>
              <w:t>MYNDIGHEDERNES BEHOV FOR DATA OG PRODUKTER</w:t>
            </w:r>
            <w:r>
              <w:rPr>
                <w:spacing w:val="-9"/>
              </w:rPr>
              <w:t> </w:t>
            </w:r>
            <w:r>
              <w:rPr/>
              <w:t>FRA</w:t>
            </w:r>
            <w:r>
              <w:rPr>
                <w:spacing w:val="-4"/>
              </w:rPr>
              <w:t> </w:t>
            </w:r>
            <w:r>
              <w:rPr/>
              <w:t>RUMOMRÅDET</w:t>
              <w:tab/>
              <w:t>68</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5">
            <w:r>
              <w:rPr/>
              <w:t>NaturErhvervstyrelsen</w:t>
              <w:tab/>
              <w:t>69</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6">
            <w:r>
              <w:rPr/>
              <w:t>Søfartsstyrelsen</w:t>
              <w:tab/>
              <w:t>70</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7">
            <w:r>
              <w:rPr/>
              <w:t>Danmarks</w:t>
            </w:r>
            <w:r>
              <w:rPr>
                <w:spacing w:val="-2"/>
              </w:rPr>
              <w:t> </w:t>
            </w:r>
            <w:r>
              <w:rPr/>
              <w:t>Meteorologiske</w:t>
            </w:r>
            <w:r>
              <w:rPr>
                <w:spacing w:val="-3"/>
              </w:rPr>
              <w:t> </w:t>
            </w:r>
            <w:r>
              <w:rPr/>
              <w:t>Institut</w:t>
              <w:tab/>
              <w:t>70</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58">
            <w:r>
              <w:rPr/>
              <w:t>Forsvarsministeriet</w:t>
              <w:tab/>
              <w:t>72</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59">
            <w:r>
              <w:rPr/>
              <w:t>Transport- og Bygningsministeriet/Trafik-</w:t>
            </w:r>
            <w:r>
              <w:rPr>
                <w:spacing w:val="-7"/>
              </w:rPr>
              <w:t> </w:t>
            </w:r>
            <w:r>
              <w:rPr/>
              <w:t>og</w:t>
            </w:r>
            <w:r>
              <w:rPr>
                <w:spacing w:val="-1"/>
              </w:rPr>
              <w:t> </w:t>
            </w:r>
            <w:r>
              <w:rPr/>
              <w:t>Byggestyrelsen</w:t>
              <w:tab/>
              <w:t>72</w:t>
            </w:r>
          </w:hyperlink>
        </w:p>
        <w:p>
          <w:pPr>
            <w:pStyle w:val="TOC2"/>
            <w:numPr>
              <w:ilvl w:val="1"/>
              <w:numId w:val="1"/>
            </w:numPr>
            <w:tabs>
              <w:tab w:pos="1082" w:val="left" w:leader="none"/>
              <w:tab w:pos="1083" w:val="left" w:leader="none"/>
              <w:tab w:pos="9307" w:val="right" w:leader="none"/>
            </w:tabs>
            <w:spacing w:line="240" w:lineRule="auto" w:before="22" w:after="0"/>
            <w:ind w:left="1082" w:right="0" w:hanging="852"/>
            <w:jc w:val="left"/>
          </w:pPr>
          <w:hyperlink w:history="true" w:anchor="_bookmark60">
            <w:r>
              <w:rPr/>
              <w:t>Styrelsen for Dataforsyning</w:t>
            </w:r>
            <w:r>
              <w:rPr>
                <w:spacing w:val="-5"/>
              </w:rPr>
              <w:t> </w:t>
            </w:r>
            <w:r>
              <w:rPr/>
              <w:t>og</w:t>
            </w:r>
            <w:r>
              <w:rPr>
                <w:spacing w:val="1"/>
              </w:rPr>
              <w:t> </w:t>
            </w:r>
            <w:r>
              <w:rPr/>
              <w:t>Effektivisering</w:t>
              <w:tab/>
              <w:t>73</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61">
            <w:r>
              <w:rPr/>
              <w:t>Space for Smarter</w:t>
            </w:r>
            <w:r>
              <w:rPr>
                <w:spacing w:val="-4"/>
              </w:rPr>
              <w:t> </w:t>
            </w:r>
            <w:r>
              <w:rPr/>
              <w:t>Government Programme</w:t>
              <w:tab/>
              <w:t>73</w:t>
            </w:r>
          </w:hyperlink>
        </w:p>
        <w:p>
          <w:pPr>
            <w:pStyle w:val="TOC2"/>
            <w:numPr>
              <w:ilvl w:val="1"/>
              <w:numId w:val="1"/>
            </w:numPr>
            <w:tabs>
              <w:tab w:pos="1082" w:val="left" w:leader="none"/>
              <w:tab w:pos="1083" w:val="left" w:leader="none"/>
              <w:tab w:pos="9307" w:val="right" w:leader="none"/>
            </w:tabs>
            <w:spacing w:line="240" w:lineRule="auto" w:before="21" w:after="0"/>
            <w:ind w:left="1082" w:right="0" w:hanging="852"/>
            <w:jc w:val="left"/>
          </w:pPr>
          <w:hyperlink w:history="true" w:anchor="_bookmark62">
            <w:r>
              <w:rPr/>
              <w:t>Case:</w:t>
            </w:r>
            <w:r>
              <w:rPr>
                <w:spacing w:val="-2"/>
              </w:rPr>
              <w:t> </w:t>
            </w:r>
            <w:r>
              <w:rPr/>
              <w:t>Byudvikling</w:t>
              <w:tab/>
              <w:t>75</w:t>
            </w:r>
          </w:hyperlink>
        </w:p>
      </w:sdtContent>
    </w:sdt>
    <w:p>
      <w:pPr>
        <w:pStyle w:val="BodyText"/>
        <w:rPr>
          <w:sz w:val="22"/>
        </w:rPr>
      </w:pPr>
    </w:p>
    <w:p>
      <w:pPr>
        <w:pStyle w:val="BodyText"/>
        <w:spacing w:before="1"/>
      </w:pPr>
    </w:p>
    <w:p>
      <w:pPr>
        <w:spacing w:before="0"/>
        <w:ind w:left="230" w:right="0" w:firstLine="0"/>
        <w:jc w:val="left"/>
        <w:rPr>
          <w:b/>
          <w:sz w:val="22"/>
        </w:rPr>
      </w:pPr>
      <w:r>
        <w:rPr>
          <w:b/>
          <w:color w:val="009DDF"/>
          <w:sz w:val="22"/>
        </w:rPr>
        <w:t>BILAG</w:t>
      </w:r>
    </w:p>
    <w:p>
      <w:pPr>
        <w:pStyle w:val="BodyText"/>
        <w:spacing w:before="208"/>
        <w:ind w:left="230"/>
      </w:pPr>
      <w:hyperlink w:history="true" w:anchor="_bookmark63">
        <w:r>
          <w:rPr/>
          <w:t>Bilag 1: Metodebilag</w:t>
        </w:r>
      </w:hyperlink>
    </w:p>
    <w:p>
      <w:pPr>
        <w:pStyle w:val="BodyText"/>
        <w:spacing w:line="264" w:lineRule="auto" w:before="21"/>
        <w:ind w:left="230" w:right="6464"/>
      </w:pPr>
      <w:hyperlink w:history="true" w:anchor="_bookmark64">
        <w:r>
          <w:rPr/>
          <w:t>Bilag 2: Profiler for interviewede virksomheder</w:t>
        </w:r>
      </w:hyperlink>
      <w:r>
        <w:rPr/>
        <w:t> </w:t>
      </w:r>
      <w:hyperlink w:history="true" w:anchor="_bookmark65">
        <w:r>
          <w:rPr/>
          <w:t>Bilag 3: Værdikædekonvertering</w:t>
        </w:r>
      </w:hyperlink>
    </w:p>
    <w:p>
      <w:pPr>
        <w:pStyle w:val="BodyText"/>
        <w:spacing w:line="217" w:lineRule="exact"/>
        <w:ind w:left="230"/>
      </w:pPr>
      <w:hyperlink w:history="true" w:anchor="_bookmark66">
        <w:r>
          <w:rPr/>
          <w:t>Bilag 4: Satellitmissioner med dansk deltagelse</w:t>
        </w:r>
      </w:hyperlink>
    </w:p>
    <w:p>
      <w:pPr>
        <w:pStyle w:val="BodyText"/>
        <w:spacing w:line="264" w:lineRule="auto" w:before="21"/>
        <w:ind w:left="230" w:right="5299"/>
      </w:pPr>
      <w:hyperlink w:history="true" w:anchor="_bookmark67">
        <w:r>
          <w:rPr/>
          <w:t>Bilag 5: Definitioner og beskivelser af værdikædeelementer</w:t>
        </w:r>
      </w:hyperlink>
      <w:r>
        <w:rPr/>
        <w:t> </w:t>
      </w:r>
      <w:hyperlink w:history="true" w:anchor="_bookmark68">
        <w:r>
          <w:rPr/>
          <w:t>Bilag 6: Virksomhedslister</w:t>
        </w:r>
      </w:hyperlink>
    </w:p>
    <w:p>
      <w:pPr>
        <w:spacing w:after="0" w:line="264" w:lineRule="auto"/>
        <w:sectPr>
          <w:footerReference w:type="default" r:id="rId13"/>
          <w:pgSz w:w="11910" w:h="16840"/>
          <w:pgMar w:footer="887" w:header="0" w:top="580" w:bottom="1080" w:left="960" w:right="0"/>
        </w:sectPr>
      </w:pPr>
    </w:p>
    <w:p>
      <w:pPr>
        <w:pStyle w:val="Heading1"/>
        <w:numPr>
          <w:ilvl w:val="0"/>
          <w:numId w:val="2"/>
        </w:numPr>
        <w:tabs>
          <w:tab w:pos="741" w:val="left" w:leader="none"/>
          <w:tab w:pos="743" w:val="left" w:leader="none"/>
        </w:tabs>
        <w:spacing w:line="240" w:lineRule="auto" w:before="110" w:after="0"/>
        <w:ind w:left="742" w:right="0" w:hanging="624"/>
        <w:jc w:val="left"/>
      </w:pPr>
      <w:bookmarkStart w:name="_bookmark0" w:id="1"/>
      <w:bookmarkEnd w:id="1"/>
      <w:r>
        <w:rPr>
          <w:color w:val="009DDF"/>
        </w:rPr>
        <w:t>R</w:t>
      </w:r>
      <w:r>
        <w:rPr>
          <w:color w:val="009DDF"/>
        </w:rPr>
        <w:t>ESUMÉ</w:t>
      </w:r>
    </w:p>
    <w:p>
      <w:pPr>
        <w:pStyle w:val="BodyText"/>
        <w:spacing w:line="264" w:lineRule="auto" w:before="276"/>
        <w:ind w:left="742" w:right="1181"/>
      </w:pPr>
      <w:r>
        <w:rPr/>
        <w:t>For første gang i Danmarkshistorien har regeringen påbegyndt processen mod formuleringen af en national rumstrategi – en målrettet, langsigtet plan som skal forme og styre udviklingen af den danske rumøkonomi i de kommende årtier. Formålet med denne rapport er at belyse rumområdets omfang og potentialer i Danmark. Rapporten støtter herigennem op omkring formuleringen af en national rumstrategi.</w:t>
      </w:r>
    </w:p>
    <w:p>
      <w:pPr>
        <w:pStyle w:val="BodyText"/>
        <w:spacing w:before="6"/>
        <w:rPr>
          <w:sz w:val="19"/>
        </w:rPr>
      </w:pPr>
    </w:p>
    <w:p>
      <w:pPr>
        <w:pStyle w:val="BodyText"/>
        <w:spacing w:line="264" w:lineRule="auto"/>
        <w:ind w:left="742" w:right="1201"/>
      </w:pPr>
      <w:r>
        <w:rPr/>
        <w:t>Rapporten består foruden dette resumé, af en indledning (kapitel 2) samt fem delanalyser, der tilsammen sigter på at belyse rumområdets omfang og potentialer i Danmark. I de første tre del- analyser (kapitel 3-5) belyses nuværende danske rumrelaterede aktiviteter, samfundsøkonomiske gevinster herved samt specifikke danske styrkepositioner. De sidste to delanalyser (kapitel 6 og 7) belyser dels den eksisterende anvendelse og dels fremtidige anvendelsesmuligheder.</w:t>
      </w:r>
    </w:p>
    <w:p>
      <w:pPr>
        <w:pStyle w:val="BodyText"/>
        <w:spacing w:before="6"/>
        <w:rPr>
          <w:sz w:val="19"/>
        </w:rPr>
      </w:pPr>
    </w:p>
    <w:p>
      <w:pPr>
        <w:pStyle w:val="BodyText"/>
        <w:spacing w:line="264" w:lineRule="auto"/>
        <w:ind w:left="742" w:right="1209"/>
      </w:pPr>
      <w:r>
        <w:rPr/>
        <w:t>Analyserne tager afsæt i to fundamentale typer af rumrelateret aktivitet, nemlig det der relaterer sig til at producere isenkram, der skal forlade jorden og eventuelt sendes i kredsløb, og de proces- ser, der søger at udnytte de muligheder, satellitter i rummet giver. For at opsende isenkram fra jorden kræves i bred forstand et transportmiddel og noget at sende op. I rumterminologi kaldes dette område for ”upstream”. ”Downstream” på den anden side er de aktiviteter, der omhandler kommercialisering og brug af satellitdata og tjenester.</w:t>
      </w:r>
    </w:p>
    <w:p>
      <w:pPr>
        <w:pStyle w:val="BodyText"/>
        <w:spacing w:before="6"/>
        <w:rPr>
          <w:sz w:val="19"/>
        </w:rPr>
      </w:pPr>
    </w:p>
    <w:p>
      <w:pPr>
        <w:pStyle w:val="BodyText"/>
        <w:spacing w:line="264" w:lineRule="auto"/>
        <w:ind w:left="742" w:right="1316"/>
        <w:jc w:val="both"/>
      </w:pPr>
      <w:r>
        <w:rPr/>
        <w:t>Analyserne tager endvidere afsæt i tre satellittyper med relevans for downstream, med specifikke data og produkter tilknyttet (foruden satellittyperne med relevans for downstream, er væsentlige aktiviteter forbundet med produktion og operation af missioner med forskningsfokus):</w:t>
      </w:r>
    </w:p>
    <w:p>
      <w:pPr>
        <w:pStyle w:val="BodyText"/>
        <w:spacing w:before="7"/>
        <w:rPr>
          <w:sz w:val="19"/>
        </w:rPr>
      </w:pPr>
    </w:p>
    <w:p>
      <w:pPr>
        <w:pStyle w:val="ListParagraph"/>
        <w:numPr>
          <w:ilvl w:val="1"/>
          <w:numId w:val="2"/>
        </w:numPr>
        <w:tabs>
          <w:tab w:pos="1082" w:val="left" w:leader="none"/>
          <w:tab w:pos="1083" w:val="left" w:leader="none"/>
        </w:tabs>
        <w:spacing w:line="261" w:lineRule="auto" w:before="0" w:after="0"/>
        <w:ind w:left="1082" w:right="1157" w:hanging="340"/>
        <w:jc w:val="left"/>
        <w:rPr>
          <w:sz w:val="18"/>
        </w:rPr>
      </w:pPr>
      <w:r>
        <w:rPr/>
        <w:pict>
          <v:shape style="position:absolute;margin-left:355.5pt;margin-top:47.218338pt;width:203.35pt;height:285.75pt;mso-position-horizontal-relative:page;mso-position-vertical-relative:paragraph;z-index:1096" type="#_x0000_t202" filled="false" stroked="true" strokeweight=".75pt" strokecolor="#009ddf">
            <v:textbox inset="0,0,0,0">
              <w:txbxContent>
                <w:p>
                  <w:pPr>
                    <w:spacing w:before="0"/>
                    <w:ind w:left="1246" w:right="0" w:firstLine="0"/>
                    <w:jc w:val="left"/>
                    <w:rPr>
                      <w:b/>
                      <w:sz w:val="14"/>
                    </w:rPr>
                  </w:pPr>
                  <w:r>
                    <w:rPr>
                      <w:b/>
                      <w:sz w:val="14"/>
                    </w:rPr>
                    <w:t>Interviewdeltagere</w:t>
                  </w:r>
                </w:p>
                <w:p>
                  <w:pPr>
                    <w:pStyle w:val="BodyText"/>
                    <w:rPr>
                      <w:sz w:val="16"/>
                    </w:rPr>
                  </w:pPr>
                </w:p>
                <w:p>
                  <w:pPr>
                    <w:pStyle w:val="BodyText"/>
                    <w:spacing w:before="1"/>
                    <w:rPr>
                      <w:sz w:val="12"/>
                    </w:rPr>
                  </w:pPr>
                </w:p>
                <w:p>
                  <w:pPr>
                    <w:spacing w:line="360" w:lineRule="auto" w:before="0"/>
                    <w:ind w:left="153" w:right="329" w:firstLine="0"/>
                    <w:jc w:val="left"/>
                    <w:rPr>
                      <w:sz w:val="14"/>
                    </w:rPr>
                  </w:pPr>
                  <w:r>
                    <w:rPr>
                      <w:b/>
                      <w:sz w:val="14"/>
                    </w:rPr>
                    <w:t>Upstream- og downstream-virksomheder </w:t>
                  </w:r>
                  <w:r>
                    <w:rPr>
                      <w:sz w:val="14"/>
                    </w:rPr>
                    <w:t>DHI, DMI, Cobham Satcom, Danish Aerospace Company, FORCE Technology, GomSpace, Hubner</w:t>
                  </w:r>
                </w:p>
                <w:p>
                  <w:pPr>
                    <w:spacing w:before="0"/>
                    <w:ind w:left="153" w:right="0" w:firstLine="0"/>
                    <w:jc w:val="left"/>
                    <w:rPr>
                      <w:sz w:val="14"/>
                    </w:rPr>
                  </w:pPr>
                  <w:r>
                    <w:rPr>
                      <w:sz w:val="14"/>
                    </w:rPr>
                    <w:t>+ Suhner, NaviAir, Terma</w:t>
                  </w:r>
                </w:p>
                <w:p>
                  <w:pPr>
                    <w:pStyle w:val="BodyText"/>
                    <w:spacing w:before="4"/>
                    <w:rPr>
                      <w:sz w:val="20"/>
                    </w:rPr>
                  </w:pPr>
                </w:p>
                <w:p>
                  <w:pPr>
                    <w:spacing w:before="1"/>
                    <w:ind w:left="153" w:right="0" w:firstLine="0"/>
                    <w:jc w:val="left"/>
                    <w:rPr>
                      <w:b/>
                      <w:sz w:val="14"/>
                    </w:rPr>
                  </w:pPr>
                  <w:r>
                    <w:rPr>
                      <w:b/>
                      <w:sz w:val="14"/>
                    </w:rPr>
                    <w:t>Myndigheder</w:t>
                  </w:r>
                </w:p>
                <w:p>
                  <w:pPr>
                    <w:spacing w:line="360" w:lineRule="auto" w:before="84"/>
                    <w:ind w:left="153" w:right="277" w:firstLine="0"/>
                    <w:jc w:val="left"/>
                    <w:rPr>
                      <w:sz w:val="14"/>
                    </w:rPr>
                  </w:pPr>
                  <w:r>
                    <w:rPr>
                      <w:sz w:val="14"/>
                    </w:rPr>
                    <w:t>Beredskabsstyrelsen, Digitaliseringsstyrelsen, Dan- marks Meteorologiske Institut, Forsvarsministeriet, Københavns Kommune, NaturErhvervstyrelsen, Trafik- og Byggestyrelsen, Styrelsen for Dataforsy- ning og Effektivisering, Søfartsstyrelsen</w:t>
                  </w:r>
                </w:p>
                <w:p>
                  <w:pPr>
                    <w:pStyle w:val="BodyText"/>
                    <w:spacing w:before="3"/>
                    <w:rPr>
                      <w:sz w:val="13"/>
                    </w:rPr>
                  </w:pPr>
                </w:p>
                <w:p>
                  <w:pPr>
                    <w:spacing w:before="0"/>
                    <w:ind w:left="153" w:right="0" w:firstLine="0"/>
                    <w:jc w:val="left"/>
                    <w:rPr>
                      <w:b/>
                      <w:sz w:val="14"/>
                    </w:rPr>
                  </w:pPr>
                  <w:r>
                    <w:rPr>
                      <w:b/>
                      <w:sz w:val="14"/>
                    </w:rPr>
                    <w:t>Forskningsinstitutioner</w:t>
                  </w:r>
                </w:p>
                <w:p>
                  <w:pPr>
                    <w:spacing w:line="360" w:lineRule="auto" w:before="85"/>
                    <w:ind w:left="153" w:right="83" w:firstLine="0"/>
                    <w:jc w:val="left"/>
                    <w:rPr>
                      <w:sz w:val="14"/>
                    </w:rPr>
                  </w:pPr>
                  <w:r>
                    <w:rPr>
                      <w:sz w:val="14"/>
                    </w:rPr>
                    <w:t>Aalborg Universitet, Aarhus Universitet, DTU Space, Københavns Universitet (SUND &amp; Science), Syd- dansk Universitet</w:t>
                  </w:r>
                </w:p>
                <w:p>
                  <w:pPr>
                    <w:pStyle w:val="BodyText"/>
                    <w:spacing w:before="3"/>
                    <w:rPr>
                      <w:sz w:val="13"/>
                    </w:rPr>
                  </w:pPr>
                </w:p>
                <w:p>
                  <w:pPr>
                    <w:spacing w:before="0"/>
                    <w:ind w:left="153" w:right="0" w:firstLine="0"/>
                    <w:jc w:val="left"/>
                    <w:rPr>
                      <w:b/>
                      <w:sz w:val="14"/>
                    </w:rPr>
                  </w:pPr>
                  <w:r>
                    <w:rPr>
                      <w:b/>
                      <w:sz w:val="14"/>
                    </w:rPr>
                    <w:t>Nuværende &amp; Potentielle brugere</w:t>
                  </w:r>
                </w:p>
                <w:p>
                  <w:pPr>
                    <w:spacing w:line="360" w:lineRule="auto" w:before="84"/>
                    <w:ind w:left="153" w:right="0" w:firstLine="0"/>
                    <w:jc w:val="left"/>
                    <w:rPr>
                      <w:sz w:val="14"/>
                    </w:rPr>
                  </w:pPr>
                  <w:r>
                    <w:rPr>
                      <w:sz w:val="14"/>
                    </w:rPr>
                    <w:t>Danmarks Rederiforening, Forsikring &amp; Pension, Kriminalforsorgen, Mærsk Oil, Mærsk Line, Rambøll Danmark, SEGES</w:t>
                  </w:r>
                </w:p>
              </w:txbxContent>
            </v:textbox>
            <v:stroke dashstyle="solid"/>
            <w10:wrap type="none"/>
          </v:shape>
        </w:pict>
      </w:r>
      <w:r>
        <w:rPr>
          <w:i/>
          <w:sz w:val="18"/>
        </w:rPr>
        <w:t>Jordobservationssatellitter</w:t>
      </w:r>
      <w:r>
        <w:rPr>
          <w:sz w:val="18"/>
        </w:rPr>
        <w:t>, som EU's Copernicus program, observerer Jordens fysiske træk. Satellitterne bruger eksempelvis radar eller optiske kameraer til at danne data. Jordobservation anvendes til miljø- og overvågningsapplikationer samt genererer de satellitfotos der bruges til vejrmeldinger.</w:t>
      </w:r>
    </w:p>
    <w:p>
      <w:pPr>
        <w:pStyle w:val="ListParagraph"/>
        <w:numPr>
          <w:ilvl w:val="1"/>
          <w:numId w:val="2"/>
        </w:numPr>
        <w:tabs>
          <w:tab w:pos="1082" w:val="left" w:leader="none"/>
          <w:tab w:pos="1083" w:val="left" w:leader="none"/>
        </w:tabs>
        <w:spacing w:line="264" w:lineRule="auto" w:before="5" w:after="0"/>
        <w:ind w:left="1082" w:right="4975" w:hanging="340"/>
        <w:jc w:val="left"/>
        <w:rPr>
          <w:sz w:val="18"/>
        </w:rPr>
      </w:pPr>
      <w:r>
        <w:rPr>
          <w:i/>
          <w:sz w:val="18"/>
        </w:rPr>
        <w:t>GNSS (Global Navigation Satellite System)-satellitter</w:t>
      </w:r>
      <w:r>
        <w:rPr>
          <w:sz w:val="18"/>
        </w:rPr>
        <w:t>, som USA's GPS og EU's Galileo har atomure ombord, og udsender et præcist klokkeslæt i signalet. Bruger- enheder ved til enhver tid hvor satellitten er, og kan beregne hvor lang tid signalet har rejst. Med fire sig- naler er det muligt at beregne enhedens præcise po- sition. Systemet anvendes til navigation og de præci- se tidsoplysninger (timing) bruges til</w:t>
      </w:r>
      <w:r>
        <w:rPr>
          <w:spacing w:val="-21"/>
          <w:sz w:val="18"/>
        </w:rPr>
        <w:t> </w:t>
      </w:r>
      <w:r>
        <w:rPr>
          <w:sz w:val="18"/>
        </w:rPr>
        <w:t>synkronisering.</w:t>
      </w:r>
    </w:p>
    <w:p>
      <w:pPr>
        <w:pStyle w:val="ListParagraph"/>
        <w:numPr>
          <w:ilvl w:val="1"/>
          <w:numId w:val="2"/>
        </w:numPr>
        <w:tabs>
          <w:tab w:pos="1082" w:val="left" w:leader="none"/>
          <w:tab w:pos="1083" w:val="left" w:leader="none"/>
        </w:tabs>
        <w:spacing w:line="264" w:lineRule="auto" w:before="0" w:after="0"/>
        <w:ind w:left="1082" w:right="4988" w:hanging="340"/>
        <w:jc w:val="left"/>
        <w:rPr>
          <w:sz w:val="18"/>
        </w:rPr>
      </w:pPr>
      <w:r>
        <w:rPr>
          <w:i/>
          <w:sz w:val="18"/>
        </w:rPr>
        <w:t>Kommunikationssatellitter </w:t>
      </w:r>
      <w:r>
        <w:rPr>
          <w:sz w:val="18"/>
        </w:rPr>
        <w:t>fra private operatører bru- ges til at få adgang til kommunikation, internet og satellit-tv som supplement eller eneste mulighed i visse dele af verden (fx på havene eller i fly). De fle- ste, men ikke alle, kommunikationssatellitter er i geostationært kredsløb (ca. 36.000 km over ækva- tor), dvs. de er altid i den samme position i forhold til et sted på</w:t>
      </w:r>
      <w:r>
        <w:rPr>
          <w:spacing w:val="-3"/>
          <w:sz w:val="18"/>
        </w:rPr>
        <w:t> </w:t>
      </w:r>
      <w:r>
        <w:rPr>
          <w:sz w:val="18"/>
        </w:rPr>
        <w:t>jorden.</w:t>
      </w:r>
    </w:p>
    <w:p>
      <w:pPr>
        <w:pStyle w:val="BodyText"/>
        <w:spacing w:before="7"/>
      </w:pPr>
    </w:p>
    <w:p>
      <w:pPr>
        <w:pStyle w:val="BodyText"/>
        <w:spacing w:line="264" w:lineRule="auto"/>
        <w:ind w:left="742" w:right="4974"/>
      </w:pPr>
      <w:r>
        <w:rPr/>
        <w:t>Analyserne er bl.a. gennemført med afsæt i interview med danske upstream- og downstream-virksomheder, myndigheder, forskningsinstitutioner og brugere (nuvæ- rende og potentielle). Analyserne fokuserer dermed på tre primære aktørgrupper – virksomheder, universiteter og myndigheder, herunder både statslige og kommunale.</w:t>
      </w:r>
    </w:p>
    <w:p>
      <w:pPr>
        <w:spacing w:after="0" w:line="264" w:lineRule="auto"/>
        <w:sectPr>
          <w:footerReference w:type="default" r:id="rId14"/>
          <w:pgSz w:w="11910" w:h="16840"/>
          <w:pgMar w:footer="1056" w:header="0" w:top="1580" w:bottom="1240" w:left="960" w:right="0"/>
          <w:pgNumType w:start="1"/>
        </w:sectPr>
      </w:pPr>
    </w:p>
    <w:p>
      <w:pPr>
        <w:pStyle w:val="Heading2"/>
        <w:numPr>
          <w:ilvl w:val="1"/>
          <w:numId w:val="3"/>
        </w:numPr>
        <w:tabs>
          <w:tab w:pos="741" w:val="left" w:leader="none"/>
          <w:tab w:pos="743" w:val="left" w:leader="none"/>
        </w:tabs>
        <w:spacing w:line="240" w:lineRule="auto" w:before="126" w:after="0"/>
        <w:ind w:left="742" w:right="0" w:hanging="624"/>
        <w:jc w:val="left"/>
      </w:pPr>
      <w:r>
        <w:rPr/>
        <w:pict>
          <v:shape style="position:absolute;margin-left:384.420013pt;margin-top:86.25164pt;width:178.75pt;height:631.950pt;mso-position-horizontal-relative:page;mso-position-vertical-relative:page;z-index:11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4"/>
                  </w:tblGrid>
                  <w:tr>
                    <w:trPr>
                      <w:trHeight w:val="5624" w:hRule="atLeast"/>
                    </w:trPr>
                    <w:tc>
                      <w:tcPr>
                        <w:tcW w:w="3574" w:type="dxa"/>
                      </w:tcPr>
                      <w:p>
                        <w:pPr>
                          <w:pStyle w:val="TableParagraph"/>
                          <w:spacing w:before="0"/>
                          <w:ind w:left="680"/>
                          <w:rPr>
                            <w:b/>
                            <w:sz w:val="18"/>
                          </w:rPr>
                        </w:pPr>
                        <w:r>
                          <w:rPr>
                            <w:b/>
                            <w:color w:val="009DDF"/>
                            <w:sz w:val="18"/>
                          </w:rPr>
                          <w:t>Den danske rumsektor</w:t>
                        </w:r>
                      </w:p>
                    </w:tc>
                  </w:tr>
                  <w:tr>
                    <w:trPr>
                      <w:trHeight w:val="7014" w:hRule="atLeast"/>
                    </w:trPr>
                    <w:tc>
                      <w:tcPr>
                        <w:tcW w:w="3574" w:type="dxa"/>
                      </w:tcPr>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0"/>
                          <w:ind w:left="0"/>
                          <w:rPr>
                            <w:sz w:val="16"/>
                          </w:rPr>
                        </w:pPr>
                      </w:p>
                      <w:p>
                        <w:pPr>
                          <w:pStyle w:val="TableParagraph"/>
                          <w:spacing w:before="8"/>
                          <w:ind w:left="0"/>
                          <w:rPr>
                            <w:sz w:val="12"/>
                          </w:rPr>
                        </w:pPr>
                      </w:p>
                      <w:p>
                        <w:pPr>
                          <w:pStyle w:val="TableParagraph"/>
                          <w:spacing w:line="338" w:lineRule="auto" w:before="0"/>
                          <w:ind w:left="200" w:right="41"/>
                          <w:rPr>
                            <w:sz w:val="14"/>
                          </w:rPr>
                        </w:pPr>
                        <w:r>
                          <w:rPr>
                            <w:sz w:val="14"/>
                          </w:rPr>
                          <w:t>Kilde: Rambøll og London Economics analyse og data fra Danmarks Statistik</w:t>
                        </w:r>
                      </w:p>
                      <w:p>
                        <w:pPr>
                          <w:pStyle w:val="TableParagraph"/>
                          <w:spacing w:before="0"/>
                          <w:ind w:left="0"/>
                          <w:rPr>
                            <w:sz w:val="14"/>
                          </w:rPr>
                        </w:pPr>
                      </w:p>
                      <w:p>
                        <w:pPr>
                          <w:pStyle w:val="TableParagraph"/>
                          <w:spacing w:line="240" w:lineRule="atLeast" w:before="1"/>
                          <w:ind w:left="200" w:right="178"/>
                          <w:rPr>
                            <w:sz w:val="14"/>
                          </w:rPr>
                        </w:pPr>
                        <w:r>
                          <w:rPr>
                            <w:sz w:val="14"/>
                          </w:rPr>
                          <w:t>Note: Salg af rumtjenester omfatter operati- on af jordstationer og satellitter samt salg af båndbredde til satellitinternet, -telefoni, og parabol-tv.</w:t>
                        </w:r>
                      </w:p>
                    </w:tc>
                  </w:tr>
                </w:tbl>
                <w:p>
                  <w:pPr>
                    <w:pStyle w:val="BodyText"/>
                  </w:pPr>
                </w:p>
              </w:txbxContent>
            </v:textbox>
            <w10:wrap type="none"/>
          </v:shape>
        </w:pict>
      </w:r>
      <w:bookmarkStart w:name="_bookmark1" w:id="2"/>
      <w:bookmarkEnd w:id="2"/>
      <w:r>
        <w:rPr/>
        <w:t>D</w:t>
      </w:r>
      <w:r>
        <w:rPr/>
        <w:t>e danske</w:t>
      </w:r>
      <w:r>
        <w:rPr>
          <w:spacing w:val="1"/>
        </w:rPr>
        <w:t> </w:t>
      </w:r>
      <w:r>
        <w:rPr/>
        <w:t>virksomheder</w:t>
      </w:r>
    </w:p>
    <w:p>
      <w:pPr>
        <w:pStyle w:val="BodyText"/>
        <w:spacing w:line="264" w:lineRule="auto" w:before="22"/>
        <w:ind w:left="742" w:right="4351"/>
      </w:pPr>
      <w:r>
        <w:rPr/>
        <w:drawing>
          <wp:anchor distT="0" distB="0" distL="0" distR="0" allowOverlap="1" layoutInCell="1" locked="0" behindDoc="0" simplePos="0" relativeHeight="1120">
            <wp:simplePos x="0" y="0"/>
            <wp:positionH relativeFrom="page">
              <wp:posOffset>5151754</wp:posOffset>
            </wp:positionH>
            <wp:positionV relativeFrom="paragraph">
              <wp:posOffset>151743</wp:posOffset>
            </wp:positionV>
            <wp:extent cx="1778000" cy="6658483"/>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5" cstate="print"/>
                    <a:stretch>
                      <a:fillRect/>
                    </a:stretch>
                  </pic:blipFill>
                  <pic:spPr>
                    <a:xfrm>
                      <a:off x="0" y="0"/>
                      <a:ext cx="1778000" cy="6658483"/>
                    </a:xfrm>
                    <a:prstGeom prst="rect">
                      <a:avLst/>
                    </a:prstGeom>
                  </pic:spPr>
                </pic:pic>
              </a:graphicData>
            </a:graphic>
          </wp:anchor>
        </w:drawing>
      </w:r>
      <w:r>
        <w:rPr/>
        <w:t>Rumøkonomiens virksomheder findes i mange brancher, og sektoren kan derfor ikke defineres eller afgrænset ud fra eksi- sterende statistisk klassificeringer. I stedet har det været nød- vendigt at identificere relevante virksomheder en ad gangen, og basere værdiansættelse af rummet på data på virksomhedsni- veau. Afdækningen viser følgende om de danske virksomheder.</w:t>
      </w:r>
    </w:p>
    <w:p>
      <w:pPr>
        <w:pStyle w:val="BodyText"/>
        <w:spacing w:before="5"/>
        <w:rPr>
          <w:sz w:val="19"/>
        </w:rPr>
      </w:pPr>
    </w:p>
    <w:p>
      <w:pPr>
        <w:pStyle w:val="BodyText"/>
        <w:spacing w:line="264" w:lineRule="auto"/>
        <w:ind w:left="742" w:right="4367"/>
      </w:pPr>
      <w:r>
        <w:rPr>
          <w:b/>
        </w:rPr>
        <w:t>Omsætning på 4,4 mia. DKK og ca. 1.550 fuldtidsansatte </w:t>
      </w:r>
      <w:r>
        <w:rPr/>
        <w:t>Der findes i Danmark 144 virksomheder der beskæftiger sig med rumrelaterede aktiviteter. Omsætningen fra virksomheder- nes rumaktivitet udgjorde i 2013 ca. 4,4 mia. DKK, og virksom- hederne i den danske rumøkonomi beskæftigede ca. 1.550 fuld- tidsansatte.</w:t>
      </w:r>
    </w:p>
    <w:p>
      <w:pPr>
        <w:pStyle w:val="BodyText"/>
        <w:spacing w:before="6"/>
        <w:rPr>
          <w:sz w:val="19"/>
        </w:rPr>
      </w:pPr>
    </w:p>
    <w:p>
      <w:pPr>
        <w:spacing w:line="264" w:lineRule="auto" w:before="0"/>
        <w:ind w:left="742" w:right="4336" w:firstLine="0"/>
        <w:jc w:val="left"/>
        <w:rPr>
          <w:sz w:val="18"/>
        </w:rPr>
      </w:pPr>
      <w:r>
        <w:rPr>
          <w:b/>
          <w:sz w:val="18"/>
        </w:rPr>
        <w:t>Værdiskabelsen findes primært i downstream-sektoren </w:t>
      </w:r>
      <w:r>
        <w:rPr>
          <w:sz w:val="18"/>
        </w:rPr>
        <w:t>Danmarks rumomsætning skabes i høj grad i downstream- elementet, hvor isenkram i rummet kommercialiseres og sælges til brugere. Mens upstream-sektoren i 2013 noterede sig for 7</w:t>
      </w:r>
    </w:p>
    <w:p>
      <w:pPr>
        <w:pStyle w:val="BodyText"/>
        <w:spacing w:line="264" w:lineRule="auto"/>
        <w:ind w:left="742" w:right="4509"/>
      </w:pPr>
      <w:r>
        <w:rPr/>
        <w:t>% af omsætningen og 14 % af rumsektorens beskæftigelse, bidrog downstream-sektoren således med de resterende 93 % af omsætningen og de resterende 86 % af arbejdsstyrken.</w:t>
      </w:r>
    </w:p>
    <w:p>
      <w:pPr>
        <w:pStyle w:val="BodyText"/>
        <w:spacing w:before="4"/>
        <w:rPr>
          <w:sz w:val="19"/>
        </w:rPr>
      </w:pPr>
    </w:p>
    <w:p>
      <w:pPr>
        <w:pStyle w:val="BodyText"/>
        <w:spacing w:line="264" w:lineRule="auto"/>
        <w:ind w:left="742" w:right="4322"/>
      </w:pPr>
      <w:r>
        <w:rPr/>
        <w:t>Sammenligninger på tværs af lande er generelt vanskelig grun- det forskelle i definitioner og afgrænsninger samt lokale faktorer der ofte spiller ind, både industrielt og geografisk. Set i forhold til den globale rumøkonomi, tegner den danske upstream-sektor sig dog for en betragteligt lavere andel af den samlede rumom- sætning. Upstream-sektorens andel af den samlede rumomsæt- ning gennemsnitligt udgør til sammenligning ca. 33 % (det glo- bale gennemsnit). Omvendt tegner den danske downstream- sektor sig således for en betragtelig større andel af den samlede omsætning. Downstream-sektorens andel af den samlede rum- omsætning gennemsnitligt udgør til sammenligning ca. 67 % (det globale gennemsnit).</w:t>
      </w:r>
    </w:p>
    <w:p>
      <w:pPr>
        <w:pStyle w:val="BodyText"/>
        <w:spacing w:before="2"/>
        <w:rPr>
          <w:sz w:val="19"/>
        </w:rPr>
      </w:pPr>
    </w:p>
    <w:p>
      <w:pPr>
        <w:pStyle w:val="BodyText"/>
        <w:spacing w:line="264" w:lineRule="auto"/>
        <w:ind w:left="742" w:right="4319"/>
      </w:pPr>
      <w:r>
        <w:rPr/>
        <w:t>Halvdelen af den danske upstream-omsætning stammer fra satellitter. I downstream-sektoren ses en større spredning i aktiviteter og salg af rumtjenester samt hhv. fremstilling og salg af brugerenheder udgør hver især ca. en tredjedel af den sam- lede downstream-omsætning.</w:t>
      </w:r>
    </w:p>
    <w:p>
      <w:pPr>
        <w:pStyle w:val="BodyText"/>
        <w:spacing w:before="6"/>
        <w:rPr>
          <w:sz w:val="19"/>
        </w:rPr>
      </w:pPr>
    </w:p>
    <w:p>
      <w:pPr>
        <w:spacing w:before="0"/>
        <w:ind w:left="742" w:right="0" w:firstLine="0"/>
        <w:jc w:val="left"/>
        <w:rPr>
          <w:b/>
          <w:sz w:val="18"/>
        </w:rPr>
      </w:pPr>
      <w:r>
        <w:rPr>
          <w:b/>
          <w:sz w:val="18"/>
        </w:rPr>
        <w:t>Et nationalt erhverv med et højt uddannelsesniveau</w:t>
      </w:r>
    </w:p>
    <w:p>
      <w:pPr>
        <w:pStyle w:val="BodyText"/>
        <w:spacing w:line="264" w:lineRule="auto" w:before="21"/>
        <w:ind w:left="742" w:right="4425"/>
      </w:pPr>
      <w:r>
        <w:rPr/>
        <w:t>Den rumrelaterede beskæftigelse er fordelt over hele landet, dog centreret omkring de større universitetsbyer. I Region Ho- vedstaden, som huser knap en tredjedel af den danske befolk- ning, beskæftiger virksomhederne knap halvdelen af Danmarks rumbeskæftigede. Også i Region Nordjylland, der med blot 10</w:t>
      </w:r>
    </w:p>
    <w:p>
      <w:pPr>
        <w:pStyle w:val="BodyText"/>
        <w:spacing w:line="264" w:lineRule="auto"/>
        <w:ind w:left="742" w:right="4392"/>
      </w:pPr>
      <w:r>
        <w:rPr/>
        <w:t>% af Danmarks befolkning, huser næsten 25 % af landets rum- beskæftigede, er koncentrationen høj. To ud af fem medarbej- der i rumrelaterede virksomheder har gennemført en lang vide- regående uddannelse. Sammenlignet med befolkningen som helhed, er andelen meget høj (her udgør andelen ca. 7,1 %).</w:t>
      </w:r>
    </w:p>
    <w:p>
      <w:pPr>
        <w:spacing w:after="0" w:line="264" w:lineRule="auto"/>
        <w:sectPr>
          <w:pgSz w:w="11910" w:h="16840"/>
          <w:pgMar w:header="0" w:footer="1056" w:top="1580" w:bottom="1240" w:left="960" w:right="0"/>
        </w:sectPr>
      </w:pPr>
    </w:p>
    <w:p>
      <w:pPr>
        <w:pStyle w:val="BodyText"/>
        <w:spacing w:line="264" w:lineRule="auto" w:before="126"/>
        <w:ind w:left="742" w:right="1191"/>
      </w:pPr>
      <w:r>
        <w:rPr>
          <w:b/>
        </w:rPr>
        <w:t>Styrkepositioner inden for fremstilling af satellitter, systemer til ISS og brugerenheder </w:t>
      </w:r>
      <w:r>
        <w:rPr/>
        <w:t>Med deltagelse i 38 satellitmissioner er Terma den største og mest erfarne danske virksomhed i upstream-segmentet og også DTU er med sine 15 satellitmissioner en væsentlig aktør. Med fem opsendte satellitter er Aalborg Universitet også vigtig spiller indenfor CubeSat-feltet. GomSpace, der er udsprunget fra Aalborg Universitet, og som er blandt verdens førende inden for nanosatellit- ter, oplevede i 2015-2016 en vækst på 100 %. Udover satellitter er den danske upstream-sektor stærk på systemer til ISS, hvor Danish Aerospace Company har leveret adskillige løsninger inden for astronauters træning og sundhed.</w:t>
      </w:r>
    </w:p>
    <w:p>
      <w:pPr>
        <w:pStyle w:val="BodyText"/>
        <w:spacing w:before="4"/>
        <w:rPr>
          <w:sz w:val="19"/>
        </w:rPr>
      </w:pPr>
    </w:p>
    <w:p>
      <w:pPr>
        <w:pStyle w:val="BodyText"/>
        <w:spacing w:line="264" w:lineRule="auto"/>
        <w:ind w:left="742" w:right="1228"/>
      </w:pPr>
      <w:r>
        <w:rPr/>
        <w:t>På downstream-området er fremstilling af brugerenheder en klar dansk styrkeposition og virksom- hederne på området tæller blandt andre Cobham Satcom og Satcom1, som begge laver satellit- kommunikationsterminaler og er blevet opkøbt af udenlandske ejere indenfor det seneste år.</w:t>
      </w:r>
    </w:p>
    <w:p>
      <w:pPr>
        <w:pStyle w:val="BodyText"/>
        <w:spacing w:before="7"/>
        <w:rPr>
          <w:sz w:val="19"/>
        </w:rPr>
      </w:pPr>
    </w:p>
    <w:p>
      <w:pPr>
        <w:spacing w:before="1"/>
        <w:ind w:left="742" w:right="0" w:firstLine="0"/>
        <w:jc w:val="left"/>
        <w:rPr>
          <w:b/>
          <w:sz w:val="18"/>
        </w:rPr>
      </w:pPr>
      <w:r>
        <w:rPr>
          <w:b/>
          <w:sz w:val="18"/>
        </w:rPr>
        <w:t>Danske virksomheder har et godt udgangspunkt</w:t>
      </w:r>
    </w:p>
    <w:p>
      <w:pPr>
        <w:spacing w:line="264" w:lineRule="auto" w:before="21"/>
        <w:ind w:left="742" w:right="1154" w:firstLine="0"/>
        <w:jc w:val="left"/>
        <w:rPr>
          <w:sz w:val="18"/>
        </w:rPr>
      </w:pPr>
      <w:r>
        <w:rPr>
          <w:sz w:val="18"/>
        </w:rPr>
        <w:t>Danske virksomheder er generelt godt stillet i forhold til at udnytte internationale tendenser inden- for rumindustrien. Der er i analysen identificeret fire overordnede internationale tendenser indenfor rumindustrien med relevans for Danmark: </w:t>
      </w:r>
      <w:r>
        <w:rPr>
          <w:i/>
          <w:sz w:val="18"/>
        </w:rPr>
        <w:t>”New Space Age”</w:t>
      </w:r>
      <w:r>
        <w:rPr>
          <w:sz w:val="18"/>
        </w:rPr>
        <w:t>, </w:t>
      </w:r>
      <w:r>
        <w:rPr>
          <w:i/>
          <w:sz w:val="18"/>
        </w:rPr>
        <w:t>”Værdikædens internationalisering”</w:t>
      </w:r>
      <w:r>
        <w:rPr>
          <w:sz w:val="18"/>
        </w:rPr>
        <w:t>, </w:t>
      </w:r>
      <w:r>
        <w:rPr>
          <w:i/>
          <w:sz w:val="18"/>
        </w:rPr>
        <w:t>”Internet-of-Everything and Everywhere” </w:t>
      </w:r>
      <w:r>
        <w:rPr>
          <w:sz w:val="18"/>
        </w:rPr>
        <w:t>og </w:t>
      </w:r>
      <w:r>
        <w:rPr>
          <w:i/>
          <w:sz w:val="18"/>
        </w:rPr>
        <w:t>”Small Satellite Revolution”. P</w:t>
      </w:r>
      <w:r>
        <w:rPr>
          <w:sz w:val="18"/>
        </w:rPr>
        <w:t>å alle fire felter vurderes danske virksomheder at have gode muligheder for at udnytte de markeder der åbnes.</w:t>
      </w:r>
    </w:p>
    <w:p>
      <w:pPr>
        <w:pStyle w:val="BodyText"/>
        <w:spacing w:before="6"/>
        <w:rPr>
          <w:sz w:val="19"/>
        </w:rPr>
      </w:pPr>
    </w:p>
    <w:p>
      <w:pPr>
        <w:pStyle w:val="BodyText"/>
        <w:spacing w:line="264" w:lineRule="auto"/>
        <w:ind w:left="742" w:right="1142"/>
      </w:pPr>
      <w:r>
        <w:rPr/>
        <w:t>Udover disse tendenser er der sket et grundlæggende skred i forholdet mellem offentlig og privat efterspørgsel. Hvor en tredjedel af den rumrelaterede økonomiske aktivitet i 2009 var drevet af offentlig efterspørgsel var dette tal faldet til ca. en fjerdedel i 2014. Dette skyldes en ny type rum- organisationer (</w:t>
      </w:r>
      <w:r>
        <w:rPr>
          <w:i/>
        </w:rPr>
        <w:t>”New Space”</w:t>
      </w:r>
      <w:r>
        <w:rPr/>
        <w:t>), som beskriver et nyt voksende globalt netværk af entreprenører, private virksomheder og organisationer kendetegnet blandt andet ved brug af privat finansiering målrettet kommercielle markeder med et ofte lukrativt tilbagebetalingspotentiale grundet høj efter- spørgsel og stordriftsfordele. Denne tendens indbefatter mange af de områder hvor rumøkonomien udvikler sig og vurderes at fortsætte de kommende år.</w:t>
      </w:r>
    </w:p>
    <w:p>
      <w:pPr>
        <w:pStyle w:val="BodyText"/>
        <w:rPr>
          <w:sz w:val="22"/>
        </w:rPr>
      </w:pPr>
    </w:p>
    <w:p>
      <w:pPr>
        <w:pStyle w:val="BodyText"/>
        <w:spacing w:before="1"/>
        <w:rPr>
          <w:sz w:val="17"/>
        </w:rPr>
      </w:pPr>
    </w:p>
    <w:p>
      <w:pPr>
        <w:pStyle w:val="Heading2"/>
        <w:numPr>
          <w:ilvl w:val="1"/>
          <w:numId w:val="3"/>
        </w:numPr>
        <w:tabs>
          <w:tab w:pos="741" w:val="left" w:leader="none"/>
          <w:tab w:pos="743" w:val="left" w:leader="none"/>
        </w:tabs>
        <w:spacing w:line="240" w:lineRule="auto" w:before="1" w:after="0"/>
        <w:ind w:left="742" w:right="0" w:hanging="624"/>
        <w:jc w:val="left"/>
      </w:pPr>
      <w:bookmarkStart w:name="_bookmark2" w:id="3"/>
      <w:bookmarkEnd w:id="3"/>
      <w:r>
        <w:rPr/>
        <w:t>D</w:t>
      </w:r>
      <w:r>
        <w:rPr/>
        <w:t>e danske</w:t>
      </w:r>
      <w:r>
        <w:rPr>
          <w:spacing w:val="1"/>
        </w:rPr>
        <w:t> </w:t>
      </w:r>
      <w:r>
        <w:rPr/>
        <w:t>universiteter</w:t>
      </w:r>
    </w:p>
    <w:p>
      <w:pPr>
        <w:pStyle w:val="BodyText"/>
        <w:spacing w:line="264" w:lineRule="auto" w:before="21"/>
        <w:ind w:left="742" w:right="1145"/>
      </w:pPr>
      <w:r>
        <w:rPr/>
        <w:t>Danmark har indtil for nylig været en lille, men stadig traditionel, rumforskningsnation og fokus har været på nicheområder inden for rumforskning og levering af rumfartsteknologier. Udviklingen og opsendelsen af den første danske satellit, Ørsted-satellitten i 1999, var kulminationen på en viden- skabelig og teknologisk kraftanstrengelse fra flere universiteter, institutter og virksomheder, og Ørsted-satellitten banede for alvor vejen for dansk forskning og førte dansk industri ind på marke- det for rumfartsudstyr.</w:t>
      </w:r>
    </w:p>
    <w:p>
      <w:pPr>
        <w:pStyle w:val="BodyText"/>
        <w:spacing w:before="5"/>
        <w:rPr>
          <w:sz w:val="19"/>
        </w:rPr>
      </w:pPr>
    </w:p>
    <w:p>
      <w:pPr>
        <w:spacing w:before="0"/>
        <w:ind w:left="742" w:right="0" w:firstLine="0"/>
        <w:jc w:val="left"/>
        <w:rPr>
          <w:b/>
          <w:sz w:val="18"/>
        </w:rPr>
      </w:pPr>
      <w:r>
        <w:rPr>
          <w:b/>
          <w:sz w:val="18"/>
        </w:rPr>
        <w:t>Fordeling og koncentration</w:t>
      </w:r>
    </w:p>
    <w:p>
      <w:pPr>
        <w:pStyle w:val="BodyText"/>
        <w:spacing w:line="264" w:lineRule="auto" w:before="21"/>
        <w:ind w:left="742" w:right="1156"/>
      </w:pPr>
      <w:r>
        <w:rPr/>
        <w:t>Det suverænt største, danske universitetsforskningsmiljø befinder sig på og omkring DTU. I 2015 havde DTU Space alene omkring 80 videnskabelige fuldtidsansatte og 200 studerende beskæftiget med rumrelaterede aktiviteter. Ud over DTU Space beskæftiger 7 andre institutter på DTU sig med rumrelaterede aktiviteter, men her er volumen langt mindre. Målt i videnskabelige fuldtidsansatte er der også tale om mindre miljøer på de andre danske universiteter. På Aalborg universitet, vur- deres de videnskabelige fuldtidsansatte der beskæftiger sig med rumrelaterede projekter at udgøre 8 årsværk. Det fremhæves fra alle sider at de danske universiteters indsats på området ikke ville være mulig uden de studerende og frivillige og de mange timer de lægger heri.</w:t>
      </w:r>
    </w:p>
    <w:p>
      <w:pPr>
        <w:pStyle w:val="BodyText"/>
        <w:spacing w:before="5"/>
        <w:rPr>
          <w:sz w:val="19"/>
        </w:rPr>
      </w:pPr>
    </w:p>
    <w:p>
      <w:pPr>
        <w:spacing w:before="0"/>
        <w:ind w:left="742" w:right="0" w:firstLine="0"/>
        <w:jc w:val="left"/>
        <w:rPr>
          <w:b/>
          <w:sz w:val="18"/>
        </w:rPr>
      </w:pPr>
      <w:r>
        <w:rPr>
          <w:b/>
          <w:sz w:val="18"/>
        </w:rPr>
        <w:t>Samarbejde med virksomheder og myndigheder</w:t>
      </w:r>
    </w:p>
    <w:p>
      <w:pPr>
        <w:pStyle w:val="BodyText"/>
        <w:spacing w:line="264" w:lineRule="auto" w:before="21"/>
        <w:ind w:left="742" w:right="1455"/>
        <w:jc w:val="both"/>
      </w:pPr>
      <w:r>
        <w:rPr/>
        <w:t>Rumområdet er meget forskningstungt og både virksomheder og universiteter peger på en unik grad af gensidig afhængighed mellem de to parter. Den danske forskning, og den nye viden den genererer, er således helt essentiel i forhold til den erhvervsmæssige udvikling.</w:t>
      </w:r>
    </w:p>
    <w:p>
      <w:pPr>
        <w:spacing w:after="0" w:line="264" w:lineRule="auto"/>
        <w:jc w:val="both"/>
        <w:sectPr>
          <w:pgSz w:w="11910" w:h="16840"/>
          <w:pgMar w:header="0" w:footer="1056" w:top="1580" w:bottom="1240" w:left="960" w:right="0"/>
        </w:sectPr>
      </w:pPr>
    </w:p>
    <w:p>
      <w:pPr>
        <w:pStyle w:val="BodyText"/>
        <w:spacing w:line="264" w:lineRule="auto" w:before="126"/>
        <w:ind w:left="742" w:right="1192"/>
      </w:pPr>
      <w:r>
        <w:rPr/>
        <w:t>Generelt tegner sig et billede af at samarbejdet mellem universiteterne og virksomhederne i høj grad allerede er til stede og at det langt hen ad vejen er vellykket. Der peges eksempelvis på me- get vellykkede samarbejder i forhold til instrumentbygning samt flere af universiteternes bidrag til, at nanosatellitter har udviklet sig til et vækstområde i rumøkonomien.</w:t>
      </w:r>
    </w:p>
    <w:p>
      <w:pPr>
        <w:pStyle w:val="BodyText"/>
        <w:spacing w:before="7"/>
        <w:rPr>
          <w:sz w:val="19"/>
        </w:rPr>
      </w:pPr>
    </w:p>
    <w:p>
      <w:pPr>
        <w:pStyle w:val="BodyText"/>
        <w:spacing w:line="264" w:lineRule="auto"/>
        <w:ind w:left="742" w:right="1213"/>
      </w:pPr>
      <w:r>
        <w:rPr/>
        <w:t>Universiteterne spiller også en væsentlig rolle i forhold til myndighederne inden for en række be- stemte områder. Her fremhæves særligt det danske engagement i Arktis og farvandsovervågning i forbindelse med opretholdelse af dansk suverænitet.</w:t>
      </w:r>
    </w:p>
    <w:p>
      <w:pPr>
        <w:pStyle w:val="BodyText"/>
        <w:spacing w:before="7"/>
        <w:rPr>
          <w:sz w:val="19"/>
        </w:rPr>
      </w:pPr>
    </w:p>
    <w:p>
      <w:pPr>
        <w:pStyle w:val="BodyText"/>
        <w:spacing w:line="264" w:lineRule="auto"/>
        <w:ind w:left="742" w:right="1166"/>
      </w:pPr>
      <w:r>
        <w:rPr/>
        <w:t>Også inden for bemandet rumfart peges på, at der på flere projekter ses et relativt kort pay-off, hvor den genererede rumrelaterede viden inden for en begrænset tidshorisont kommer almindelige patienter de på danske sygehus til gavn, da udviklingen af medicinsk udstyr og forskningsforsøg til og på mennesker i rummet, samtidig giver os bedre idé om sygdomme og helbred for resten af de mennesker der befinder sig på jorden.</w:t>
      </w:r>
    </w:p>
    <w:p>
      <w:pPr>
        <w:pStyle w:val="BodyText"/>
        <w:spacing w:before="6"/>
        <w:rPr>
          <w:sz w:val="19"/>
        </w:rPr>
      </w:pPr>
    </w:p>
    <w:p>
      <w:pPr>
        <w:pStyle w:val="BodyText"/>
        <w:spacing w:line="264" w:lineRule="auto" w:before="1"/>
        <w:ind w:left="742" w:right="1186"/>
        <w:jc w:val="both"/>
      </w:pPr>
      <w:r>
        <w:rPr/>
        <w:t>Universiteterne ser dog en generel tendens til at mange myndigheder i dag anvender rumrelatere- de teknologier og viden uden at være bevidste om det og ser herudover mange uudnyttede anven- delsesmuligheder i forbindelse med myndighedsopgaver.</w:t>
      </w:r>
    </w:p>
    <w:p>
      <w:pPr>
        <w:pStyle w:val="BodyText"/>
        <w:spacing w:before="7"/>
        <w:rPr>
          <w:sz w:val="19"/>
        </w:rPr>
      </w:pPr>
    </w:p>
    <w:p>
      <w:pPr>
        <w:spacing w:before="0"/>
        <w:ind w:left="742" w:right="0" w:firstLine="0"/>
        <w:jc w:val="left"/>
        <w:rPr>
          <w:b/>
          <w:sz w:val="18"/>
        </w:rPr>
      </w:pPr>
      <w:r>
        <w:rPr>
          <w:b/>
          <w:sz w:val="18"/>
        </w:rPr>
        <w:t>Midler og ressourcer</w:t>
      </w:r>
    </w:p>
    <w:p>
      <w:pPr>
        <w:pStyle w:val="BodyText"/>
        <w:spacing w:line="264" w:lineRule="auto" w:before="21"/>
        <w:ind w:left="742" w:right="1562"/>
        <w:jc w:val="both"/>
      </w:pPr>
      <w:r>
        <w:rPr/>
        <w:t>På trods af en høj grad af specialisering samt et forholdsvis højt aktivitetsniveau relativt til den lave kritiske masse på universiteterne vurderes det samlede forskningsmæssigt bidrag at være kvantitativt begrænset i en international sammenhæng.</w:t>
      </w:r>
    </w:p>
    <w:p>
      <w:pPr>
        <w:pStyle w:val="BodyText"/>
        <w:spacing w:before="7"/>
        <w:rPr>
          <w:sz w:val="19"/>
        </w:rPr>
      </w:pPr>
    </w:p>
    <w:p>
      <w:pPr>
        <w:pStyle w:val="BodyText"/>
        <w:spacing w:line="264" w:lineRule="auto"/>
        <w:ind w:left="742" w:right="1172"/>
      </w:pPr>
      <w:r>
        <w:rPr/>
        <w:t>Samtidigt er det fra flere sider kommet til udtryk, at danske forskergrupper ikke i større omfang søger det nuværende forsknings- og innovationsmæssige bevillingssystem på trods af rumprojek- ternes bredde spændvidde. Samme tendens kan iagttages ved ansøgninger til Horizon2020. Blandt årsagerne til dette er, at det er en udfordring at komme i betragtning til flere af forskningspuljerne når man, som de danske universiteter, har studerende med på projekterne, da disse projekter så opfattes som projekter med et undervisningsperspektiv frem for et forskningsperspektiv.</w:t>
      </w:r>
    </w:p>
    <w:p>
      <w:pPr>
        <w:pStyle w:val="BodyText"/>
        <w:spacing w:before="6"/>
        <w:rPr>
          <w:sz w:val="19"/>
        </w:rPr>
      </w:pPr>
    </w:p>
    <w:p>
      <w:pPr>
        <w:spacing w:before="0"/>
        <w:ind w:left="742" w:right="0" w:firstLine="0"/>
        <w:jc w:val="left"/>
        <w:rPr>
          <w:b/>
          <w:sz w:val="18"/>
        </w:rPr>
      </w:pPr>
      <w:r>
        <w:rPr>
          <w:b/>
          <w:sz w:val="18"/>
        </w:rPr>
        <w:t>Andre forskningsmiljøer</w:t>
      </w:r>
    </w:p>
    <w:p>
      <w:pPr>
        <w:pStyle w:val="BodyText"/>
        <w:spacing w:line="264" w:lineRule="auto" w:before="21"/>
        <w:ind w:left="742" w:right="1168"/>
      </w:pPr>
      <w:r>
        <w:rPr/>
        <w:t>Ud over den forskning der foregår på universiteterne, er det vigtigt at holde sig for øje, at der også foregår forskningsaktiviteter i andre miljøer samt at en væsentlig mængde af forskning og udvik- ling finder sted i de private virksomheder. Et eksempel herpå er DMI der beskæftiger et betydeligt antal årsværk inden for forskning og som gennem mere end 30 år har publiceret en lang række forskningsartikler, både gennem medarbejdere ansat i DMI og i samarbejde med eksterne aktører.</w:t>
      </w:r>
    </w:p>
    <w:p>
      <w:pPr>
        <w:pStyle w:val="BodyText"/>
        <w:spacing w:before="9"/>
        <w:rPr>
          <w:sz w:val="17"/>
        </w:rPr>
      </w:pPr>
    </w:p>
    <w:p>
      <w:pPr>
        <w:pStyle w:val="ListParagraph"/>
        <w:numPr>
          <w:ilvl w:val="1"/>
          <w:numId w:val="3"/>
        </w:numPr>
        <w:tabs>
          <w:tab w:pos="741" w:val="left" w:leader="none"/>
          <w:tab w:pos="743" w:val="left" w:leader="none"/>
        </w:tabs>
        <w:spacing w:line="480" w:lineRule="atLeast" w:before="0" w:after="0"/>
        <w:ind w:left="742" w:right="7759" w:hanging="624"/>
        <w:jc w:val="left"/>
        <w:rPr>
          <w:b/>
          <w:sz w:val="18"/>
        </w:rPr>
      </w:pPr>
      <w:bookmarkStart w:name="_bookmark3" w:id="4"/>
      <w:bookmarkEnd w:id="4"/>
      <w:r>
        <w:rPr>
          <w:b/>
          <w:sz w:val="18"/>
        </w:rPr>
        <w:t>D</w:t>
      </w:r>
      <w:r>
        <w:rPr>
          <w:b/>
          <w:sz w:val="18"/>
        </w:rPr>
        <w:t>e danske myndigheder Kontoret for</w:t>
      </w:r>
      <w:r>
        <w:rPr>
          <w:b/>
          <w:spacing w:val="-2"/>
          <w:sz w:val="18"/>
        </w:rPr>
        <w:t> </w:t>
      </w:r>
      <w:r>
        <w:rPr>
          <w:b/>
          <w:sz w:val="18"/>
        </w:rPr>
        <w:t>rum</w:t>
      </w:r>
    </w:p>
    <w:p>
      <w:pPr>
        <w:spacing w:line="256" w:lineRule="auto" w:before="21"/>
        <w:ind w:left="742" w:right="1151" w:firstLine="0"/>
        <w:jc w:val="left"/>
        <w:rPr>
          <w:sz w:val="18"/>
        </w:rPr>
      </w:pPr>
      <w:r>
        <w:rPr>
          <w:sz w:val="18"/>
        </w:rPr>
        <w:t>Den 8. maj 2015 fik Uddannelses- og Forskningsministeren overdraget det ressortmæssige ansvar for 1) sager vedrørende regulering af danske aktiviteter i det ydre rum, 2) for deltagelse i interna- tionalt samarbejde om aktiviteter i det ydre rum, samt 3) for koordinering og samarbejde mellem danske myndigheder med rumrelaterede ansvarsområder. I forhold til m</w:t>
      </w:r>
      <w:r>
        <w:rPr>
          <w:sz w:val="19"/>
        </w:rPr>
        <w:t>yndighedsvaretagelsen, og dermed ansvaret for dansk udbytte af rumområdet, er denne fordelt mellem en række ministerier, der hver især bidrager med kompetencer inden </w:t>
      </w:r>
      <w:r>
        <w:rPr>
          <w:sz w:val="18"/>
        </w:rPr>
        <w:t>for deres respektive fagområder, og som i større eller mindre grad anvender rumbaserede systemer.</w:t>
      </w:r>
    </w:p>
    <w:p>
      <w:pPr>
        <w:pStyle w:val="BodyText"/>
        <w:rPr>
          <w:sz w:val="20"/>
        </w:rPr>
      </w:pPr>
    </w:p>
    <w:p>
      <w:pPr>
        <w:spacing w:before="0"/>
        <w:ind w:left="742" w:right="0" w:firstLine="0"/>
        <w:jc w:val="left"/>
        <w:rPr>
          <w:b/>
          <w:sz w:val="18"/>
        </w:rPr>
      </w:pPr>
      <w:r>
        <w:rPr>
          <w:b/>
          <w:sz w:val="18"/>
        </w:rPr>
        <w:t>Flere ministerier og styrelser er aktive brugere af data og produkter fra rumområdet</w:t>
      </w:r>
    </w:p>
    <w:p>
      <w:pPr>
        <w:pStyle w:val="BodyText"/>
        <w:spacing w:line="264" w:lineRule="auto" w:before="22"/>
        <w:ind w:left="742" w:right="1275"/>
      </w:pPr>
      <w:r>
        <w:rPr/>
        <w:t>En række af de danske ministerier og styrelser er aktive brugere af data og produkter fra rumom- rådet. Det omfatter bl.a. Danmarks Meteorologiske Institut (under Energi-, Forsynings- og Klima-</w:t>
      </w:r>
    </w:p>
    <w:p>
      <w:pPr>
        <w:spacing w:after="0" w:line="264" w:lineRule="auto"/>
        <w:sectPr>
          <w:pgSz w:w="11910" w:h="16840"/>
          <w:pgMar w:header="0" w:footer="1056" w:top="1580" w:bottom="1240" w:left="960" w:right="0"/>
        </w:sectPr>
      </w:pPr>
    </w:p>
    <w:p>
      <w:pPr>
        <w:pStyle w:val="BodyText"/>
        <w:spacing w:line="264" w:lineRule="auto" w:before="126"/>
        <w:ind w:left="742" w:right="1530"/>
      </w:pPr>
      <w:r>
        <w:rPr/>
        <w:t>ministeriet), Forsvarsministeriet, NaturErhvervstyrelsen (under Miljø- og Fødevareministeriet), Styrelsen for Dataforsyning og Effektivisering (under Energi-, Forsynings- og Klimaministeriet), Søfartsstyrelsen (under Erhvervs- og Vækstministeriet).</w:t>
      </w:r>
    </w:p>
    <w:p>
      <w:pPr>
        <w:pStyle w:val="BodyText"/>
        <w:spacing w:before="7"/>
        <w:rPr>
          <w:sz w:val="19"/>
        </w:rPr>
      </w:pPr>
    </w:p>
    <w:p>
      <w:pPr>
        <w:pStyle w:val="BodyText"/>
        <w:spacing w:line="259" w:lineRule="auto" w:before="1"/>
        <w:ind w:left="742" w:right="1201"/>
        <w:rPr>
          <w:sz w:val="19"/>
        </w:rPr>
      </w:pPr>
      <w:r>
        <w:rPr/>
        <w:t>Data fra satellitter indgår direkte i DMI's vejrmodeller og er dermed et hovedelement i instituttets kerneforretning. Forsvaret benytter mange former for rumrelaterede ydelser og data. Styrelsen for Dataforsyning og Effektivisering understøtter bl.a. Forsvaret med geodata både nationalt og inter- nationalt ligesom styrelsen repræsenterer Danmark i internationale geodata-samarbejder og i det arktiske samarbejde under Arktisk Råd. NaturErhvervstyrelsen bruger satellitdata i sagsbehandlin- gen når der udbetales støtte til landmænd – samt i kontrolsammenhæng. </w:t>
      </w:r>
      <w:r>
        <w:rPr>
          <w:sz w:val="19"/>
        </w:rPr>
        <w:t>Søfartsstyrelsen benyt- ter satellitdata til ruteplanlægning, maritim fysisk planlægning, havnestatskontrol mv.</w:t>
      </w:r>
    </w:p>
    <w:p>
      <w:pPr>
        <w:pStyle w:val="BodyText"/>
        <w:spacing w:before="8"/>
        <w:rPr>
          <w:sz w:val="19"/>
        </w:rPr>
      </w:pPr>
    </w:p>
    <w:p>
      <w:pPr>
        <w:pStyle w:val="BodyText"/>
        <w:spacing w:line="264" w:lineRule="auto" w:before="1"/>
        <w:ind w:left="742" w:right="1282"/>
      </w:pPr>
      <w:r>
        <w:rPr/>
        <w:t>Danske myndigheder benytter således i betydelig omfang data og produkter fra rummet. Derud- over eksisterer der et væsentligt samarbejde mellem myndigheder – især på modne ressortområ- der som søfart, transport og forsvar. Yderligere arbejder flere myndigheder aktivt med at imple- mentere nye anvendelser af data og produkter fra rummet. Det gælder eksempelvis i NaturEr- hvervstyrelsen, som er begyndt at benytte satellitdata i sit arbejde med administration og kontrol af arealstøtte til landmænd samt i forbindelse med overvågning af fredet natur.</w:t>
      </w:r>
    </w:p>
    <w:p>
      <w:pPr>
        <w:pStyle w:val="BodyText"/>
        <w:spacing w:before="5"/>
        <w:rPr>
          <w:sz w:val="19"/>
        </w:rPr>
      </w:pPr>
    </w:p>
    <w:p>
      <w:pPr>
        <w:spacing w:before="0"/>
        <w:ind w:left="742" w:right="0" w:firstLine="0"/>
        <w:jc w:val="left"/>
        <w:rPr>
          <w:b/>
          <w:sz w:val="18"/>
        </w:rPr>
      </w:pPr>
      <w:r>
        <w:rPr>
          <w:b/>
          <w:sz w:val="18"/>
        </w:rPr>
        <w:t>Kommuner benytter også data og produkter fra rumområdet</w:t>
      </w:r>
    </w:p>
    <w:p>
      <w:pPr>
        <w:pStyle w:val="BodyText"/>
        <w:spacing w:line="264" w:lineRule="auto" w:before="22"/>
        <w:ind w:left="742" w:right="1177"/>
      </w:pPr>
      <w:r>
        <w:rPr/>
        <w:t>Også på det kommunale niveau giver data og produkter fra rumområdet nye muligheder, herunder ikke mindst i forhold til byudvikling og eksempelvis klimasikring. I Danmark anvendes JO forsøgs- mæssigt i Thyborøn, hvor målet er at nå frem til en komplet fremskrivning af de næste mange års landhævninger og -sænkninger, hvilket udgør et væsentligt element i planlægningen af den lokale klimatilpasning. Fremskrivningen sker bl.a. i samarbejde med Kystdirektoratet og Styrelsen for Dataforsyning og Effektivisering.</w:t>
      </w:r>
    </w:p>
    <w:p>
      <w:pPr>
        <w:pStyle w:val="BodyText"/>
        <w:rPr>
          <w:sz w:val="22"/>
        </w:rPr>
      </w:pPr>
    </w:p>
    <w:p>
      <w:pPr>
        <w:pStyle w:val="BodyText"/>
        <w:spacing w:before="2"/>
        <w:rPr>
          <w:sz w:val="17"/>
        </w:rPr>
      </w:pPr>
    </w:p>
    <w:p>
      <w:pPr>
        <w:pStyle w:val="Heading2"/>
        <w:numPr>
          <w:ilvl w:val="1"/>
          <w:numId w:val="3"/>
        </w:numPr>
        <w:tabs>
          <w:tab w:pos="741" w:val="left" w:leader="none"/>
          <w:tab w:pos="743" w:val="left" w:leader="none"/>
        </w:tabs>
        <w:spacing w:line="240" w:lineRule="auto" w:before="0" w:after="0"/>
        <w:ind w:left="742" w:right="0" w:hanging="624"/>
        <w:jc w:val="left"/>
      </w:pPr>
      <w:bookmarkStart w:name="_bookmark4" w:id="5"/>
      <w:bookmarkEnd w:id="5"/>
      <w:r>
        <w:rPr/>
        <w:t>S</w:t>
      </w:r>
      <w:r>
        <w:rPr/>
        <w:t>amfundsøkonomiske gevinster ved rummet</w:t>
      </w:r>
    </w:p>
    <w:p>
      <w:pPr>
        <w:pStyle w:val="BodyText"/>
        <w:spacing w:line="264" w:lineRule="auto" w:before="21"/>
        <w:ind w:left="742" w:right="1265"/>
      </w:pPr>
      <w:r>
        <w:rPr/>
        <w:t>Investeringer i rummet bliver ofte fremhævet som særdeles gode investeringer med store afkast. Som led i analysen er der foretaget en gennemgang af eksisterende evidens og viden om de sam- fundsøkonomiske gevinster.</w:t>
      </w:r>
    </w:p>
    <w:p>
      <w:pPr>
        <w:pStyle w:val="BodyText"/>
        <w:spacing w:before="7"/>
        <w:rPr>
          <w:sz w:val="19"/>
        </w:rPr>
      </w:pPr>
    </w:p>
    <w:p>
      <w:pPr>
        <w:spacing w:before="1"/>
        <w:ind w:left="742" w:right="0" w:firstLine="0"/>
        <w:jc w:val="left"/>
        <w:rPr>
          <w:b/>
          <w:sz w:val="18"/>
        </w:rPr>
      </w:pPr>
      <w:r>
        <w:rPr>
          <w:b/>
          <w:sz w:val="18"/>
        </w:rPr>
        <w:t>Store gevinster sammenholdt med sektorens relative størrelse</w:t>
      </w:r>
    </w:p>
    <w:p>
      <w:pPr>
        <w:pStyle w:val="BodyText"/>
        <w:spacing w:line="264" w:lineRule="auto" w:before="21"/>
        <w:ind w:left="742" w:right="1253"/>
      </w:pPr>
      <w:r>
        <w:rPr/>
        <w:t>I forhold til sin relative størrelse bidrager det danske rumområde gennem afsmittende effekter til væsentlig større samfundsøkonomiske gevinster. Der er fastslået betydelige samfundsøkonomiske gevinster ved offentlige investeringer i både jordobservation, navigation og kommunikation.</w:t>
      </w:r>
    </w:p>
    <w:p>
      <w:pPr>
        <w:pStyle w:val="BodyText"/>
        <w:spacing w:before="7"/>
        <w:rPr>
          <w:sz w:val="19"/>
        </w:rPr>
      </w:pPr>
    </w:p>
    <w:p>
      <w:pPr>
        <w:pStyle w:val="BodyText"/>
        <w:spacing w:line="264" w:lineRule="auto"/>
        <w:ind w:left="742" w:right="1157"/>
      </w:pPr>
      <w:r>
        <w:rPr/>
        <w:t>I forhold til </w:t>
      </w:r>
      <w:r>
        <w:rPr>
          <w:b/>
        </w:rPr>
        <w:t>jordobservation </w:t>
      </w:r>
      <w:r>
        <w:rPr/>
        <w:t>skønnes Danmarks bidrag til GMES/Copernicus at afføde samfunds- økonomiske gevinster på omkring 7,5 mia. DKK frem mod 2030. På </w:t>
      </w:r>
      <w:r>
        <w:rPr>
          <w:b/>
        </w:rPr>
        <w:t>navigationsområdet </w:t>
      </w:r>
      <w:r>
        <w:rPr/>
        <w:t>skønnes de samfundsøkonomiske gevinster ved GPS-aktiviteter at udgøre omkring 6 mia. i 2013. Eftersom der kun er medtaget et udsnit af GPS-aktiviteter, kan dette med rimelighed betragtes som en ned- re grænse. De samfundsøkonomiske gevinster ved </w:t>
      </w:r>
      <w:r>
        <w:rPr>
          <w:b/>
        </w:rPr>
        <w:t>satellitkommunikation </w:t>
      </w:r>
      <w:r>
        <w:rPr/>
        <w:t>er ligeledes store, men har ikke på samme måde været mulige at kvantificere på et overordnet niveau, da der endnu ikke eksisterer studier af den samfundsøkonomiske værdi. I tillæg til de tre ovenstående satellitty- per skønnes de samfundsøkonomiske gevinster ved vejrmeldinger gennem EUMETSAT at udgøre omkring 700 mio. DKK</w:t>
      </w:r>
      <w:r>
        <w:rPr>
          <w:spacing w:val="-4"/>
        </w:rPr>
        <w:t> </w:t>
      </w:r>
      <w:r>
        <w:rPr/>
        <w:t>årligt.</w:t>
      </w:r>
    </w:p>
    <w:p>
      <w:pPr>
        <w:spacing w:after="0" w:line="264" w:lineRule="auto"/>
        <w:sectPr>
          <w:pgSz w:w="11910" w:h="16840"/>
          <w:pgMar w:header="0" w:footer="1056" w:top="1580" w:bottom="1240" w:left="960" w:right="0"/>
        </w:sectPr>
      </w:pPr>
    </w:p>
    <w:p>
      <w:pPr>
        <w:pStyle w:val="Heading2"/>
        <w:numPr>
          <w:ilvl w:val="1"/>
          <w:numId w:val="3"/>
        </w:numPr>
        <w:tabs>
          <w:tab w:pos="741" w:val="left" w:leader="none"/>
          <w:tab w:pos="743" w:val="left" w:leader="none"/>
        </w:tabs>
        <w:spacing w:line="240" w:lineRule="auto" w:before="126" w:after="0"/>
        <w:ind w:left="742" w:right="0" w:hanging="624"/>
        <w:jc w:val="left"/>
      </w:pPr>
      <w:bookmarkStart w:name="_bookmark5" w:id="6"/>
      <w:bookmarkEnd w:id="6"/>
      <w:r>
        <w:rPr/>
        <w:t>A</w:t>
      </w:r>
      <w:r>
        <w:rPr/>
        <w:t>nvendelsesmuligheder</w:t>
      </w:r>
    </w:p>
    <w:p>
      <w:pPr>
        <w:pStyle w:val="BodyText"/>
        <w:spacing w:line="264" w:lineRule="auto" w:before="22"/>
        <w:ind w:left="742" w:right="1227"/>
      </w:pPr>
      <w:r>
        <w:rPr/>
        <w:t>Inden for navigation fremhæves særligt potentialer for de brancher, der beskæftiger sig med transport til lands, til vands og i luften. Her giver udnyttelse af nøjagtig satellitnavigation mulighe- der for forbedret flådestyring og ruteplanlægning og der foregår i dag en del aktivitet omkring ud- arbejdelse af mere relevante prognoser – eksempelvis for den optimale vej over Atlanten. Anven- delsesmulighederne for GNSS favner dog bredt.</w:t>
      </w:r>
    </w:p>
    <w:p>
      <w:pPr>
        <w:pStyle w:val="BodyText"/>
        <w:spacing w:before="5"/>
        <w:rPr>
          <w:sz w:val="19"/>
        </w:rPr>
      </w:pPr>
    </w:p>
    <w:p>
      <w:pPr>
        <w:pStyle w:val="BodyText"/>
        <w:spacing w:line="264" w:lineRule="auto"/>
        <w:ind w:left="742" w:right="1201"/>
      </w:pPr>
      <w:r>
        <w:rPr/>
        <w:t>Den kommercielle anvendelse af jordobservation har endnu ikke nået det samme niveau som de andre satellitteknologier. Brugen af satellitbilleder er således primært samlet i aktiviteter der</w:t>
      </w:r>
      <w:r>
        <w:rPr>
          <w:spacing w:val="-45"/>
        </w:rPr>
        <w:t> </w:t>
      </w:r>
      <w:r>
        <w:rPr/>
        <w:t>sigter mod den offentlige sektor, men der er væsentlige undtagelser. Samtidigt rummer de senere års udvikling i kvaliteten af satellitbilleder interessante perspektiver. Opløsningen i satellitbillederne er i dag så høj, at data der tidligere er indsamlet via fly, skibe eller fra landjorden i dag i vid udtræk- ning kan afløses af</w:t>
      </w:r>
      <w:r>
        <w:rPr>
          <w:spacing w:val="-7"/>
        </w:rPr>
        <w:t> </w:t>
      </w:r>
      <w:r>
        <w:rPr/>
        <w:t>satellitdata.</w:t>
      </w:r>
    </w:p>
    <w:p>
      <w:pPr>
        <w:pStyle w:val="BodyText"/>
        <w:spacing w:before="6"/>
        <w:rPr>
          <w:sz w:val="19"/>
        </w:rPr>
      </w:pPr>
    </w:p>
    <w:p>
      <w:pPr>
        <w:pStyle w:val="BodyText"/>
        <w:spacing w:line="264" w:lineRule="auto"/>
        <w:ind w:left="742" w:right="1145"/>
      </w:pPr>
      <w:r>
        <w:rPr/>
        <w:t>Udover de transporttunge brancher, hvor de seneste års udvikling i kvaliteten af satellitbilleder har bidraget til et bedre overblik over den samlede trafiksituation og forhold på ruten, er eksempler på brancher der kan drage nytte af denne udvikling rådgivende ingeniører, forsikringsselskaber og andre virksomheder, der arbejder med geografisk information. En anden branche der allerede i dag udnytter rumteknologiens potentialer, men som stadighed udforsker nye kommercielle anvendel- sesmuligheder, er landbruget.</w:t>
      </w:r>
    </w:p>
    <w:p>
      <w:pPr>
        <w:pStyle w:val="BodyText"/>
        <w:spacing w:before="5"/>
        <w:rPr>
          <w:sz w:val="19"/>
        </w:rPr>
      </w:pPr>
    </w:p>
    <w:p>
      <w:pPr>
        <w:pStyle w:val="BodyText"/>
        <w:spacing w:line="264" w:lineRule="auto" w:before="1"/>
        <w:ind w:left="742" w:right="1178"/>
      </w:pPr>
      <w:r>
        <w:rPr/>
        <w:t>De kommercielle anvendelsesmuligheder af satellitkommunikation er mange, og højt udviklede. Generelt kan anvendelsesmulighederne sammenfattes til at omfatte alle områder, hvor der er be- hov for at kunne kommunikere mellem lokaliteter, der ellers ikke har brugbare alternative kommu- nikationsforbindelser.</w:t>
      </w:r>
    </w:p>
    <w:p>
      <w:pPr>
        <w:pStyle w:val="BodyText"/>
        <w:spacing w:before="6"/>
        <w:rPr>
          <w:sz w:val="19"/>
        </w:rPr>
      </w:pPr>
    </w:p>
    <w:p>
      <w:pPr>
        <w:pStyle w:val="BodyText"/>
        <w:spacing w:line="264" w:lineRule="auto"/>
        <w:ind w:left="742" w:right="1139"/>
      </w:pPr>
      <w:r>
        <w:rPr/>
        <w:t>Kombinationen af teknologier rummer potentialer for yderligere gevinster, eksempelvis på byudvik- lingsområdet. ESA’s Integrated Applications Programme er også et eksempel på hvordan man sø- ger at forbedre udbyttet af rumapplikationer ved at kombinere teknologier.</w:t>
      </w:r>
    </w:p>
    <w:p>
      <w:pPr>
        <w:spacing w:after="0" w:line="264" w:lineRule="auto"/>
        <w:sectPr>
          <w:pgSz w:w="11910" w:h="16840"/>
          <w:pgMar w:header="0" w:footer="1056" w:top="1580" w:bottom="1240" w:left="960" w:right="0"/>
        </w:sectPr>
      </w:pPr>
    </w:p>
    <w:p>
      <w:pPr>
        <w:pStyle w:val="Heading1"/>
        <w:numPr>
          <w:ilvl w:val="0"/>
          <w:numId w:val="2"/>
        </w:numPr>
        <w:tabs>
          <w:tab w:pos="741" w:val="left" w:leader="none"/>
          <w:tab w:pos="743" w:val="left" w:leader="none"/>
        </w:tabs>
        <w:spacing w:line="240" w:lineRule="auto" w:before="110" w:after="0"/>
        <w:ind w:left="742" w:right="0" w:hanging="624"/>
        <w:jc w:val="left"/>
      </w:pPr>
      <w:bookmarkStart w:name="_bookmark6" w:id="7"/>
      <w:bookmarkEnd w:id="7"/>
      <w:r>
        <w:rPr>
          <w:color w:val="009DDF"/>
        </w:rPr>
        <w:t>IND</w:t>
      </w:r>
      <w:r>
        <w:rPr>
          <w:color w:val="009DDF"/>
        </w:rPr>
        <w:t>LEDNING</w:t>
      </w:r>
    </w:p>
    <w:p>
      <w:pPr>
        <w:pStyle w:val="BodyText"/>
        <w:spacing w:line="264" w:lineRule="auto" w:before="276"/>
        <w:ind w:left="742" w:right="1171"/>
      </w:pPr>
      <w:r>
        <w:rPr/>
        <w:t>For første gang i danmarkshistorien har regeringen påbegyndt processen med en national rumstra- tegi – en målrettet og langsigtet plan, som skal forme og styre udviklingen af den danske rumøko- nomi i de kommende årtier. For at støtte og oplyse denne strategiproces og sikre muligheden for, at man kan forelægge en velunderbygget strategi for regeringen, er det centralt at der etableres et analyse- og evidensgrundlag for rumområdet. Strategien forelægges regeringen inden udgangen af første halvår 2016.</w:t>
      </w:r>
    </w:p>
    <w:p>
      <w:pPr>
        <w:pStyle w:val="BodyText"/>
        <w:spacing w:before="5"/>
        <w:rPr>
          <w:sz w:val="19"/>
        </w:rPr>
      </w:pPr>
    </w:p>
    <w:p>
      <w:pPr>
        <w:pStyle w:val="BodyText"/>
        <w:spacing w:line="264" w:lineRule="auto"/>
        <w:ind w:left="742" w:right="1142"/>
      </w:pPr>
      <w:r>
        <w:rPr/>
        <w:t>Foruden analyse- og evidensgrundlaget omfatter strategiarbejdet drøftelser mellem de otte mini- sterier i arbejdsgruppen samt drøftelser mellem medlemmerne af følgegruppen og Rumforsknings- udvalget. Der er med andre ord behov for et fokuseret forløb i forhold til strategiarbejdet, og det er derfor vigtigt at analyse- og evidensgrundlaget spiller ind i strategiarbejdet på den helt rigtige må- de.</w:t>
      </w:r>
    </w:p>
    <w:p>
      <w:pPr>
        <w:pStyle w:val="BodyText"/>
        <w:spacing w:before="7"/>
        <w:rPr>
          <w:sz w:val="19"/>
        </w:rPr>
      </w:pPr>
    </w:p>
    <w:p>
      <w:pPr>
        <w:pStyle w:val="BodyText"/>
        <w:spacing w:line="264" w:lineRule="auto"/>
        <w:ind w:left="742" w:right="1505"/>
      </w:pPr>
      <w:r>
        <w:rPr/>
        <w:t>Formålet med denne rapport er at skabe et evidensgrundlag for rumområdets reelle omfang i Danmark samt for udnyttelse af potentialer og anvendelsesmuligheder for virksomheder, forsk- ningsinstitutioner og myndigheder.</w:t>
      </w:r>
    </w:p>
    <w:p>
      <w:pPr>
        <w:pStyle w:val="BodyText"/>
        <w:spacing w:before="7"/>
        <w:rPr>
          <w:sz w:val="19"/>
        </w:rPr>
      </w:pPr>
    </w:p>
    <w:p>
      <w:pPr>
        <w:pStyle w:val="BodyText"/>
        <w:spacing w:line="264" w:lineRule="auto"/>
        <w:ind w:left="742" w:right="1165"/>
      </w:pPr>
      <w:r>
        <w:rPr/>
        <w:t>Der findes ingen autoritative og opdaterede angivelser af erhvervsstruktur og størrelse af rumsek- toren i Danmark for så vidt angår eksempelvis omsætning, antal beskæftigede, antal virksomheder og forsknings- og udviklingsinstitutioner, bevillinger uden for ESA mv. Indeværende rapport er dermed vigtig, idet den sætter tal på et svært kvantificerbart område, hvilket også understreger dens betydning som udgangspunkt for den kommende nationale strategi for rumområdet.</w:t>
      </w:r>
    </w:p>
    <w:p>
      <w:pPr>
        <w:pStyle w:val="BodyText"/>
        <w:spacing w:before="6"/>
        <w:rPr>
          <w:sz w:val="19"/>
        </w:rPr>
      </w:pPr>
    </w:p>
    <w:p>
      <w:pPr>
        <w:pStyle w:val="BodyText"/>
        <w:spacing w:line="264" w:lineRule="auto"/>
        <w:ind w:left="742" w:right="1270"/>
      </w:pPr>
      <w:r>
        <w:rPr/>
        <w:t>Med afsæt i analyse- og evidensgrundlaget samt bred inddragelse af offentlige og private interes- senter skal strategien udstikke de kort-, mellem- og langsigtede rammer for rumområdet i Dan- mark og bidrage til, at der erhvervslivet, forskningsverdenen og myndighederne kan høste de for- ventede potentialer på området.</w:t>
      </w:r>
    </w:p>
    <w:p>
      <w:pPr>
        <w:pStyle w:val="BodyText"/>
        <w:spacing w:before="7"/>
        <w:rPr>
          <w:sz w:val="19"/>
        </w:rPr>
      </w:pPr>
    </w:p>
    <w:p>
      <w:pPr>
        <w:pStyle w:val="BodyText"/>
        <w:spacing w:line="264" w:lineRule="auto"/>
        <w:ind w:left="742" w:right="1163"/>
      </w:pPr>
      <w:r>
        <w:rPr/>
        <w:t>Rapporten består af et sammenfattende resumé (kapitel 1), en indledning (kapitel 2) samt fem delanalyser, der tilsammen sikrer et fyldestgørende dokumentationsgrundlag. De første tre delana- lyser (kapitel 3-5) kortlægger nuværende danske rumrelaterede aktiviteter, samfundsøkonomiske gevinster herved samt specifikke danske styrkepositioner. De sidste to delanalyser (kapitel 6 og 7) undersøger med udgangspunkt i en kortlægning af nuværende hhv. kommerciel samt myndigheds- anvendelse fremtidige anvendelsesmuligheder og behov. Samspillet mellem de enkelte delanalyser og det efterfølgende strategiarbejde er illustreret i figuren nedenfor.</w:t>
      </w:r>
    </w:p>
    <w:p>
      <w:pPr>
        <w:spacing w:before="141"/>
        <w:ind w:left="742" w:right="0" w:firstLine="0"/>
        <w:jc w:val="left"/>
        <w:rPr>
          <w:b/>
          <w:sz w:val="15"/>
        </w:rPr>
      </w:pPr>
      <w:r>
        <w:rPr/>
        <w:pict>
          <v:group style="position:absolute;margin-left:398.436096pt;margin-top:57.731663pt;width:80.2pt;height:43.4pt;mso-position-horizontal-relative:page;mso-position-vertical-relative:paragraph;z-index:1192" coordorigin="7969,1155" coordsize="1604,868">
            <v:shape style="position:absolute;left:7972;top:1158;width:1598;height:861" coordorigin="7972,1158" coordsize="1598,861" path="m7972,1301l7984,1246,8017,1200,8065,1169,8124,1158,9417,1158,9476,1169,9525,1200,9557,1246,9569,1301,9569,1875,9557,1931,9525,1976,9476,2007,9417,2018,8124,2018,8065,2007,8017,1976,7984,1931,7972,1875,7972,1301xe" filled="false" stroked="true" strokeweight=".342992pt" strokecolor="#797766">
              <v:path arrowok="t"/>
              <v:stroke dashstyle="shortdash"/>
            </v:shape>
            <v:shape style="position:absolute;left:7968;top:1154;width:1604;height:868" type="#_x0000_t202" filled="false" stroked="false">
              <v:textbox inset="0,0,0,0">
                <w:txbxContent>
                  <w:p>
                    <w:pPr>
                      <w:spacing w:line="240" w:lineRule="auto" w:before="0"/>
                      <w:rPr>
                        <w:b/>
                        <w:sz w:val="10"/>
                      </w:rPr>
                    </w:pPr>
                  </w:p>
                  <w:p>
                    <w:pPr>
                      <w:spacing w:line="240" w:lineRule="auto" w:before="0"/>
                      <w:rPr>
                        <w:b/>
                        <w:sz w:val="10"/>
                      </w:rPr>
                    </w:pPr>
                  </w:p>
                  <w:p>
                    <w:pPr>
                      <w:spacing w:line="247" w:lineRule="auto" w:before="81"/>
                      <w:ind w:left="515" w:right="441" w:hanging="52"/>
                      <w:jc w:val="left"/>
                      <w:rPr>
                        <w:b/>
                        <w:sz w:val="9"/>
                      </w:rPr>
                    </w:pPr>
                    <w:r>
                      <w:rPr>
                        <w:b/>
                        <w:w w:val="110"/>
                        <w:sz w:val="9"/>
                      </w:rPr>
                      <w:t>Formulering af strategi</w:t>
                    </w:r>
                  </w:p>
                </w:txbxContent>
              </v:textbox>
              <w10:wrap type="none"/>
            </v:shape>
            <w10:wrap type="none"/>
          </v:group>
        </w:pict>
      </w:r>
      <w:r>
        <w:rPr/>
        <w:pict>
          <v:group style="position:absolute;margin-left:385.019592pt;margin-top:62.231388pt;width:7.15pt;height:34.35pt;mso-position-horizontal-relative:page;mso-position-vertical-relative:paragraph;z-index:1216" coordorigin="7700,1245" coordsize="143,687">
            <v:shape style="position:absolute;left:7705;top:1249;width:133;height:677" coordorigin="7705,1249" coordsize="133,677" path="m7708,1249l7706,1259,7821,1588,7821,1588,7705,1917,7707,1926,7720,1921,7838,1588,7720,1255,7708,1249xe" filled="true" fillcolor="#797766" stroked="false">
              <v:path arrowok="t"/>
              <v:fill type="solid"/>
            </v:shape>
            <v:shape style="position:absolute;left:7705;top:1249;width:133;height:677" coordorigin="7705,1249" coordsize="133,677" path="m7821,1588l7821,1588,7706,1259,7708,1249,7720,1255,7838,1588,7720,1921,7707,1926,7705,1917e" filled="false" stroked="true" strokeweight=".477863pt" strokecolor="#797766">
              <v:path arrowok="t"/>
              <v:stroke dashstyle="solid"/>
            </v:shape>
            <w10:wrap type="none"/>
          </v:group>
        </w:pict>
      </w:r>
      <w:r>
        <w:rPr/>
        <w:pict>
          <v:group style="position:absolute;margin-left:85.055191pt;margin-top:18.150347pt;width:293.650pt;height:136pt;mso-position-horizontal-relative:page;mso-position-vertical-relative:paragraph;z-index:1528" coordorigin="1701,363" coordsize="5873,2720">
            <v:shape style="position:absolute;left:3803;top:366;width:3767;height:2410" coordorigin="3803,366" coordsize="3767,2410" path="m7143,366l4230,366,4153,373,4081,392,4015,421,3955,461,3904,509,3862,565,3830,628,3810,696,3803,768,3803,2375,3810,2447,3830,2515,3862,2577,3904,2633,3955,2682,4015,2721,4081,2751,4153,2770,4230,2776,7143,2776,7220,2770,7292,2751,7359,2721,7418,2682,7470,2633,7512,2577,7543,2515,7563,2447,7570,2375,7570,768,7563,696,7543,628,7512,565,7470,509,7418,461,7359,421,7292,392,7220,373,7143,366xe" filled="true" fillcolor="#ebebe8" stroked="false">
              <v:path arrowok="t"/>
              <v:fill type="solid"/>
            </v:shape>
            <v:shape style="position:absolute;left:3803;top:366;width:3767;height:2410" coordorigin="3803,366" coordsize="3767,2410" path="m3803,768l3810,696,3830,628,3862,565,3904,509,3955,461,4015,421,4081,392,4153,373,4230,366,7143,366,7220,373,7292,392,7359,421,7418,461,7470,509,7512,565,7543,628,7563,696,7570,768,7570,2375,7563,2447,7543,2515,7512,2577,7470,2633,7418,2682,7359,2721,7292,2751,7220,2770,7143,2776,4230,2776,4153,2770,4081,2751,4015,2721,3955,2682,3904,2633,3862,2577,3830,2515,3810,2447,3803,2375,3803,768xe" filled="false" stroked="true" strokeweight=".344359pt" strokecolor="#797766">
              <v:path arrowok="t"/>
              <v:stroke dashstyle="solid"/>
            </v:shape>
            <v:shape style="position:absolute;left:4039;top:666;width:1598;height:291" coordorigin="4039,666" coordsize="1598,291" path="m5585,666l4091,666,4071,670,4054,681,4043,696,4039,715,4039,909,4043,928,4054,943,4071,954,4091,957,5585,957,5605,954,5621,943,5632,928,5636,909,5636,715,5632,696,5621,681,5605,670,5585,666xe" filled="true" fillcolor="#009ddf" stroked="false">
              <v:path arrowok="t"/>
              <v:fill type="solid"/>
            </v:shape>
            <v:shape style="position:absolute;left:4039;top:666;width:1598;height:291" coordorigin="4039,666" coordsize="1598,291" path="m4039,715l4043,696,4054,681,4071,670,4091,666,5585,666,5605,670,5621,681,5632,696,5636,715,5636,909,5632,928,5621,943,5605,954,5585,957,4091,957,4071,954,4054,943,4043,928,4039,909,4039,715xe" filled="false" stroked="true" strokeweight=".451955pt" strokecolor="#797766">
              <v:path arrowok="t"/>
              <v:stroke dashstyle="solid"/>
            </v:shape>
            <v:shape style="position:absolute;left:4039;top:1098;width:1598;height:290" coordorigin="4039,1098" coordsize="1598,290" path="m5585,1098l4090,1098,4071,1102,4054,1112,4043,1128,4039,1147,4039,1340,4043,1359,4054,1374,4071,1384,4090,1388,5585,1388,5605,1384,5621,1374,5632,1359,5636,1340,5636,1147,5632,1128,5621,1112,5605,1102,5585,1098xe" filled="true" fillcolor="#009ddf" stroked="false">
              <v:path arrowok="t"/>
              <v:fill type="solid"/>
            </v:shape>
            <v:shape style="position:absolute;left:4039;top:1098;width:1598;height:290" coordorigin="4039,1098" coordsize="1598,290" path="m4039,1147l4043,1128,4054,1112,4071,1102,4090,1098,5585,1098,5605,1102,5621,1112,5632,1128,5636,1147,5636,1340,5632,1359,5621,1374,5605,1384,5585,1388,4090,1388,4071,1384,4054,1374,4043,1359,4039,1340,4039,1147xe" filled="false" stroked="true" strokeweight=".451948pt" strokecolor="#797766">
              <v:path arrowok="t"/>
              <v:stroke dashstyle="solid"/>
            </v:shape>
            <v:shape style="position:absolute;left:4039;top:1529;width:1598;height:290" coordorigin="4039,1529" coordsize="1598,290" path="m5585,1529l4090,1529,4071,1533,4054,1543,4043,1559,4039,1577,4039,1771,4043,1789,4054,1805,4071,1815,4090,1819,5585,1819,5605,1815,5621,1805,5632,1789,5636,1771,5636,1577,5632,1559,5621,1543,5605,1533,5585,1529xe" filled="true" fillcolor="#009ddf" stroked="false">
              <v:path arrowok="t"/>
              <v:fill type="solid"/>
            </v:shape>
            <v:shape style="position:absolute;left:4039;top:1529;width:1598;height:290" coordorigin="4039,1529" coordsize="1598,290" path="m4039,1577l4043,1559,4054,1543,4071,1533,4090,1529,5585,1529,5605,1533,5621,1543,5632,1559,5636,1577,5636,1771,5632,1789,5621,1805,5605,1815,5585,1819,4090,1819,4071,1815,4054,1805,4043,1789,4039,1771,4039,1577xe" filled="false" stroked="true" strokeweight=".451948pt" strokecolor="#797766">
              <v:path arrowok="t"/>
              <v:stroke dashstyle="solid"/>
            </v:shape>
            <v:line style="position:absolute" from="5755,470" to="5755,2732" stroked="true" strokeweight=".778208pt" strokecolor="#797766">
              <v:stroke dashstyle="shortdash"/>
            </v:line>
            <v:shape style="position:absolute;left:4039;top:1959;width:3338;height:290" coordorigin="4039,1960" coordsize="3338,290" path="m7326,1960l4090,1960,4071,1964,4054,1974,4043,1989,4039,2008,4039,2201,4043,2220,4054,2235,4071,2246,4090,2250,7326,2250,7346,2246,7362,2235,7373,2220,7377,2201,7377,2008,7373,1989,7362,1974,7346,1964,7326,1960xe" filled="true" fillcolor="#009ddf" stroked="false">
              <v:path arrowok="t"/>
              <v:fill type="solid"/>
            </v:shape>
            <v:shape style="position:absolute;left:4039;top:1959;width:3338;height:290" coordorigin="4039,1960" coordsize="3338,290" path="m4039,2008l4043,1989,4054,1974,4071,1964,4090,1960,7326,1960,7346,1964,7362,1974,7373,1989,7377,2008,7377,2201,7373,2220,7362,2235,7346,2246,7326,2250,4090,2250,4071,2246,4054,2235,4043,2220,4039,2201,4039,2008xe" filled="false" stroked="true" strokeweight=".451269pt" strokecolor="#797766">
              <v:path arrowok="t"/>
              <v:stroke dashstyle="solid"/>
            </v:shape>
            <v:shape style="position:absolute;left:4039;top:2391;width:3337;height:290" coordorigin="4039,2392" coordsize="3337,290" path="m7325,2392l4090,2392,4071,2396,4054,2406,4043,2421,4039,2440,4039,2633,4043,2652,4054,2667,4071,2678,4090,2682,7325,2682,7345,2678,7361,2667,7372,2652,7376,2633,7376,2440,7372,2421,7361,2406,7345,2396,7325,2392xe" filled="true" fillcolor="#009ddf" stroked="false">
              <v:path arrowok="t"/>
              <v:fill type="solid"/>
            </v:shape>
            <v:shape style="position:absolute;left:4039;top:2391;width:3337;height:290" coordorigin="4039,2392" coordsize="3337,290" path="m4039,2440l4043,2421,4054,2406,4071,2396,4090,2392,7325,2392,7345,2396,7361,2406,7372,2421,7376,2440,7376,2633,7372,2652,7361,2667,7345,2678,7325,2682,4090,2682,4071,2678,4054,2667,4043,2652,4039,2633,4039,2440xe" filled="false" stroked="true" strokeweight=".451269pt" strokecolor="#797766">
              <v:path arrowok="t"/>
              <v:stroke dashstyle="solid"/>
            </v:shape>
            <v:shape style="position:absolute;left:1775;top:2736;width:5795;height:343" coordorigin="1775,2737" coordsize="5795,343" path="m7570,2737l7555,2803,7515,2858,7455,2895,7381,2908,4861,2908,4788,2922,4728,2958,4687,3013,4673,3080,4658,3013,4617,2958,4557,2922,4484,2908,1964,2908,1891,2895,1831,2858,1790,2803,1775,2737e" filled="false" stroked="true" strokeweight=".338368pt" strokecolor="#797766">
              <v:path arrowok="t"/>
              <v:stroke dashstyle="solid"/>
            </v:shape>
            <v:shape style="position:absolute;left:3923;top:580;width:231;height:218" type="#_x0000_t75" stroked="false">
              <v:imagedata r:id="rId16" o:title=""/>
            </v:shape>
            <v:shape style="position:absolute;left:3923;top:988;width:231;height:218" type="#_x0000_t75" stroked="false">
              <v:imagedata r:id="rId16" o:title=""/>
            </v:shape>
            <v:shape style="position:absolute;left:3923;top:1420;width:231;height:218" type="#_x0000_t75" stroked="false">
              <v:imagedata r:id="rId16" o:title=""/>
            </v:shape>
            <v:shape style="position:absolute;left:3923;top:1851;width:231;height:218" type="#_x0000_t75" stroked="false">
              <v:imagedata r:id="rId17" o:title=""/>
            </v:shape>
            <v:shape style="position:absolute;left:3923;top:2307;width:231;height:218" type="#_x0000_t75" stroked="false">
              <v:imagedata r:id="rId16" o:title=""/>
            </v:shape>
            <v:shape style="position:absolute;left:3535;top:1249;width:135;height:677" coordorigin="3535,1249" coordsize="135,677" path="m3538,1249l3536,1259,3652,1588,3535,1917,3537,1926,3550,1921,3669,1588,3551,1255,3538,1249xe" filled="true" fillcolor="#797766" stroked="false">
              <v:path arrowok="t"/>
              <v:fill type="solid"/>
            </v:shape>
            <v:shape style="position:absolute;left:3535;top:1249;width:135;height:677" coordorigin="3535,1249" coordsize="135,677" path="m3652,1588l3536,1259,3538,1249,3551,1255,3669,1588,3550,1921,3537,1926,3535,1917e" filled="false" stroked="true" strokeweight=".477845pt" strokecolor="#797766">
              <v:path arrowok="t"/>
              <v:stroke dashstyle="solid"/>
            </v:shape>
            <v:shape style="position:absolute;left:1803;top:833;width:1598;height:634" coordorigin="1804,833" coordsize="1598,634" path="m3289,833l1916,833,1872,842,1837,864,1813,898,1804,939,1804,1361,1813,1403,1837,1436,1872,1459,1916,1467,3289,1467,3333,1459,3368,1436,3392,1403,3401,1361,3401,939,3392,898,3368,864,3333,842,3289,833xe" filled="true" fillcolor="#ebebe8" stroked="false">
              <v:path arrowok="t"/>
              <v:fill type="solid"/>
            </v:shape>
            <v:shape style="position:absolute;left:1803;top:833;width:1598;height:634" coordorigin="1804,833" coordsize="1598,634" path="m1804,939l1813,898,1837,864,1872,842,1916,833,3289,833,3333,842,3368,864,3392,898,3401,939,3401,1361,3392,1403,3368,1436,3333,1459,3289,1467,1916,1467,1872,1459,1837,1436,1813,1403,1804,1361,1804,939xe" filled="false" stroked="true" strokeweight=".454848pt" strokecolor="#797766">
              <v:path arrowok="t"/>
              <v:stroke dashstyle="solid"/>
            </v:shape>
            <v:shape style="position:absolute;left:1701;top:771;width:231;height:218" type="#_x0000_t75" stroked="false">
              <v:imagedata r:id="rId18" o:title=""/>
            </v:shape>
            <v:shape style="position:absolute;left:1803;top:1768;width:1598;height:634" coordorigin="1804,1768" coordsize="1598,634" path="m3289,1768l1916,1768,1872,1776,1837,1799,1813,1833,1804,1874,1804,2296,1813,2337,1837,2371,1872,2394,1916,2402,3289,2402,3333,2394,3368,2371,3392,2337,3401,2296,3401,1874,3392,1833,3368,1799,3333,1776,3289,1768xe" filled="true" fillcolor="#ebebe8" stroked="false">
              <v:path arrowok="t"/>
              <v:fill type="solid"/>
            </v:shape>
            <v:shape style="position:absolute;left:1803;top:1768;width:1598;height:634" coordorigin="1804,1768" coordsize="1598,634" path="m1804,1874l1813,1833,1837,1799,1872,1776,1916,1768,3289,1768,3333,1776,3368,1799,3392,1833,3401,1874,3401,2296,3392,2337,3368,2371,3333,2394,3289,2402,1916,2402,1872,2394,1837,2371,1813,2337,1804,2296,1804,1874xe" filled="false" stroked="true" strokeweight=".454848pt" strokecolor="#797766">
              <v:path arrowok="t"/>
              <v:stroke dashstyle="solid"/>
            </v:shape>
            <v:shape style="position:absolute;left:1701;top:1704;width:231;height:219" type="#_x0000_t75" stroked="false">
              <v:imagedata r:id="rId19" o:title=""/>
            </v:shape>
            <v:shape style="position:absolute;left:1778;top:810;width:97;height:138" type="#_x0000_t202" filled="false" stroked="false">
              <v:textbox inset="0,0,0,0">
                <w:txbxContent>
                  <w:p>
                    <w:pPr>
                      <w:spacing w:before="2"/>
                      <w:ind w:left="0" w:right="0" w:firstLine="0"/>
                      <w:jc w:val="left"/>
                      <w:rPr>
                        <w:sz w:val="11"/>
                      </w:rPr>
                    </w:pPr>
                    <w:r>
                      <w:rPr>
                        <w:color w:val="FFFFFF"/>
                        <w:w w:val="108"/>
                        <w:sz w:val="11"/>
                      </w:rPr>
                      <w:t>1</w:t>
                    </w:r>
                  </w:p>
                </w:txbxContent>
              </v:textbox>
              <w10:wrap type="none"/>
            </v:shape>
            <v:shape style="position:absolute;left:4000;top:428;width:1349;height:498" type="#_x0000_t202" filled="false" stroked="false">
              <v:textbox inset="0,0,0,0">
                <w:txbxContent>
                  <w:p>
                    <w:pPr>
                      <w:spacing w:before="3"/>
                      <w:ind w:left="649" w:right="0" w:firstLine="0"/>
                      <w:jc w:val="left"/>
                      <w:rPr>
                        <w:b/>
                        <w:sz w:val="9"/>
                      </w:rPr>
                    </w:pPr>
                    <w:r>
                      <w:rPr>
                        <w:b/>
                        <w:w w:val="110"/>
                        <w:sz w:val="9"/>
                      </w:rPr>
                      <w:t>Aktuelt</w:t>
                    </w:r>
                  </w:p>
                  <w:p>
                    <w:pPr>
                      <w:spacing w:line="247" w:lineRule="auto" w:before="81"/>
                      <w:ind w:left="195" w:right="0" w:hanging="196"/>
                      <w:jc w:val="left"/>
                      <w:rPr>
                        <w:b/>
                        <w:sz w:val="9"/>
                      </w:rPr>
                    </w:pPr>
                    <w:r>
                      <w:rPr>
                        <w:color w:val="FFFFFF"/>
                        <w:w w:val="110"/>
                        <w:position w:val="6"/>
                        <w:sz w:val="11"/>
                      </w:rPr>
                      <w:t>3 </w:t>
                    </w:r>
                    <w:r>
                      <w:rPr>
                        <w:b/>
                        <w:color w:val="FFFFFF"/>
                        <w:w w:val="110"/>
                        <w:sz w:val="9"/>
                      </w:rPr>
                      <w:t>Rumområdets reelle omfang i Danmark</w:t>
                    </w:r>
                  </w:p>
                </w:txbxContent>
              </v:textbox>
              <w10:wrap type="none"/>
            </v:shape>
            <v:shape style="position:absolute;left:2380;top:428;width:4601;height:780" type="#_x0000_t202" filled="false" stroked="false">
              <v:textbox inset="0,0,0,0">
                <w:txbxContent>
                  <w:p>
                    <w:pPr>
                      <w:spacing w:before="3"/>
                      <w:ind w:left="0" w:right="18" w:firstLine="0"/>
                      <w:jc w:val="right"/>
                      <w:rPr>
                        <w:b/>
                        <w:sz w:val="9"/>
                      </w:rPr>
                    </w:pPr>
                    <w:r>
                      <w:rPr>
                        <w:b/>
                        <w:w w:val="110"/>
                        <w:sz w:val="9"/>
                      </w:rPr>
                      <w:t>Fremadrettet</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before="70"/>
                      <w:ind w:left="0" w:right="0" w:firstLine="0"/>
                      <w:jc w:val="left"/>
                      <w:rPr>
                        <w:b/>
                        <w:sz w:val="9"/>
                      </w:rPr>
                    </w:pPr>
                    <w:r>
                      <w:rPr>
                        <w:b/>
                        <w:w w:val="110"/>
                        <w:sz w:val="9"/>
                      </w:rPr>
                      <w:t>Resumé</w:t>
                    </w:r>
                  </w:p>
                </w:txbxContent>
              </v:textbox>
              <w10:wrap type="none"/>
            </v:shape>
            <v:shape style="position:absolute;left:4000;top:1028;width:1442;height:328" type="#_x0000_t202" filled="false" stroked="false">
              <v:textbox inset="0,0,0,0">
                <w:txbxContent>
                  <w:p>
                    <w:pPr>
                      <w:spacing w:line="118" w:lineRule="exact" w:before="2"/>
                      <w:ind w:left="0" w:right="0" w:firstLine="0"/>
                      <w:jc w:val="left"/>
                      <w:rPr>
                        <w:sz w:val="11"/>
                      </w:rPr>
                    </w:pPr>
                    <w:r>
                      <w:rPr>
                        <w:color w:val="FFFFFF"/>
                        <w:w w:val="108"/>
                        <w:sz w:val="11"/>
                      </w:rPr>
                      <w:t>4</w:t>
                    </w:r>
                  </w:p>
                  <w:p>
                    <w:pPr>
                      <w:spacing w:line="94" w:lineRule="exact" w:before="0"/>
                      <w:ind w:left="195" w:right="0" w:firstLine="0"/>
                      <w:jc w:val="left"/>
                      <w:rPr>
                        <w:b/>
                        <w:sz w:val="9"/>
                      </w:rPr>
                    </w:pPr>
                    <w:r>
                      <w:rPr>
                        <w:b/>
                        <w:color w:val="FFFFFF"/>
                        <w:w w:val="110"/>
                        <w:sz w:val="9"/>
                      </w:rPr>
                      <w:t>Samfundsøkonomiske</w:t>
                    </w:r>
                  </w:p>
                  <w:p>
                    <w:pPr>
                      <w:spacing w:before="4"/>
                      <w:ind w:left="195" w:right="0" w:firstLine="0"/>
                      <w:jc w:val="left"/>
                      <w:rPr>
                        <w:b/>
                        <w:sz w:val="9"/>
                      </w:rPr>
                    </w:pPr>
                    <w:r>
                      <w:rPr>
                        <w:b/>
                        <w:color w:val="FFFFFF"/>
                        <w:w w:val="110"/>
                        <w:sz w:val="9"/>
                      </w:rPr>
                      <w:t>gevinster</w:t>
                    </w:r>
                  </w:p>
                </w:txbxContent>
              </v:textbox>
              <w10:wrap type="none"/>
            </v:shape>
            <v:shape style="position:absolute;left:4000;top:1460;width:97;height:138" type="#_x0000_t202" filled="false" stroked="false">
              <v:textbox inset="0,0,0,0">
                <w:txbxContent>
                  <w:p>
                    <w:pPr>
                      <w:spacing w:before="2"/>
                      <w:ind w:left="0" w:right="0" w:firstLine="0"/>
                      <w:jc w:val="left"/>
                      <w:rPr>
                        <w:sz w:val="11"/>
                      </w:rPr>
                    </w:pPr>
                    <w:r>
                      <w:rPr>
                        <w:color w:val="FFFFFF"/>
                        <w:w w:val="108"/>
                        <w:sz w:val="11"/>
                      </w:rPr>
                      <w:t>5</w:t>
                    </w:r>
                  </w:p>
                </w:txbxContent>
              </v:textbox>
              <w10:wrap type="none"/>
            </v:shape>
            <v:shape style="position:absolute;left:1778;top:1745;width:97;height:138" type="#_x0000_t202" filled="false" stroked="false">
              <v:textbox inset="0,0,0,0">
                <w:txbxContent>
                  <w:p>
                    <w:pPr>
                      <w:spacing w:before="2"/>
                      <w:ind w:left="0" w:right="0" w:firstLine="0"/>
                      <w:jc w:val="left"/>
                      <w:rPr>
                        <w:sz w:val="11"/>
                      </w:rPr>
                    </w:pPr>
                    <w:r>
                      <w:rPr>
                        <w:color w:val="FFFFFF"/>
                        <w:w w:val="108"/>
                        <w:sz w:val="11"/>
                      </w:rPr>
                      <w:t>2</w:t>
                    </w:r>
                  </w:p>
                </w:txbxContent>
              </v:textbox>
              <w10:wrap type="none"/>
            </v:shape>
            <v:shape style="position:absolute;left:4195;top:1561;width:934;height:227" type="#_x0000_t202" filled="false" stroked="false">
              <v:textbox inset="0,0,0,0">
                <w:txbxContent>
                  <w:p>
                    <w:pPr>
                      <w:spacing w:line="247" w:lineRule="auto" w:before="3"/>
                      <w:ind w:left="0" w:right="2" w:firstLine="0"/>
                      <w:jc w:val="left"/>
                      <w:rPr>
                        <w:b/>
                        <w:sz w:val="9"/>
                      </w:rPr>
                    </w:pPr>
                    <w:r>
                      <w:rPr>
                        <w:b/>
                        <w:color w:val="FFFFFF"/>
                        <w:w w:val="110"/>
                        <w:sz w:val="9"/>
                      </w:rPr>
                      <w:t>Danmarks styrkepositioner</w:t>
                    </w:r>
                  </w:p>
                </w:txbxContent>
              </v:textbox>
              <w10:wrap type="none"/>
            </v:shape>
            <v:shape style="position:absolute;left:4000;top:1891;width:97;height:138" type="#_x0000_t202" filled="false" stroked="false">
              <v:textbox inset="0,0,0,0">
                <w:txbxContent>
                  <w:p>
                    <w:pPr>
                      <w:spacing w:before="2"/>
                      <w:ind w:left="0" w:right="0" w:firstLine="0"/>
                      <w:jc w:val="left"/>
                      <w:rPr>
                        <w:sz w:val="11"/>
                      </w:rPr>
                    </w:pPr>
                    <w:r>
                      <w:rPr>
                        <w:color w:val="FFFFFF"/>
                        <w:w w:val="108"/>
                        <w:sz w:val="11"/>
                      </w:rPr>
                      <w:t>6</w:t>
                    </w:r>
                  </w:p>
                </w:txbxContent>
              </v:textbox>
              <w10:wrap type="none"/>
            </v:shape>
            <v:shape style="position:absolute;left:2245;top:2028;width:733;height:114" type="#_x0000_t202" filled="false" stroked="false">
              <v:textbox inset="0,0,0,0">
                <w:txbxContent>
                  <w:p>
                    <w:pPr>
                      <w:spacing w:before="3"/>
                      <w:ind w:left="0" w:right="0" w:firstLine="0"/>
                      <w:jc w:val="left"/>
                      <w:rPr>
                        <w:b/>
                        <w:sz w:val="9"/>
                      </w:rPr>
                    </w:pPr>
                    <w:r>
                      <w:rPr>
                        <w:b/>
                        <w:w w:val="110"/>
                        <w:sz w:val="9"/>
                      </w:rPr>
                      <w:t>Introduktion</w:t>
                    </w:r>
                  </w:p>
                </w:txbxContent>
              </v:textbox>
              <w10:wrap type="none"/>
            </v:shape>
            <v:shape style="position:absolute;left:4195;top:1992;width:2239;height:227" type="#_x0000_t202" filled="false" stroked="false">
              <v:textbox inset="0,0,0,0">
                <w:txbxContent>
                  <w:p>
                    <w:pPr>
                      <w:spacing w:line="247" w:lineRule="auto" w:before="3"/>
                      <w:ind w:left="0" w:right="11" w:firstLine="0"/>
                      <w:jc w:val="left"/>
                      <w:rPr>
                        <w:b/>
                        <w:sz w:val="9"/>
                      </w:rPr>
                    </w:pPr>
                    <w:r>
                      <w:rPr>
                        <w:b/>
                        <w:color w:val="FFFFFF"/>
                        <w:w w:val="110"/>
                        <w:sz w:val="9"/>
                      </w:rPr>
                      <w:t>Nuværende og fremtidige kommercielle anvendelsesmuligheder</w:t>
                    </w:r>
                  </w:p>
                </w:txbxContent>
              </v:textbox>
              <w10:wrap type="none"/>
            </v:shape>
            <v:shape style="position:absolute;left:4000;top:2346;width:97;height:138" type="#_x0000_t202" filled="false" stroked="false">
              <v:textbox inset="0,0,0,0">
                <w:txbxContent>
                  <w:p>
                    <w:pPr>
                      <w:spacing w:before="2"/>
                      <w:ind w:left="0" w:right="0" w:firstLine="0"/>
                      <w:jc w:val="left"/>
                      <w:rPr>
                        <w:sz w:val="11"/>
                      </w:rPr>
                    </w:pPr>
                    <w:r>
                      <w:rPr>
                        <w:color w:val="FFFFFF"/>
                        <w:w w:val="108"/>
                        <w:sz w:val="11"/>
                      </w:rPr>
                      <w:t>7</w:t>
                    </w:r>
                  </w:p>
                </w:txbxContent>
              </v:textbox>
              <w10:wrap type="none"/>
            </v:shape>
            <v:shape style="position:absolute;left:4195;top:2480;width:2769;height:114" type="#_x0000_t202" filled="false" stroked="false">
              <v:textbox inset="0,0,0,0">
                <w:txbxContent>
                  <w:p>
                    <w:pPr>
                      <w:spacing w:before="3"/>
                      <w:ind w:left="0" w:right="0" w:firstLine="0"/>
                      <w:jc w:val="left"/>
                      <w:rPr>
                        <w:b/>
                        <w:sz w:val="9"/>
                      </w:rPr>
                    </w:pPr>
                    <w:r>
                      <w:rPr>
                        <w:b/>
                        <w:color w:val="FFFFFF"/>
                        <w:w w:val="110"/>
                        <w:sz w:val="9"/>
                      </w:rPr>
                      <w:t>Myndighedernes nuværende og fremtidige behov</w:t>
                    </w:r>
                  </w:p>
                </w:txbxContent>
              </v:textbox>
              <w10:wrap type="none"/>
            </v:shape>
            <w10:wrap type="none"/>
          </v:group>
        </w:pict>
      </w:r>
      <w:r>
        <w:rPr>
          <w:b/>
          <w:color w:val="009DDF"/>
          <w:sz w:val="15"/>
        </w:rPr>
        <w:t>Figur 1. Analysedesign og læsevejledning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after="0"/>
        <w:rPr>
          <w:sz w:val="22"/>
        </w:rPr>
        <w:sectPr>
          <w:pgSz w:w="11910" w:h="16840"/>
          <w:pgMar w:header="0" w:footer="1056" w:top="1580" w:bottom="1240" w:left="960" w:right="0"/>
        </w:sectPr>
      </w:pPr>
    </w:p>
    <w:p>
      <w:pPr>
        <w:pStyle w:val="BodyText"/>
        <w:spacing w:before="6"/>
        <w:rPr>
          <w:b/>
          <w:sz w:val="8"/>
        </w:rPr>
      </w:pPr>
    </w:p>
    <w:p>
      <w:pPr>
        <w:spacing w:before="0"/>
        <w:ind w:left="2180" w:right="0" w:firstLine="0"/>
        <w:jc w:val="left"/>
        <w:rPr>
          <w:b/>
          <w:sz w:val="9"/>
        </w:rPr>
      </w:pPr>
      <w:r>
        <w:rPr>
          <w:b/>
          <w:w w:val="110"/>
          <w:sz w:val="9"/>
        </w:rPr>
        <w:t>Kortlægningsrapport fra Rambøll og London Economics</w:t>
      </w:r>
    </w:p>
    <w:p>
      <w:pPr>
        <w:pStyle w:val="BodyText"/>
        <w:spacing w:before="11"/>
        <w:rPr>
          <w:b/>
          <w:sz w:val="7"/>
        </w:rPr>
      </w:pPr>
    </w:p>
    <w:p>
      <w:pPr>
        <w:spacing w:before="0"/>
        <w:ind w:left="815" w:right="0" w:firstLine="0"/>
        <w:jc w:val="left"/>
        <w:rPr>
          <w:sz w:val="9"/>
        </w:rPr>
      </w:pPr>
      <w:r>
        <w:rPr>
          <w:position w:val="-6"/>
        </w:rPr>
        <w:drawing>
          <wp:inline distT="0" distB="0" distL="0" distR="0">
            <wp:extent cx="142166" cy="133901"/>
            <wp:effectExtent l="0" t="0" r="0" b="0"/>
            <wp:docPr id="7" name="image8.png" descr=""/>
            <wp:cNvGraphicFramePr>
              <a:graphicFrameLocks noChangeAspect="1"/>
            </wp:cNvGraphicFramePr>
            <a:graphic>
              <a:graphicData uri="http://schemas.openxmlformats.org/drawingml/2006/picture">
                <pic:pic>
                  <pic:nvPicPr>
                    <pic:cNvPr id="8" name="image8.png"/>
                    <pic:cNvPicPr/>
                  </pic:nvPicPr>
                  <pic:blipFill>
                    <a:blip r:embed="rId20" cstate="print"/>
                    <a:stretch>
                      <a:fillRect/>
                    </a:stretch>
                  </pic:blipFill>
                  <pic:spPr>
                    <a:xfrm>
                      <a:off x="0" y="0"/>
                      <a:ext cx="142166" cy="133901"/>
                    </a:xfrm>
                    <a:prstGeom prst="rect">
                      <a:avLst/>
                    </a:prstGeom>
                  </pic:spPr>
                </pic:pic>
              </a:graphicData>
            </a:graphic>
          </wp:inline>
        </w:drawing>
      </w:r>
      <w:r>
        <w:rPr>
          <w:position w:val="-6"/>
        </w:rPr>
      </w:r>
      <w:r>
        <w:rPr>
          <w:rFonts w:ascii="Times New Roman"/>
          <w:spacing w:val="-11"/>
          <w:sz w:val="20"/>
        </w:rPr>
        <w:t> </w:t>
      </w:r>
      <w:r>
        <w:rPr>
          <w:w w:val="110"/>
          <w:sz w:val="9"/>
        </w:rPr>
        <w:t>Kapitelnummer</w:t>
      </w:r>
    </w:p>
    <w:p>
      <w:pPr>
        <w:spacing w:before="92"/>
        <w:ind w:left="742" w:right="0" w:firstLine="0"/>
        <w:jc w:val="left"/>
        <w:rPr>
          <w:sz w:val="13"/>
        </w:rPr>
      </w:pPr>
      <w:r>
        <w:rPr>
          <w:sz w:val="13"/>
        </w:rPr>
        <w:t>Kilde: Rambøll og London Economics.</w:t>
      </w:r>
    </w:p>
    <w:p>
      <w:pPr>
        <w:pStyle w:val="BodyText"/>
        <w:spacing w:before="6"/>
        <w:rPr>
          <w:sz w:val="8"/>
        </w:rPr>
      </w:pPr>
      <w:r>
        <w:rPr/>
        <w:br w:type="column"/>
      </w:r>
      <w:r>
        <w:rPr>
          <w:sz w:val="8"/>
        </w:rPr>
      </w:r>
    </w:p>
    <w:p>
      <w:pPr>
        <w:spacing w:before="0"/>
        <w:ind w:left="742" w:right="0" w:firstLine="0"/>
        <w:jc w:val="left"/>
        <w:rPr>
          <w:b/>
          <w:sz w:val="9"/>
        </w:rPr>
      </w:pPr>
      <w:r>
        <w:rPr/>
        <w:pict>
          <v:shape style="position:absolute;margin-left:398.607819pt;margin-top:-19.866949pt;width:79.95pt;height:17.150pt;mso-position-horizontal-relative:page;mso-position-vertical-relative:paragraph;z-index:1552" coordorigin="7972,-397" coordsize="1599,343" path="m9570,-397l9559,-331,9529,-276,9484,-239,9428,-226,8914,-226,8858,-212,8813,-176,8782,-121,8771,-55,8760,-121,8730,-176,8684,-212,8629,-226,8114,-226,8059,-239,8014,-276,7983,-331,7972,-397e" filled="false" stroked="true" strokeweight=".339214pt" strokecolor="#797766">
            <v:path arrowok="t"/>
            <v:stroke dashstyle="solid"/>
            <w10:wrap type="none"/>
          </v:shape>
        </w:pict>
      </w:r>
      <w:r>
        <w:rPr>
          <w:b/>
          <w:w w:val="110"/>
          <w:sz w:val="9"/>
        </w:rPr>
        <w:t>Arbejdsgruppen</w:t>
      </w:r>
    </w:p>
    <w:p>
      <w:pPr>
        <w:spacing w:after="0"/>
        <w:jc w:val="left"/>
        <w:rPr>
          <w:sz w:val="9"/>
        </w:rPr>
        <w:sectPr>
          <w:type w:val="continuous"/>
          <w:pgSz w:w="11910" w:h="16840"/>
          <w:pgMar w:top="1400" w:bottom="280" w:left="960" w:right="0"/>
          <w:cols w:num="2" w:equalWidth="0">
            <w:col w:w="5315" w:space="1308"/>
            <w:col w:w="4327"/>
          </w:cols>
        </w:sectPr>
      </w:pPr>
    </w:p>
    <w:p>
      <w:pPr>
        <w:pStyle w:val="Heading2"/>
        <w:numPr>
          <w:ilvl w:val="1"/>
          <w:numId w:val="4"/>
        </w:numPr>
        <w:tabs>
          <w:tab w:pos="741" w:val="left" w:leader="none"/>
          <w:tab w:pos="743" w:val="left" w:leader="none"/>
        </w:tabs>
        <w:spacing w:line="240" w:lineRule="auto" w:before="126" w:after="0"/>
        <w:ind w:left="742" w:right="0" w:hanging="624"/>
        <w:jc w:val="left"/>
      </w:pPr>
      <w:bookmarkStart w:name="_bookmark7" w:id="8"/>
      <w:bookmarkEnd w:id="8"/>
      <w:r>
        <w:rPr/>
        <w:t>D</w:t>
      </w:r>
      <w:r>
        <w:rPr/>
        <w:t>anmarks</w:t>
      </w:r>
      <w:r>
        <w:rPr>
          <w:spacing w:val="-2"/>
        </w:rPr>
        <w:t> </w:t>
      </w:r>
      <w:r>
        <w:rPr/>
        <w:t>rumhistorie</w:t>
      </w:r>
    </w:p>
    <w:p>
      <w:pPr>
        <w:pStyle w:val="BodyText"/>
        <w:spacing w:line="264" w:lineRule="auto" w:before="22"/>
        <w:ind w:left="742" w:right="1139"/>
      </w:pPr>
      <w:r>
        <w:rPr/>
        <w:t>Selvom Danmark er en lille nation, har en række begivenheder gennem tiden bidraget til at gøre Danmark til en betydelig rumnation. Andreas Mogensens rejse til Den Internationale Rumstation blev for mange billedet på, at Danmark har en betydelig rolle at spille inden for rumforskning, men også andre begivenheder har været med til at forme den danske udvikling. I nedenstående tabel fremhæves vigtige nedslag i den danske rumhistorie, der har bidraget til at vi er nået dertil, hvor vi er i dag.</w:t>
      </w:r>
    </w:p>
    <w:p>
      <w:pPr>
        <w:spacing w:before="141"/>
        <w:ind w:left="175" w:right="0" w:firstLine="0"/>
        <w:jc w:val="left"/>
        <w:rPr>
          <w:b/>
          <w:sz w:val="15"/>
        </w:rPr>
      </w:pPr>
      <w:r>
        <w:rPr>
          <w:b/>
          <w:color w:val="009DDF"/>
          <w:sz w:val="15"/>
        </w:rPr>
        <w:t>Tabel 1. Vigtige nedslag i den danske rumhistorie</w:t>
      </w:r>
    </w:p>
    <w:p>
      <w:pPr>
        <w:pStyle w:val="BodyText"/>
        <w:spacing w:before="1"/>
        <w:rPr>
          <w:b/>
          <w:sz w:val="9"/>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071"/>
        <w:gridCol w:w="725"/>
        <w:gridCol w:w="7270"/>
      </w:tblGrid>
      <w:tr>
        <w:trPr>
          <w:trHeight w:val="324" w:hRule="atLeast"/>
        </w:trPr>
        <w:tc>
          <w:tcPr>
            <w:tcW w:w="2071" w:type="dxa"/>
            <w:tcBorders>
              <w:top w:val="nil"/>
              <w:left w:val="nil"/>
              <w:bottom w:val="nil"/>
              <w:right w:val="nil"/>
            </w:tcBorders>
            <w:shd w:val="clear" w:color="auto" w:fill="A7D2F5"/>
          </w:tcPr>
          <w:p>
            <w:pPr>
              <w:pStyle w:val="TableParagraph"/>
              <w:spacing w:before="52"/>
              <w:ind w:left="115"/>
              <w:rPr>
                <w:b/>
                <w:sz w:val="16"/>
              </w:rPr>
            </w:pPr>
            <w:r>
              <w:rPr>
                <w:b/>
                <w:color w:val="FFFFFF"/>
                <w:sz w:val="16"/>
              </w:rPr>
              <w:t>Vigtige nedslag</w:t>
            </w:r>
          </w:p>
        </w:tc>
        <w:tc>
          <w:tcPr>
            <w:tcW w:w="725" w:type="dxa"/>
            <w:tcBorders>
              <w:top w:val="nil"/>
              <w:left w:val="nil"/>
              <w:bottom w:val="nil"/>
              <w:right w:val="nil"/>
            </w:tcBorders>
            <w:shd w:val="clear" w:color="auto" w:fill="A7D2F5"/>
          </w:tcPr>
          <w:p>
            <w:pPr>
              <w:pStyle w:val="TableParagraph"/>
              <w:spacing w:before="52"/>
              <w:ind w:left="139"/>
              <w:rPr>
                <w:b/>
                <w:sz w:val="16"/>
              </w:rPr>
            </w:pPr>
            <w:r>
              <w:rPr>
                <w:b/>
                <w:color w:val="FFFFFF"/>
                <w:sz w:val="16"/>
              </w:rPr>
              <w:t>År</w:t>
            </w:r>
          </w:p>
        </w:tc>
        <w:tc>
          <w:tcPr>
            <w:tcW w:w="7270" w:type="dxa"/>
            <w:tcBorders>
              <w:top w:val="nil"/>
              <w:left w:val="nil"/>
              <w:bottom w:val="nil"/>
              <w:right w:val="nil"/>
            </w:tcBorders>
            <w:shd w:val="clear" w:color="auto" w:fill="A7D2F5"/>
          </w:tcPr>
          <w:p>
            <w:pPr>
              <w:pStyle w:val="TableParagraph"/>
              <w:spacing w:before="52"/>
              <w:ind w:left="122"/>
              <w:rPr>
                <w:b/>
                <w:sz w:val="16"/>
              </w:rPr>
            </w:pPr>
            <w:r>
              <w:rPr>
                <w:b/>
                <w:color w:val="FFFFFF"/>
                <w:sz w:val="16"/>
              </w:rPr>
              <w:t>Bedrift</w:t>
            </w:r>
          </w:p>
        </w:tc>
      </w:tr>
      <w:tr>
        <w:trPr>
          <w:trHeight w:val="1190" w:hRule="atLeast"/>
        </w:trPr>
        <w:tc>
          <w:tcPr>
            <w:tcW w:w="2071" w:type="dxa"/>
            <w:tcBorders>
              <w:top w:val="nil"/>
              <w:right w:val="nil"/>
            </w:tcBorders>
          </w:tcPr>
          <w:p>
            <w:pPr>
              <w:pStyle w:val="TableParagraph"/>
              <w:ind w:left="105"/>
              <w:rPr>
                <w:sz w:val="16"/>
              </w:rPr>
            </w:pPr>
            <w:r>
              <w:rPr>
                <w:sz w:val="16"/>
              </w:rPr>
              <w:t>Tycho Brahe</w:t>
            </w:r>
          </w:p>
        </w:tc>
        <w:tc>
          <w:tcPr>
            <w:tcW w:w="725" w:type="dxa"/>
            <w:tcBorders>
              <w:top w:val="nil"/>
              <w:left w:val="nil"/>
              <w:right w:val="nil"/>
            </w:tcBorders>
          </w:tcPr>
          <w:p>
            <w:pPr>
              <w:pStyle w:val="TableParagraph"/>
              <w:ind w:left="139"/>
              <w:rPr>
                <w:sz w:val="16"/>
              </w:rPr>
            </w:pPr>
            <w:r>
              <w:rPr>
                <w:sz w:val="16"/>
              </w:rPr>
              <w:t>1546-</w:t>
            </w:r>
          </w:p>
          <w:p>
            <w:pPr>
              <w:pStyle w:val="TableParagraph"/>
              <w:spacing w:before="20"/>
              <w:ind w:left="139"/>
              <w:rPr>
                <w:sz w:val="16"/>
              </w:rPr>
            </w:pPr>
            <w:r>
              <w:rPr>
                <w:sz w:val="16"/>
              </w:rPr>
              <w:t>1601</w:t>
            </w:r>
          </w:p>
        </w:tc>
        <w:tc>
          <w:tcPr>
            <w:tcW w:w="7270" w:type="dxa"/>
            <w:tcBorders>
              <w:top w:val="nil"/>
              <w:left w:val="nil"/>
            </w:tcBorders>
          </w:tcPr>
          <w:p>
            <w:pPr>
              <w:pStyle w:val="TableParagraph"/>
              <w:spacing w:line="264" w:lineRule="auto"/>
              <w:ind w:left="122" w:right="56"/>
              <w:rPr>
                <w:sz w:val="16"/>
              </w:rPr>
            </w:pPr>
            <w:r>
              <w:rPr>
                <w:sz w:val="16"/>
              </w:rPr>
              <w:t>Grundig observatør af nattehimlen, hvis målinger af en supernova i Cassiopeia i 1572 og en komet i 1577 modbeviste den daværende gængse ide, at himlen var konstrueret af syv skaller.</w:t>
            </w:r>
          </w:p>
          <w:p>
            <w:pPr>
              <w:pStyle w:val="TableParagraph"/>
              <w:spacing w:line="261" w:lineRule="auto" w:before="43"/>
              <w:ind w:left="122" w:right="246"/>
              <w:rPr>
                <w:sz w:val="16"/>
              </w:rPr>
            </w:pPr>
            <w:r>
              <w:rPr>
                <w:sz w:val="16"/>
              </w:rPr>
              <w:t>Johannes Kepler, Braches assistent, formulerede sine love om planeters kredsløb ba- seret på Brahes data.</w:t>
            </w:r>
          </w:p>
        </w:tc>
      </w:tr>
      <w:tr>
        <w:trPr>
          <w:trHeight w:val="935" w:hRule="atLeast"/>
        </w:trPr>
        <w:tc>
          <w:tcPr>
            <w:tcW w:w="2071" w:type="dxa"/>
            <w:tcBorders>
              <w:right w:val="nil"/>
            </w:tcBorders>
          </w:tcPr>
          <w:p>
            <w:pPr>
              <w:pStyle w:val="TableParagraph"/>
              <w:ind w:left="105"/>
              <w:rPr>
                <w:sz w:val="16"/>
              </w:rPr>
            </w:pPr>
            <w:r>
              <w:rPr>
                <w:sz w:val="16"/>
              </w:rPr>
              <w:t>Ole Rømer</w:t>
            </w:r>
          </w:p>
        </w:tc>
        <w:tc>
          <w:tcPr>
            <w:tcW w:w="725" w:type="dxa"/>
            <w:tcBorders>
              <w:left w:val="nil"/>
              <w:right w:val="nil"/>
            </w:tcBorders>
          </w:tcPr>
          <w:p>
            <w:pPr>
              <w:pStyle w:val="TableParagraph"/>
              <w:ind w:left="139"/>
              <w:rPr>
                <w:sz w:val="16"/>
              </w:rPr>
            </w:pPr>
            <w:r>
              <w:rPr>
                <w:sz w:val="16"/>
              </w:rPr>
              <w:t>1644-</w:t>
            </w:r>
          </w:p>
          <w:p>
            <w:pPr>
              <w:pStyle w:val="TableParagraph"/>
              <w:spacing w:before="19"/>
              <w:ind w:left="139"/>
              <w:rPr>
                <w:sz w:val="16"/>
              </w:rPr>
            </w:pPr>
            <w:r>
              <w:rPr>
                <w:sz w:val="16"/>
              </w:rPr>
              <w:t>1710</w:t>
            </w:r>
          </w:p>
        </w:tc>
        <w:tc>
          <w:tcPr>
            <w:tcW w:w="7270" w:type="dxa"/>
            <w:tcBorders>
              <w:left w:val="nil"/>
            </w:tcBorders>
          </w:tcPr>
          <w:p>
            <w:pPr>
              <w:pStyle w:val="TableParagraph"/>
              <w:spacing w:line="264" w:lineRule="auto"/>
              <w:ind w:left="122" w:right="165"/>
              <w:rPr>
                <w:sz w:val="16"/>
              </w:rPr>
            </w:pPr>
            <w:r>
              <w:rPr>
                <w:sz w:val="16"/>
              </w:rPr>
              <w:t>Jupiters måne, Io, har et kredsløb på 42,5 timer. Ole Rømer observerede dette kreds- løb gennem et år og konstaterede, at månen ikke altid kom til syne på det forventede tidspunkt. Rømer viste, at årsagen hertil var ’lysets tøven’, altså at lyset </w:t>
            </w:r>
            <w:r>
              <w:rPr>
                <w:i/>
                <w:sz w:val="16"/>
              </w:rPr>
              <w:t>har en ha- </w:t>
            </w:r>
            <w:r>
              <w:rPr>
                <w:i/>
                <w:sz w:val="16"/>
              </w:rPr>
              <w:t>stighed</w:t>
            </w:r>
            <w:r>
              <w:rPr>
                <w:sz w:val="16"/>
              </w:rPr>
              <w:t>. Huygens beregnede siden lysets hastighed baseret på Rømers data.</w:t>
            </w:r>
          </w:p>
        </w:tc>
      </w:tr>
      <w:tr>
        <w:trPr>
          <w:trHeight w:val="721" w:hRule="atLeast"/>
        </w:trPr>
        <w:tc>
          <w:tcPr>
            <w:tcW w:w="2071" w:type="dxa"/>
            <w:tcBorders>
              <w:right w:val="nil"/>
            </w:tcBorders>
          </w:tcPr>
          <w:p>
            <w:pPr>
              <w:pStyle w:val="TableParagraph"/>
              <w:ind w:left="105"/>
              <w:rPr>
                <w:sz w:val="16"/>
              </w:rPr>
            </w:pPr>
            <w:r>
              <w:rPr>
                <w:sz w:val="16"/>
              </w:rPr>
              <w:t>Bengt Strömgren</w:t>
            </w:r>
          </w:p>
        </w:tc>
        <w:tc>
          <w:tcPr>
            <w:tcW w:w="725" w:type="dxa"/>
            <w:tcBorders>
              <w:left w:val="nil"/>
              <w:right w:val="nil"/>
            </w:tcBorders>
          </w:tcPr>
          <w:p>
            <w:pPr>
              <w:pStyle w:val="TableParagraph"/>
              <w:ind w:left="139"/>
              <w:rPr>
                <w:sz w:val="16"/>
              </w:rPr>
            </w:pPr>
            <w:r>
              <w:rPr>
                <w:sz w:val="16"/>
              </w:rPr>
              <w:t>1908-</w:t>
            </w:r>
          </w:p>
          <w:p>
            <w:pPr>
              <w:pStyle w:val="TableParagraph"/>
              <w:spacing w:before="19"/>
              <w:ind w:left="139"/>
              <w:rPr>
                <w:sz w:val="16"/>
              </w:rPr>
            </w:pPr>
            <w:r>
              <w:rPr>
                <w:sz w:val="16"/>
              </w:rPr>
              <w:t>1987</w:t>
            </w:r>
          </w:p>
        </w:tc>
        <w:tc>
          <w:tcPr>
            <w:tcW w:w="7270" w:type="dxa"/>
            <w:tcBorders>
              <w:left w:val="nil"/>
            </w:tcBorders>
          </w:tcPr>
          <w:p>
            <w:pPr>
              <w:pStyle w:val="TableParagraph"/>
              <w:spacing w:line="264" w:lineRule="auto"/>
              <w:ind w:left="122" w:right="251"/>
              <w:rPr>
                <w:sz w:val="16"/>
              </w:rPr>
            </w:pPr>
            <w:r>
              <w:rPr>
                <w:sz w:val="16"/>
              </w:rPr>
              <w:t>Første publikation i en alder af 14 år i Astronomische Nachrichten i 1922. Præsident for den Internationale Astronomiske Union 1970-1973 og for European Southern Ob- servatorys råd 1975-1977.</w:t>
            </w:r>
          </w:p>
        </w:tc>
      </w:tr>
      <w:tr>
        <w:trPr>
          <w:trHeight w:val="507" w:hRule="atLeast"/>
        </w:trPr>
        <w:tc>
          <w:tcPr>
            <w:tcW w:w="2071" w:type="dxa"/>
            <w:tcBorders>
              <w:right w:val="nil"/>
            </w:tcBorders>
          </w:tcPr>
          <w:p>
            <w:pPr>
              <w:pStyle w:val="TableParagraph"/>
              <w:spacing w:line="264" w:lineRule="auto"/>
              <w:ind w:left="105" w:right="455"/>
              <w:rPr>
                <w:sz w:val="16"/>
              </w:rPr>
            </w:pPr>
            <w:r>
              <w:rPr>
                <w:sz w:val="16"/>
              </w:rPr>
              <w:t>Dansk Selskab for Rumfartsforskning</w:t>
            </w:r>
          </w:p>
        </w:tc>
        <w:tc>
          <w:tcPr>
            <w:tcW w:w="725" w:type="dxa"/>
            <w:tcBorders>
              <w:left w:val="nil"/>
              <w:right w:val="nil"/>
            </w:tcBorders>
          </w:tcPr>
          <w:p>
            <w:pPr>
              <w:pStyle w:val="TableParagraph"/>
              <w:ind w:left="139"/>
              <w:rPr>
                <w:sz w:val="16"/>
              </w:rPr>
            </w:pPr>
            <w:r>
              <w:rPr>
                <w:sz w:val="16"/>
              </w:rPr>
              <w:t>1949-</w:t>
            </w:r>
          </w:p>
        </w:tc>
        <w:tc>
          <w:tcPr>
            <w:tcW w:w="7270" w:type="dxa"/>
            <w:tcBorders>
              <w:left w:val="nil"/>
            </w:tcBorders>
          </w:tcPr>
          <w:p>
            <w:pPr>
              <w:pStyle w:val="TableParagraph"/>
              <w:spacing w:line="264" w:lineRule="auto"/>
              <w:ind w:left="122" w:right="245"/>
              <w:rPr>
                <w:sz w:val="16"/>
              </w:rPr>
            </w:pPr>
            <w:r>
              <w:rPr>
                <w:sz w:val="16"/>
              </w:rPr>
              <w:t>Deltog i grundlæggelsen af den Internationale Astronautiske Føderation (IAF) i 1951. Har udgivet tidsskriftet </w:t>
            </w:r>
            <w:r>
              <w:rPr>
                <w:b/>
                <w:sz w:val="16"/>
              </w:rPr>
              <w:t>Dansk Rumfart </w:t>
            </w:r>
            <w:r>
              <w:rPr>
                <w:sz w:val="16"/>
              </w:rPr>
              <w:t>siden 1989.</w:t>
            </w:r>
          </w:p>
        </w:tc>
      </w:tr>
      <w:tr>
        <w:trPr>
          <w:trHeight w:val="721" w:hRule="atLeast"/>
        </w:trPr>
        <w:tc>
          <w:tcPr>
            <w:tcW w:w="2071" w:type="dxa"/>
            <w:tcBorders>
              <w:right w:val="nil"/>
            </w:tcBorders>
          </w:tcPr>
          <w:p>
            <w:pPr>
              <w:pStyle w:val="TableParagraph"/>
              <w:spacing w:line="264" w:lineRule="auto"/>
              <w:ind w:left="105" w:right="315"/>
              <w:jc w:val="both"/>
              <w:rPr>
                <w:sz w:val="16"/>
              </w:rPr>
            </w:pPr>
            <w:r>
              <w:rPr>
                <w:sz w:val="16"/>
              </w:rPr>
              <w:t>European Space Re- search Organisation (ESRO)</w:t>
            </w:r>
          </w:p>
        </w:tc>
        <w:tc>
          <w:tcPr>
            <w:tcW w:w="725" w:type="dxa"/>
            <w:tcBorders>
              <w:left w:val="nil"/>
              <w:right w:val="nil"/>
            </w:tcBorders>
          </w:tcPr>
          <w:p>
            <w:pPr>
              <w:pStyle w:val="TableParagraph"/>
              <w:ind w:left="139"/>
              <w:rPr>
                <w:sz w:val="16"/>
              </w:rPr>
            </w:pPr>
            <w:r>
              <w:rPr>
                <w:sz w:val="16"/>
              </w:rPr>
              <w:t>1962-</w:t>
            </w:r>
          </w:p>
          <w:p>
            <w:pPr>
              <w:pStyle w:val="TableParagraph"/>
              <w:spacing w:before="19"/>
              <w:ind w:left="139"/>
              <w:rPr>
                <w:sz w:val="16"/>
              </w:rPr>
            </w:pPr>
            <w:r>
              <w:rPr>
                <w:sz w:val="16"/>
              </w:rPr>
              <w:t>1975</w:t>
            </w:r>
          </w:p>
        </w:tc>
        <w:tc>
          <w:tcPr>
            <w:tcW w:w="7270" w:type="dxa"/>
            <w:tcBorders>
              <w:left w:val="nil"/>
            </w:tcBorders>
          </w:tcPr>
          <w:p>
            <w:pPr>
              <w:pStyle w:val="TableParagraph"/>
              <w:spacing w:line="264" w:lineRule="auto"/>
              <w:ind w:left="122" w:right="247"/>
              <w:rPr>
                <w:sz w:val="16"/>
              </w:rPr>
            </w:pPr>
            <w:r>
              <w:rPr>
                <w:sz w:val="16"/>
              </w:rPr>
              <w:t>Danmark underskriver </w:t>
            </w:r>
            <w:r>
              <w:rPr>
                <w:b/>
                <w:sz w:val="16"/>
              </w:rPr>
              <w:t>ESRO </w:t>
            </w:r>
            <w:r>
              <w:rPr>
                <w:sz w:val="16"/>
              </w:rPr>
              <w:t>konventionen (1962) og indtræder ved organisationens grundlæggelse i 1964.</w:t>
            </w:r>
          </w:p>
        </w:tc>
      </w:tr>
      <w:tr>
        <w:trPr>
          <w:trHeight w:val="507" w:hRule="atLeast"/>
        </w:trPr>
        <w:tc>
          <w:tcPr>
            <w:tcW w:w="2071" w:type="dxa"/>
            <w:tcBorders>
              <w:right w:val="nil"/>
            </w:tcBorders>
          </w:tcPr>
          <w:p>
            <w:pPr>
              <w:pStyle w:val="TableParagraph"/>
              <w:spacing w:line="264" w:lineRule="auto"/>
              <w:ind w:left="105" w:right="382"/>
              <w:rPr>
                <w:sz w:val="16"/>
              </w:rPr>
            </w:pPr>
            <w:r>
              <w:rPr>
                <w:sz w:val="16"/>
              </w:rPr>
              <w:t>European Southern Observatory (ESO)</w:t>
            </w:r>
          </w:p>
        </w:tc>
        <w:tc>
          <w:tcPr>
            <w:tcW w:w="725" w:type="dxa"/>
            <w:tcBorders>
              <w:left w:val="nil"/>
              <w:right w:val="nil"/>
            </w:tcBorders>
          </w:tcPr>
          <w:p>
            <w:pPr>
              <w:pStyle w:val="TableParagraph"/>
              <w:ind w:left="139"/>
              <w:rPr>
                <w:sz w:val="16"/>
              </w:rPr>
            </w:pPr>
            <w:r>
              <w:rPr>
                <w:sz w:val="16"/>
              </w:rPr>
              <w:t>1967</w:t>
            </w:r>
          </w:p>
        </w:tc>
        <w:tc>
          <w:tcPr>
            <w:tcW w:w="7270" w:type="dxa"/>
            <w:tcBorders>
              <w:left w:val="nil"/>
            </w:tcBorders>
          </w:tcPr>
          <w:p>
            <w:pPr>
              <w:pStyle w:val="TableParagraph"/>
              <w:spacing w:line="264" w:lineRule="auto"/>
              <w:ind w:left="122" w:right="227"/>
              <w:rPr>
                <w:sz w:val="16"/>
              </w:rPr>
            </w:pPr>
            <w:r>
              <w:rPr>
                <w:sz w:val="16"/>
              </w:rPr>
              <w:t>Danmark indtræder i ESO. 19 videnskabelige opdagelser i ESO mellem 2000 og 2013 havde dansk islæt.</w:t>
            </w:r>
          </w:p>
        </w:tc>
      </w:tr>
      <w:tr>
        <w:trPr>
          <w:trHeight w:val="508" w:hRule="atLeast"/>
        </w:trPr>
        <w:tc>
          <w:tcPr>
            <w:tcW w:w="2071" w:type="dxa"/>
            <w:tcBorders>
              <w:right w:val="nil"/>
            </w:tcBorders>
          </w:tcPr>
          <w:p>
            <w:pPr>
              <w:pStyle w:val="TableParagraph"/>
              <w:spacing w:line="264" w:lineRule="auto"/>
              <w:ind w:left="105" w:right="101"/>
              <w:rPr>
                <w:sz w:val="16"/>
              </w:rPr>
            </w:pPr>
            <w:r>
              <w:rPr>
                <w:sz w:val="16"/>
              </w:rPr>
              <w:t>European Space Agen- cy (ESA)</w:t>
            </w:r>
          </w:p>
        </w:tc>
        <w:tc>
          <w:tcPr>
            <w:tcW w:w="725" w:type="dxa"/>
            <w:tcBorders>
              <w:left w:val="nil"/>
              <w:right w:val="nil"/>
            </w:tcBorders>
          </w:tcPr>
          <w:p>
            <w:pPr>
              <w:pStyle w:val="TableParagraph"/>
              <w:ind w:left="139"/>
              <w:rPr>
                <w:sz w:val="16"/>
              </w:rPr>
            </w:pPr>
            <w:r>
              <w:rPr>
                <w:sz w:val="16"/>
              </w:rPr>
              <w:t>1975-</w:t>
            </w:r>
          </w:p>
        </w:tc>
        <w:tc>
          <w:tcPr>
            <w:tcW w:w="7270" w:type="dxa"/>
            <w:tcBorders>
              <w:left w:val="nil"/>
            </w:tcBorders>
          </w:tcPr>
          <w:p>
            <w:pPr>
              <w:pStyle w:val="TableParagraph"/>
              <w:ind w:left="122"/>
              <w:rPr>
                <w:sz w:val="16"/>
              </w:rPr>
            </w:pPr>
            <w:r>
              <w:rPr>
                <w:sz w:val="16"/>
              </w:rPr>
              <w:t>Danmark deltager i grundlæggelsen af </w:t>
            </w:r>
            <w:r>
              <w:rPr>
                <w:b/>
                <w:sz w:val="16"/>
              </w:rPr>
              <w:t>ESA </w:t>
            </w:r>
            <w:r>
              <w:rPr>
                <w:sz w:val="16"/>
              </w:rPr>
              <w:t>i 1975 og siden i adskillige missioner.</w:t>
            </w:r>
          </w:p>
        </w:tc>
      </w:tr>
      <w:tr>
        <w:trPr>
          <w:trHeight w:val="507" w:hRule="atLeast"/>
        </w:trPr>
        <w:tc>
          <w:tcPr>
            <w:tcW w:w="2071" w:type="dxa"/>
            <w:tcBorders>
              <w:right w:val="nil"/>
            </w:tcBorders>
          </w:tcPr>
          <w:p>
            <w:pPr>
              <w:pStyle w:val="TableParagraph"/>
              <w:ind w:left="105"/>
              <w:rPr>
                <w:sz w:val="16"/>
              </w:rPr>
            </w:pPr>
            <w:r>
              <w:rPr>
                <w:sz w:val="16"/>
              </w:rPr>
              <w:t>EUMETSAT</w:t>
            </w:r>
          </w:p>
        </w:tc>
        <w:tc>
          <w:tcPr>
            <w:tcW w:w="725" w:type="dxa"/>
            <w:tcBorders>
              <w:left w:val="nil"/>
              <w:right w:val="nil"/>
            </w:tcBorders>
          </w:tcPr>
          <w:p>
            <w:pPr>
              <w:pStyle w:val="TableParagraph"/>
              <w:ind w:left="139"/>
              <w:rPr>
                <w:sz w:val="16"/>
              </w:rPr>
            </w:pPr>
            <w:r>
              <w:rPr>
                <w:sz w:val="16"/>
              </w:rPr>
              <w:t>1986-</w:t>
            </w:r>
          </w:p>
        </w:tc>
        <w:tc>
          <w:tcPr>
            <w:tcW w:w="7270" w:type="dxa"/>
            <w:tcBorders>
              <w:left w:val="nil"/>
            </w:tcBorders>
          </w:tcPr>
          <w:p>
            <w:pPr>
              <w:pStyle w:val="TableParagraph"/>
              <w:spacing w:line="264" w:lineRule="auto"/>
              <w:ind w:left="122" w:right="444"/>
              <w:rPr>
                <w:sz w:val="16"/>
              </w:rPr>
            </w:pPr>
            <w:r>
              <w:rPr>
                <w:sz w:val="16"/>
              </w:rPr>
              <w:t>Danmark deltager i grundlæggelsen af </w:t>
            </w:r>
            <w:r>
              <w:rPr>
                <w:b/>
                <w:sz w:val="16"/>
              </w:rPr>
              <w:t>EUMETSAT </w:t>
            </w:r>
            <w:r>
              <w:rPr>
                <w:sz w:val="16"/>
              </w:rPr>
              <w:t>(European Organisation for the Exploitation of Meteorological Satellites).</w:t>
            </w:r>
          </w:p>
        </w:tc>
      </w:tr>
      <w:tr>
        <w:trPr>
          <w:trHeight w:val="1362" w:hRule="atLeast"/>
        </w:trPr>
        <w:tc>
          <w:tcPr>
            <w:tcW w:w="2071" w:type="dxa"/>
            <w:tcBorders>
              <w:right w:val="nil"/>
            </w:tcBorders>
          </w:tcPr>
          <w:p>
            <w:pPr>
              <w:pStyle w:val="TableParagraph"/>
              <w:spacing w:line="264" w:lineRule="auto"/>
              <w:ind w:left="105" w:right="124"/>
              <w:rPr>
                <w:sz w:val="16"/>
              </w:rPr>
            </w:pPr>
            <w:r>
              <w:rPr>
                <w:sz w:val="16"/>
              </w:rPr>
              <w:t>Ørsted-satellitten (Det Danske Småsatellit- program)</w:t>
            </w:r>
          </w:p>
        </w:tc>
        <w:tc>
          <w:tcPr>
            <w:tcW w:w="725" w:type="dxa"/>
            <w:tcBorders>
              <w:left w:val="nil"/>
              <w:right w:val="nil"/>
            </w:tcBorders>
          </w:tcPr>
          <w:p>
            <w:pPr>
              <w:pStyle w:val="TableParagraph"/>
              <w:ind w:left="139"/>
              <w:rPr>
                <w:sz w:val="16"/>
              </w:rPr>
            </w:pPr>
            <w:r>
              <w:rPr>
                <w:sz w:val="16"/>
              </w:rPr>
              <w:t>1999</w:t>
            </w:r>
          </w:p>
        </w:tc>
        <w:tc>
          <w:tcPr>
            <w:tcW w:w="7270" w:type="dxa"/>
            <w:tcBorders>
              <w:left w:val="nil"/>
            </w:tcBorders>
          </w:tcPr>
          <w:p>
            <w:pPr>
              <w:pStyle w:val="TableParagraph"/>
              <w:spacing w:line="264" w:lineRule="auto"/>
              <w:ind w:left="122" w:right="113"/>
              <w:rPr>
                <w:sz w:val="16"/>
              </w:rPr>
            </w:pPr>
            <w:r>
              <w:rPr>
                <w:sz w:val="16"/>
              </w:rPr>
              <w:t>Ørsted er den første satellit der er udviklet og bygget i Danmark af et konsortium bestående af otte virksomheder (tre er nu indlemmet i Terma), og adskillige universi- tets- og forskningsinstitutter. Satellitten blev opsendt i 1999 med forventet levetid på 14 måneder, men fungerer stadig. Rømer, den næste satellit i småsatellitprogrammet, skulle have målt stjerners pulser, men finansieringen ophørte i 2002, tre år før forven- tet opsendelse.</w:t>
            </w:r>
          </w:p>
        </w:tc>
      </w:tr>
      <w:tr>
        <w:trPr>
          <w:trHeight w:val="508" w:hRule="atLeast"/>
        </w:trPr>
        <w:tc>
          <w:tcPr>
            <w:tcW w:w="2071" w:type="dxa"/>
            <w:tcBorders>
              <w:right w:val="nil"/>
            </w:tcBorders>
          </w:tcPr>
          <w:p>
            <w:pPr>
              <w:pStyle w:val="TableParagraph"/>
              <w:spacing w:line="261" w:lineRule="auto" w:before="42"/>
              <w:ind w:left="105" w:right="360"/>
              <w:rPr>
                <w:sz w:val="16"/>
              </w:rPr>
            </w:pPr>
            <w:r>
              <w:rPr>
                <w:sz w:val="16"/>
              </w:rPr>
              <w:t>Andreas Mogensen, ESA astronaut</w:t>
            </w:r>
          </w:p>
        </w:tc>
        <w:tc>
          <w:tcPr>
            <w:tcW w:w="725" w:type="dxa"/>
            <w:tcBorders>
              <w:left w:val="nil"/>
              <w:right w:val="nil"/>
            </w:tcBorders>
          </w:tcPr>
          <w:p>
            <w:pPr>
              <w:pStyle w:val="TableParagraph"/>
              <w:spacing w:before="42"/>
              <w:ind w:left="139"/>
              <w:rPr>
                <w:sz w:val="16"/>
              </w:rPr>
            </w:pPr>
            <w:r>
              <w:rPr>
                <w:sz w:val="16"/>
              </w:rPr>
              <w:t>2015</w:t>
            </w:r>
          </w:p>
        </w:tc>
        <w:tc>
          <w:tcPr>
            <w:tcW w:w="7270" w:type="dxa"/>
            <w:tcBorders>
              <w:left w:val="nil"/>
            </w:tcBorders>
          </w:tcPr>
          <w:p>
            <w:pPr>
              <w:pStyle w:val="TableParagraph"/>
              <w:spacing w:line="261" w:lineRule="auto" w:before="42"/>
              <w:ind w:left="122" w:right="96"/>
              <w:rPr>
                <w:sz w:val="16"/>
              </w:rPr>
            </w:pPr>
            <w:r>
              <w:rPr>
                <w:sz w:val="16"/>
              </w:rPr>
              <w:t>ESA astronaut Andreas Mogensen tilbragte 10 dage på den Internationale Rumstation i september 2015 og blev den første dansker i rummet.</w:t>
            </w:r>
          </w:p>
        </w:tc>
      </w:tr>
    </w:tbl>
    <w:p>
      <w:pPr>
        <w:spacing w:line="364" w:lineRule="auto" w:before="83"/>
        <w:ind w:left="175" w:right="1043" w:firstLine="0"/>
        <w:jc w:val="left"/>
        <w:rPr>
          <w:sz w:val="13"/>
        </w:rPr>
      </w:pPr>
      <w:r>
        <w:rPr>
          <w:sz w:val="13"/>
        </w:rPr>
        <w:t>Kilder: Space.com, Tycho Brahe Biography (</w:t>
      </w:r>
      <w:hyperlink r:id="rId21">
        <w:r>
          <w:rPr>
            <w:color w:val="009DDF"/>
            <w:sz w:val="13"/>
          </w:rPr>
          <w:t>http://www.space.com/19623-tycho-brahe-biography.html</w:t>
        </w:r>
      </w:hyperlink>
      <w:r>
        <w:rPr>
          <w:sz w:val="13"/>
        </w:rPr>
        <w:t>); Niels Bohr Instituttet, Ole Rømer og lysets tøven </w:t>
      </w:r>
      <w:hyperlink r:id="rId22">
        <w:r>
          <w:rPr>
            <w:sz w:val="13"/>
          </w:rPr>
          <w:t>(</w:t>
        </w:r>
        <w:r>
          <w:rPr>
            <w:color w:val="009DDF"/>
            <w:sz w:val="13"/>
          </w:rPr>
          <w:t>http://www.nbi.ku.dk/hhh/roemer/roemer/lysets_toeven/</w:t>
        </w:r>
        <w:r>
          <w:rPr>
            <w:sz w:val="13"/>
          </w:rPr>
          <w:t>)</w:t>
        </w:r>
      </w:hyperlink>
      <w:r>
        <w:rPr>
          <w:sz w:val="13"/>
        </w:rPr>
        <w:t>, og Universitetsavisen nr. 10 2001, Ole Rømer-medaljen </w:t>
      </w:r>
      <w:hyperlink r:id="rId23">
        <w:r>
          <w:rPr>
            <w:sz w:val="13"/>
          </w:rPr>
          <w:t>(</w:t>
        </w:r>
        <w:r>
          <w:rPr>
            <w:color w:val="009DDF"/>
            <w:sz w:val="13"/>
          </w:rPr>
          <w:t>http://universitetsavisen.ku.dk/dokument2/dokument2/dokument7/Uni10.01.pdf</w:t>
        </w:r>
        <w:r>
          <w:rPr>
            <w:sz w:val="13"/>
          </w:rPr>
          <w:t>)</w:t>
        </w:r>
      </w:hyperlink>
      <w:r>
        <w:rPr>
          <w:sz w:val="13"/>
        </w:rPr>
        <w:t>; ESO messenger no. 49, Bengt Strömberg (1908-1987) </w:t>
      </w:r>
      <w:hyperlink r:id="rId24">
        <w:r>
          <w:rPr>
            <w:sz w:val="13"/>
          </w:rPr>
          <w:t>(</w:t>
        </w:r>
        <w:r>
          <w:rPr>
            <w:color w:val="009DDF"/>
            <w:sz w:val="13"/>
          </w:rPr>
          <w:t>https://www.eso.org/sci/publications/messenger/archive/no.49-sep87/messenger-no49-1-1.pdf</w:t>
        </w:r>
      </w:hyperlink>
      <w:r>
        <w:rPr>
          <w:sz w:val="13"/>
        </w:rPr>
        <w:t>); Dansk Rumfart – en yngling på 40 </w:t>
      </w:r>
      <w:hyperlink r:id="rId25">
        <w:r>
          <w:rPr>
            <w:sz w:val="13"/>
          </w:rPr>
          <w:t>(</w:t>
        </w:r>
        <w:r>
          <w:rPr>
            <w:color w:val="009DDF"/>
            <w:sz w:val="13"/>
          </w:rPr>
          <w:t>http://rumfart.dk/vis.asp?artikelid=243</w:t>
        </w:r>
        <w:r>
          <w:rPr>
            <w:sz w:val="13"/>
          </w:rPr>
          <w:t>)</w:t>
        </w:r>
      </w:hyperlink>
      <w:r>
        <w:rPr>
          <w:sz w:val="13"/>
        </w:rPr>
        <w:t>; ESA History </w:t>
      </w:r>
      <w:hyperlink r:id="rId26">
        <w:r>
          <w:rPr>
            <w:sz w:val="13"/>
          </w:rPr>
          <w:t>(</w:t>
        </w:r>
        <w:r>
          <w:rPr>
            <w:color w:val="009DDF"/>
            <w:sz w:val="13"/>
          </w:rPr>
          <w:t>http://www.esa.int/About_Us/Welcome_to_ESA/ESA_history/ELDO_ESRO_ESA_br_Key_dates_1960-2014</w:t>
        </w:r>
      </w:hyperlink>
      <w:r>
        <w:rPr>
          <w:sz w:val="13"/>
        </w:rPr>
        <w:t>); </w:t>
      </w:r>
      <w:hyperlink r:id="rId27">
        <w:r>
          <w:rPr>
            <w:color w:val="009DDF"/>
            <w:sz w:val="13"/>
          </w:rPr>
          <w:t>http://rumfart.dk/vis.asp?id=352</w:t>
        </w:r>
      </w:hyperlink>
      <w:r>
        <w:rPr>
          <w:sz w:val="13"/>
        </w:rPr>
        <w:t>; </w:t>
      </w:r>
      <w:hyperlink r:id="rId28">
        <w:r>
          <w:rPr>
            <w:color w:val="009DDF"/>
            <w:sz w:val="13"/>
          </w:rPr>
          <w:t>http://planetariet.dk/artikel/tillykke-%C3%B8rsted</w:t>
        </w:r>
        <w:r>
          <w:rPr>
            <w:sz w:val="13"/>
          </w:rPr>
          <w:t>; </w:t>
        </w:r>
      </w:hyperlink>
      <w:hyperlink r:id="rId29">
        <w:r>
          <w:rPr>
            <w:color w:val="009DDF"/>
            <w:sz w:val="13"/>
          </w:rPr>
          <w:t>http://www.computerworld.dk/art/109178/stikket-blev-trukket-ud</w:t>
        </w:r>
        <w:r>
          <w:rPr>
            <w:sz w:val="13"/>
          </w:rPr>
          <w:t>.</w:t>
        </w:r>
      </w:hyperlink>
    </w:p>
    <w:p>
      <w:pPr>
        <w:pStyle w:val="BodyText"/>
        <w:spacing w:before="9"/>
        <w:rPr>
          <w:sz w:val="14"/>
        </w:rPr>
      </w:pPr>
    </w:p>
    <w:p>
      <w:pPr>
        <w:pStyle w:val="BodyText"/>
        <w:spacing w:line="264" w:lineRule="auto"/>
        <w:ind w:left="742" w:right="1147"/>
      </w:pPr>
      <w:r>
        <w:rPr/>
        <w:t>Danske virksomheder har bidraget til 58 satellitmissioner siden 1972. Figuren nedenfor viser forde- lingen mellem kunder og over tid.</w:t>
      </w:r>
    </w:p>
    <w:p>
      <w:pPr>
        <w:spacing w:after="0" w:line="264" w:lineRule="auto"/>
        <w:sectPr>
          <w:pgSz w:w="11910" w:h="16840"/>
          <w:pgMar w:header="0" w:footer="1056" w:top="1580" w:bottom="1240" w:left="960" w:right="0"/>
        </w:sectPr>
      </w:pPr>
    </w:p>
    <w:p>
      <w:pPr>
        <w:spacing w:before="101"/>
        <w:ind w:left="742" w:right="0" w:firstLine="0"/>
        <w:jc w:val="left"/>
        <w:rPr>
          <w:b/>
          <w:sz w:val="15"/>
        </w:rPr>
      </w:pPr>
      <w:r>
        <w:rPr>
          <w:b/>
          <w:color w:val="009DDF"/>
          <w:sz w:val="15"/>
        </w:rPr>
        <w:t>Figur 2. Satellitmissioner med dansk deltagelse</w:t>
      </w:r>
    </w:p>
    <w:p>
      <w:pPr>
        <w:spacing w:before="141"/>
        <w:ind w:left="801" w:right="0" w:firstLine="0"/>
        <w:jc w:val="left"/>
        <w:rPr>
          <w:sz w:val="16"/>
        </w:rPr>
      </w:pPr>
      <w:r>
        <w:rPr>
          <w:sz w:val="16"/>
        </w:rPr>
        <w:t>Antal missioner</w:t>
      </w:r>
    </w:p>
    <w:p>
      <w:pPr>
        <w:pStyle w:val="BodyText"/>
        <w:spacing w:before="7"/>
        <w:rPr>
          <w:sz w:val="9"/>
        </w:rPr>
      </w:pPr>
    </w:p>
    <w:p>
      <w:pPr>
        <w:spacing w:before="101"/>
        <w:ind w:left="1203" w:right="0" w:firstLine="0"/>
        <w:jc w:val="left"/>
        <w:rPr>
          <w:sz w:val="16"/>
        </w:rPr>
      </w:pPr>
      <w:r>
        <w:rPr/>
        <w:pict>
          <v:line style="position:absolute;mso-position-horizontal-relative:page;mso-position-vertical-relative:paragraph;z-index:1600" from="125.879997pt,10.262974pt" to="511.679997pt,10.262974pt" stroked="true" strokeweight=".72pt" strokecolor="#d9d9d9">
            <v:stroke dashstyle="solid"/>
            <w10:wrap type="none"/>
          </v:line>
        </w:pict>
      </w:r>
      <w:r>
        <w:rPr>
          <w:sz w:val="16"/>
        </w:rPr>
        <w:t>25</w:t>
      </w:r>
    </w:p>
    <w:p>
      <w:pPr>
        <w:pStyle w:val="BodyText"/>
        <w:rPr>
          <w:sz w:val="20"/>
        </w:rPr>
      </w:pPr>
    </w:p>
    <w:p>
      <w:pPr>
        <w:pStyle w:val="BodyText"/>
        <w:spacing w:before="1"/>
        <w:rPr>
          <w:sz w:val="22"/>
        </w:rPr>
      </w:pPr>
    </w:p>
    <w:p>
      <w:pPr>
        <w:spacing w:before="0"/>
        <w:ind w:left="1203" w:right="0" w:firstLine="0"/>
        <w:jc w:val="left"/>
        <w:rPr>
          <w:sz w:val="16"/>
        </w:rPr>
      </w:pPr>
      <w:r>
        <w:rPr/>
        <w:pict>
          <v:group style="position:absolute;margin-left:125.879997pt;margin-top:-15.892056pt;width:385.8pt;height:162.6pt;mso-position-horizontal-relative:page;mso-position-vertical-relative:paragraph;z-index:1576" coordorigin="2518,-318" coordsize="7716,3252">
            <v:shape style="position:absolute;left:2517;top:1515;width:7716;height:706" coordorigin="2518,1515" coordsize="7716,706" path="m8562,2221l10234,2221m7276,2221l8047,2221m2518,2221l6761,2221m7276,1515l10234,1515m2518,1515l6761,1515e" filled="false" stroked="true" strokeweight=".72pt" strokecolor="#d9d9d9">
              <v:path arrowok="t"/>
              <v:stroke dashstyle="solid"/>
            </v:shape>
            <v:shape style="position:absolute;left:4189;top:1234;width:5659;height:1693" coordorigin="4189,1234" coordsize="5659,1693" path="m4703,2504l4189,2504,4189,2927,4703,2927,4703,2504m7276,1234l6761,1234,6761,2927,7276,2927,7276,1234m8562,1516l8047,1516,8047,2927,8562,2927,8562,1516m9848,2645l9333,2645,9333,2927,9848,2927,9848,2645e" filled="true" fillcolor="#a7a9ac" stroked="false">
              <v:path arrowok="t"/>
              <v:fill type="solid"/>
            </v:shape>
            <v:shape style="position:absolute;left:4189;top:1092;width:4373;height:1411" coordorigin="4189,1093" coordsize="4373,1411" path="m4703,2363l4189,2363,4189,2504,4703,2504,4703,2363m7276,1093l6761,1093,6761,1234,7276,1234,7276,1093m8562,1375l8047,1375,8047,1516,8562,1516,8562,1375e" filled="true" fillcolor="#15418b" stroked="false">
              <v:path arrowok="t"/>
              <v:fill type="solid"/>
            </v:shape>
            <v:rect style="position:absolute;left:4189;top:2221;width:515;height:142" filled="true" fillcolor="#797766" stroked="false">
              <v:fill type="solid"/>
            </v:rect>
            <v:rect style="position:absolute;left:5475;top:2503;width:515;height:424" filled="true" fillcolor="#a7a9ac" stroked="false">
              <v:fill type="solid"/>
            </v:rect>
            <v:shape style="position:absolute;left:5475;top:951;width:4373;height:1694" coordorigin="5475,952" coordsize="4373,1694" path="m5990,2363l5475,2363,5475,2504,5990,2504,5990,2363m7276,952l6761,952,6761,1093,7276,1093,7276,952m9848,2504l9333,2504,9333,2645,9848,2645,9848,2504e" filled="true" fillcolor="#797766" stroked="false">
              <v:path arrowok="t"/>
              <v:fill type="solid"/>
            </v:shape>
            <v:shape style="position:absolute;left:4189;top:2080;width:1801;height:283" coordorigin="4189,2081" coordsize="1801,283" path="m4703,2081l4189,2081,4189,2222,4703,2222,4703,2081m5990,2222l5475,2222,5475,2363,5990,2363,5990,2222e" filled="true" fillcolor="#5ca451" stroked="false">
              <v:path arrowok="t"/>
              <v:fill type="solid"/>
            </v:shape>
            <v:line style="position:absolute" from="2518,810" to="8047,810" stroked="true" strokeweight=".72pt" strokecolor="#d9d9d9">
              <v:stroke dashstyle="solid"/>
            </v:line>
            <v:rect style="position:absolute;left:6761;top:810;width:515;height:142" filled="true" fillcolor="#5ca451" stroked="false">
              <v:fill type="solid"/>
            </v:rect>
            <v:rect style="position:absolute;left:2903;top:2644;width:515;height:283" filled="true" fillcolor="#a7a9ac" stroked="false">
              <v:fill type="solid"/>
            </v:rect>
            <v:shape style="position:absolute;left:2903;top:528;width:4373;height:2117" coordorigin="2903,528" coordsize="4373,2117" path="m3417,2504l2903,2504,2903,2645,3417,2645,3417,2504m7276,528l6761,528,6761,811,7276,811,7276,528e" filled="true" fillcolor="#009ddf" stroked="false">
              <v:path arrowok="t"/>
              <v:fill type="solid"/>
            </v:shape>
            <v:line style="position:absolute" from="8562,810" to="10234,810" stroked="true" strokeweight=".72pt" strokecolor="#d9d9d9">
              <v:stroke dashstyle="solid"/>
            </v:line>
            <v:rect style="position:absolute;left:8047;top:669;width:515;height:706" filled="true" fillcolor="#009ddf" stroked="false">
              <v:fill type="solid"/>
            </v:rect>
            <v:shape style="position:absolute;left:5475;top:528;width:3087;height:1694" coordorigin="5475,529" coordsize="3087,1694" path="m5990,2081l5475,2081,5475,2222,5990,2222,5990,2081m8562,529l8047,529,8047,670,8562,670,8562,529e" filled="true" fillcolor="#0d2c6c" stroked="false">
              <v:path arrowok="t"/>
              <v:fill type="solid"/>
            </v:shape>
            <v:shape style="position:absolute;left:5475;top:1798;width:515;height:283" type="#_x0000_t75" stroked="false">
              <v:imagedata r:id="rId30" o:title=""/>
            </v:shape>
            <v:line style="position:absolute" from="2518,104" to="10234,104" stroked="true" strokeweight=".72pt" strokecolor="#d9d9d9">
              <v:stroke dashstyle="solid"/>
            </v:line>
            <v:shape style="position:absolute;left:6761;top:105;width:515;height:424" type="#_x0000_t75" stroked="false">
              <v:imagedata r:id="rId31" o:title=""/>
            </v:shape>
            <v:shape style="position:absolute;left:8047;top:-318;width:515;height:847" type="#_x0000_t75" stroked="false">
              <v:imagedata r:id="rId31" o:title=""/>
            </v:shape>
            <v:line style="position:absolute" from="2518,2927" to="10234,2927" stroked="true" strokeweight=".72pt" strokecolor="#d9d9d9">
              <v:stroke dashstyle="solid"/>
            </v:line>
            <w10:wrap type="none"/>
          </v:group>
        </w:pict>
      </w:r>
      <w:r>
        <w:rPr>
          <w:sz w:val="16"/>
        </w:rPr>
        <w:t>20</w:t>
      </w:r>
    </w:p>
    <w:p>
      <w:pPr>
        <w:pStyle w:val="BodyText"/>
        <w:rPr>
          <w:sz w:val="20"/>
        </w:rPr>
      </w:pPr>
    </w:p>
    <w:p>
      <w:pPr>
        <w:pStyle w:val="BodyText"/>
        <w:rPr>
          <w:sz w:val="22"/>
        </w:rPr>
      </w:pPr>
    </w:p>
    <w:p>
      <w:pPr>
        <w:spacing w:before="0"/>
        <w:ind w:left="1203" w:right="0" w:firstLine="0"/>
        <w:jc w:val="left"/>
        <w:rPr>
          <w:sz w:val="16"/>
        </w:rPr>
      </w:pPr>
      <w:r>
        <w:rPr>
          <w:sz w:val="16"/>
        </w:rPr>
        <w:t>15</w:t>
      </w:r>
    </w:p>
    <w:p>
      <w:pPr>
        <w:pStyle w:val="BodyText"/>
        <w:rPr>
          <w:sz w:val="20"/>
        </w:rPr>
      </w:pPr>
    </w:p>
    <w:p>
      <w:pPr>
        <w:pStyle w:val="BodyText"/>
        <w:spacing w:before="1"/>
        <w:rPr>
          <w:sz w:val="22"/>
        </w:rPr>
      </w:pPr>
    </w:p>
    <w:p>
      <w:pPr>
        <w:spacing w:before="0"/>
        <w:ind w:left="1203" w:right="0" w:firstLine="0"/>
        <w:jc w:val="left"/>
        <w:rPr>
          <w:sz w:val="16"/>
        </w:rPr>
      </w:pPr>
      <w:r>
        <w:rPr>
          <w:sz w:val="16"/>
        </w:rPr>
        <w:t>10</w:t>
      </w:r>
    </w:p>
    <w:p>
      <w:pPr>
        <w:pStyle w:val="BodyText"/>
        <w:rPr>
          <w:sz w:val="20"/>
        </w:rPr>
      </w:pPr>
    </w:p>
    <w:p>
      <w:pPr>
        <w:pStyle w:val="BodyText"/>
        <w:rPr>
          <w:sz w:val="22"/>
        </w:rPr>
      </w:pPr>
    </w:p>
    <w:p>
      <w:pPr>
        <w:spacing w:before="1"/>
        <w:ind w:left="1305" w:right="0" w:firstLine="0"/>
        <w:jc w:val="left"/>
        <w:rPr>
          <w:sz w:val="16"/>
        </w:rPr>
      </w:pPr>
      <w:r>
        <w:rPr>
          <w:w w:val="100"/>
          <w:sz w:val="16"/>
        </w:rPr>
        <w:t>5</w:t>
      </w:r>
    </w:p>
    <w:p>
      <w:pPr>
        <w:pStyle w:val="BodyText"/>
        <w:rPr>
          <w:sz w:val="20"/>
        </w:rPr>
      </w:pPr>
    </w:p>
    <w:p>
      <w:pPr>
        <w:pStyle w:val="BodyText"/>
        <w:rPr>
          <w:sz w:val="22"/>
        </w:rPr>
      </w:pPr>
    </w:p>
    <w:p>
      <w:pPr>
        <w:spacing w:before="0"/>
        <w:ind w:left="1305" w:right="0" w:firstLine="0"/>
        <w:jc w:val="left"/>
        <w:rPr>
          <w:sz w:val="16"/>
        </w:rPr>
      </w:pPr>
      <w:r>
        <w:rPr>
          <w:w w:val="100"/>
          <w:sz w:val="16"/>
        </w:rPr>
        <w:t>0</w:t>
      </w:r>
    </w:p>
    <w:p>
      <w:pPr>
        <w:tabs>
          <w:tab w:pos="3044" w:val="left" w:leader="none"/>
          <w:tab w:pos="4330" w:val="left" w:leader="none"/>
          <w:tab w:pos="5616" w:val="left" w:leader="none"/>
          <w:tab w:pos="6902" w:val="left" w:leader="none"/>
          <w:tab w:pos="8189" w:val="left" w:leader="none"/>
        </w:tabs>
        <w:spacing w:before="19"/>
        <w:ind w:left="1757" w:right="0" w:firstLine="0"/>
        <w:jc w:val="left"/>
        <w:rPr>
          <w:sz w:val="16"/>
        </w:rPr>
      </w:pPr>
      <w:r>
        <w:rPr>
          <w:sz w:val="16"/>
        </w:rPr>
        <w:t>1972-1980</w:t>
        <w:tab/>
        <w:t>1981-1990</w:t>
        <w:tab/>
        <w:t>1991-2000</w:t>
        <w:tab/>
        <w:t>2001-2010</w:t>
        <w:tab/>
        <w:t>2011-2016</w:t>
        <w:tab/>
        <w:t>2017-2020</w:t>
      </w:r>
    </w:p>
    <w:p>
      <w:pPr>
        <w:tabs>
          <w:tab w:pos="2601" w:val="left" w:leader="none"/>
          <w:tab w:pos="3369" w:val="left" w:leader="none"/>
          <w:tab w:pos="4590" w:val="left" w:leader="none"/>
          <w:tab w:pos="5385" w:val="left" w:leader="none"/>
          <w:tab w:pos="6632" w:val="left" w:leader="none"/>
          <w:tab w:pos="8006" w:val="left" w:leader="none"/>
        </w:tabs>
        <w:spacing w:before="152"/>
        <w:ind w:left="1959" w:right="0" w:firstLine="0"/>
        <w:jc w:val="left"/>
        <w:rPr>
          <w:sz w:val="16"/>
        </w:rPr>
      </w:pPr>
      <w:r>
        <w:rPr/>
        <w:pict>
          <v:rect style="position:absolute;margin-left:139.800003pt;margin-top:10.652958pt;width:4.32pt;height:4.32pt;mso-position-horizontal-relative:page;mso-position-vertical-relative:paragraph;z-index:1624" filled="true" fillcolor="#a7a9ac" stroked="false">
            <v:fill type="solid"/>
            <w10:wrap type="none"/>
          </v:rect>
        </w:pict>
      </w:r>
      <w:r>
        <w:rPr/>
        <w:pict>
          <v:rect style="position:absolute;margin-left:171.839996pt;margin-top:10.652958pt;width:4.440pt;height:4.32pt;mso-position-horizontal-relative:page;mso-position-vertical-relative:paragraph;z-index:-182056" filled="true" fillcolor="#15418b" stroked="false">
            <v:fill type="solid"/>
            <w10:wrap type="none"/>
          </v:rect>
        </w:pict>
      </w:r>
      <w:r>
        <w:rPr/>
        <w:pict>
          <v:rect style="position:absolute;margin-left:210.360001pt;margin-top:10.652958pt;width:4.32pt;height:4.32pt;mso-position-horizontal-relative:page;mso-position-vertical-relative:paragraph;z-index:-182032" filled="true" fillcolor="#797766" stroked="false">
            <v:fill type="solid"/>
            <w10:wrap type="none"/>
          </v:rect>
        </w:pict>
      </w:r>
      <w:r>
        <w:rPr/>
        <w:pict>
          <v:rect style="position:absolute;margin-left:271.320007pt;margin-top:10.652958pt;width:4.32pt;height:4.32pt;mso-position-horizontal-relative:page;mso-position-vertical-relative:paragraph;z-index:-182008" filled="true" fillcolor="#5ca451" stroked="false">
            <v:fill type="solid"/>
            <w10:wrap type="none"/>
          </v:rect>
        </w:pict>
      </w:r>
      <w:r>
        <w:rPr/>
        <w:pict>
          <v:rect style="position:absolute;margin-left:311.040009pt;margin-top:10.652958pt;width:4.440pt;height:4.32pt;mso-position-horizontal-relative:page;mso-position-vertical-relative:paragraph;z-index:-181984" filled="true" fillcolor="#009ddf" stroked="false">
            <v:fill type="solid"/>
            <w10:wrap type="none"/>
          </v:rect>
        </w:pict>
      </w:r>
      <w:r>
        <w:rPr/>
        <w:pict>
          <v:rect style="position:absolute;margin-left:373.320007pt;margin-top:10.652958pt;width:4.440pt;height:4.32pt;mso-position-horizontal-relative:page;mso-position-vertical-relative:paragraph;z-index:-181960" filled="true" fillcolor="#0d2c6c" stroked="false">
            <v:fill type="solid"/>
            <w10:wrap type="none"/>
          </v:rect>
        </w:pict>
      </w:r>
      <w:r>
        <w:rPr/>
        <w:drawing>
          <wp:anchor distT="0" distB="0" distL="0" distR="0" allowOverlap="1" layoutInCell="1" locked="0" behindDoc="1" simplePos="0" relativeHeight="268253519">
            <wp:simplePos x="0" y="0"/>
            <wp:positionH relativeFrom="page">
              <wp:posOffset>5613653</wp:posOffset>
            </wp:positionH>
            <wp:positionV relativeFrom="paragraph">
              <wp:posOffset>135340</wp:posOffset>
            </wp:positionV>
            <wp:extent cx="55577" cy="55577"/>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31" cstate="print"/>
                    <a:stretch>
                      <a:fillRect/>
                    </a:stretch>
                  </pic:blipFill>
                  <pic:spPr>
                    <a:xfrm>
                      <a:off x="0" y="0"/>
                      <a:ext cx="55577" cy="55577"/>
                    </a:xfrm>
                    <a:prstGeom prst="rect">
                      <a:avLst/>
                    </a:prstGeom>
                  </pic:spPr>
                </pic:pic>
              </a:graphicData>
            </a:graphic>
          </wp:anchor>
        </w:drawing>
      </w:r>
      <w:r>
        <w:rPr>
          <w:sz w:val="16"/>
        </w:rPr>
        <w:t>ESA</w:t>
        <w:tab/>
        <w:t>NASA</w:t>
        <w:tab/>
        <w:t>ESA+NASA</w:t>
        <w:tab/>
        <w:t>Andre</w:t>
        <w:tab/>
        <w:t>ESA+Andre</w:t>
        <w:tab/>
        <w:t>NASA+Andre</w:t>
        <w:tab/>
        <w:t>Dansk</w:t>
      </w:r>
    </w:p>
    <w:p>
      <w:pPr>
        <w:pStyle w:val="BodyText"/>
        <w:rPr>
          <w:sz w:val="14"/>
        </w:rPr>
      </w:pPr>
    </w:p>
    <w:p>
      <w:pPr>
        <w:spacing w:line="364" w:lineRule="auto" w:before="100"/>
        <w:ind w:left="742" w:right="1229" w:firstLine="0"/>
        <w:jc w:val="both"/>
        <w:rPr>
          <w:sz w:val="13"/>
        </w:rPr>
      </w:pPr>
      <w:r>
        <w:rPr>
          <w:sz w:val="13"/>
        </w:rPr>
        <w:t>Kilder: Terma, DTU, Aalborg Universitet, GomSpace. Figuren viser 63 satellitmissioner (og ikke 58 satellitmissioner) eftersom fem missi- oner havde deltagelse af både Terma og DTU. Se den komplette liste af missioner med deltagelse af Terma, DTU, Aalborg Universitet og GomSpace i bilag 4.</w:t>
      </w:r>
    </w:p>
    <w:p>
      <w:pPr>
        <w:pStyle w:val="BodyText"/>
        <w:spacing w:before="9"/>
        <w:rPr>
          <w:sz w:val="14"/>
        </w:rPr>
      </w:pPr>
    </w:p>
    <w:p>
      <w:pPr>
        <w:pStyle w:val="Heading2"/>
        <w:numPr>
          <w:ilvl w:val="1"/>
          <w:numId w:val="4"/>
        </w:numPr>
        <w:tabs>
          <w:tab w:pos="741" w:val="left" w:leader="none"/>
          <w:tab w:pos="743" w:val="left" w:leader="none"/>
        </w:tabs>
        <w:spacing w:line="240" w:lineRule="auto" w:before="0" w:after="0"/>
        <w:ind w:left="742" w:right="0" w:hanging="624"/>
        <w:jc w:val="left"/>
      </w:pPr>
      <w:bookmarkStart w:name="_bookmark8" w:id="9"/>
      <w:bookmarkEnd w:id="9"/>
      <w:r>
        <w:rPr/>
        <w:t>Ter</w:t>
      </w:r>
      <w:r>
        <w:rPr/>
        <w:t>minologi og</w:t>
      </w:r>
      <w:r>
        <w:rPr>
          <w:spacing w:val="-1"/>
        </w:rPr>
        <w:t> </w:t>
      </w:r>
      <w:r>
        <w:rPr/>
        <w:t>definitioner</w:t>
      </w:r>
    </w:p>
    <w:p>
      <w:pPr>
        <w:pStyle w:val="BodyText"/>
        <w:spacing w:line="264" w:lineRule="auto" w:before="21"/>
        <w:ind w:left="742" w:right="1132"/>
      </w:pPr>
      <w:r>
        <w:rPr/>
        <w:t>Aktiviteter med reference til rummet forbindes ofte med de store spørgsmål om universitets, jor- dens og livets opståen, som søges afdækket ved observation af stjerner, månen, planeter og ko- meter. Disse aktiviteter er væsentlige for menneskets forståelse af sin egen historie, og store beløb er brugt herpå, navnlig i det sidste århundrede.</w:t>
      </w:r>
    </w:p>
    <w:p>
      <w:pPr>
        <w:pStyle w:val="BodyText"/>
        <w:spacing w:before="7"/>
        <w:rPr>
          <w:sz w:val="19"/>
        </w:rPr>
      </w:pPr>
    </w:p>
    <w:p>
      <w:pPr>
        <w:pStyle w:val="BodyText"/>
        <w:spacing w:line="264" w:lineRule="auto"/>
        <w:ind w:left="742" w:right="1145"/>
      </w:pPr>
      <w:r>
        <w:rPr/>
        <w:t>Denne rapport udvider definitionen rumaktiviteter og definerer to fundamentale typer af rumrelate- rede aktiviteter, nemlig dem der relaterer sig til at producere isenkram, der skal forlade jorden og eventuelt sendes i kredsløb, og de processer, der søger at udnytte de muligheder, satellitter i rummet giver. For at opsende isenkram fra jorden kræves i bred forstand et transportmiddel og noget at sende op. I rumterminologi kaldes dette område for ”upstream”. ”Downstream” på den anden side er de aktiviteter, der omhandler kommercialisering og brug af satellitdata og tjenester.</w:t>
      </w:r>
    </w:p>
    <w:p>
      <w:pPr>
        <w:pStyle w:val="BodyText"/>
        <w:spacing w:before="5"/>
        <w:rPr>
          <w:sz w:val="19"/>
        </w:rPr>
      </w:pPr>
    </w:p>
    <w:p>
      <w:pPr>
        <w:pStyle w:val="BodyText"/>
        <w:spacing w:line="264" w:lineRule="auto"/>
        <w:ind w:left="742" w:right="1188"/>
      </w:pPr>
      <w:r>
        <w:rPr/>
        <w:t>Denne rapport behandler tre satellittyper med relevans for downstream med specifikke data og produkter tilknyttet. I praksis har visse satellitter forskellige typer payload, men som en simplifice- ring har vi valgt at referere til de signaler, satellitten leverer og deres anvendelse på jorden.</w:t>
      </w:r>
    </w:p>
    <w:p>
      <w:pPr>
        <w:spacing w:after="0" w:line="264" w:lineRule="auto"/>
        <w:sectPr>
          <w:pgSz w:w="11910" w:h="16840"/>
          <w:pgMar w:header="0" w:footer="1056" w:top="1580" w:bottom="1240" w:left="960" w:right="0"/>
        </w:sectPr>
      </w:pPr>
    </w:p>
    <w:p>
      <w:pPr>
        <w:spacing w:before="101"/>
        <w:ind w:left="742" w:right="0" w:firstLine="0"/>
        <w:jc w:val="left"/>
        <w:rPr>
          <w:b/>
          <w:sz w:val="15"/>
        </w:rPr>
      </w:pPr>
      <w:r>
        <w:rPr/>
        <w:pict>
          <v:group style="position:absolute;margin-left:85.050003pt;margin-top:19.220274pt;width:445.05pt;height:186.2pt;mso-position-horizontal-relative:page;mso-position-vertical-relative:paragraph;z-index:-232;mso-wrap-distance-left:0;mso-wrap-distance-right:0" coordorigin="1701,384" coordsize="8901,3724">
            <v:rect style="position:absolute;left:1701;top:384;width:8901;height:3724" filled="true" fillcolor="#ebebe8" stroked="false">
              <v:fill type="solid"/>
            </v:rect>
            <v:shape style="position:absolute;left:1858;top:532;width:1358;height:1016" type="#_x0000_t75" stroked="false">
              <v:imagedata r:id="rId32" o:title=""/>
            </v:shape>
            <v:shape style="position:absolute;left:1858;top:1727;width:1358;height:1014" type="#_x0000_t75" stroked="false">
              <v:imagedata r:id="rId33" o:title=""/>
            </v:shape>
            <v:shape style="position:absolute;left:1858;top:2947;width:1358;height:1014" type="#_x0000_t75" stroked="false">
              <v:imagedata r:id="rId34" o:title=""/>
            </v:shape>
            <v:shape style="position:absolute;left:1701;top:384;width:8901;height:3724" type="#_x0000_t202" filled="false" stroked="false">
              <v:textbox inset="0,0,0,0">
                <w:txbxContent>
                  <w:p>
                    <w:pPr>
                      <w:spacing w:line="240" w:lineRule="auto" w:before="7"/>
                      <w:rPr>
                        <w:b/>
                        <w:sz w:val="12"/>
                      </w:rPr>
                    </w:pPr>
                  </w:p>
                  <w:p>
                    <w:pPr>
                      <w:spacing w:before="0"/>
                      <w:ind w:left="1578" w:right="0" w:firstLine="0"/>
                      <w:jc w:val="left"/>
                      <w:rPr>
                        <w:b/>
                        <w:sz w:val="10"/>
                      </w:rPr>
                    </w:pPr>
                    <w:r>
                      <w:rPr>
                        <w:b/>
                        <w:color w:val="009DDF"/>
                        <w:w w:val="105"/>
                        <w:sz w:val="10"/>
                      </w:rPr>
                      <w:t>Jordobservationssatellitter</w:t>
                    </w:r>
                  </w:p>
                  <w:p>
                    <w:pPr>
                      <w:spacing w:line="374" w:lineRule="auto" w:before="67"/>
                      <w:ind w:left="1588" w:right="268" w:hanging="11"/>
                      <w:jc w:val="left"/>
                      <w:rPr>
                        <w:sz w:val="10"/>
                      </w:rPr>
                    </w:pPr>
                    <w:r>
                      <w:rPr>
                        <w:w w:val="105"/>
                        <w:sz w:val="10"/>
                      </w:rPr>
                      <w:t>Jordobservationssatellitter, som EU's Copernicus program, observerer Jordens fysiske træk. Satellitterne bruger eksempelvis radar eller optiske kameraer til at danne data. Jordobservationssatellitter (JO) kan være alt fra små CubeSats, som er kuber af 10x10x10 cm</w:t>
                    </w:r>
                    <w:r>
                      <w:rPr>
                        <w:w w:val="105"/>
                        <w:position w:val="3"/>
                        <w:sz w:val="7"/>
                      </w:rPr>
                      <w:t>3 </w:t>
                    </w:r>
                    <w:r>
                      <w:rPr>
                        <w:w w:val="105"/>
                        <w:sz w:val="10"/>
                      </w:rPr>
                      <w:t>på ca. 1kg, til ESA’s Sentinel, som er 2,8x2,5x4 m</w:t>
                    </w:r>
                    <w:r>
                      <w:rPr>
                        <w:w w:val="105"/>
                        <w:position w:val="3"/>
                        <w:sz w:val="7"/>
                      </w:rPr>
                      <w:t>3 </w:t>
                    </w:r>
                    <w:r>
                      <w:rPr>
                        <w:w w:val="105"/>
                        <w:sz w:val="10"/>
                      </w:rPr>
                      <w:t>og vejer 2,3 ton. JO anvendes til miljø- og overvågningsapplikationer samt genererer de satellitfotos der bruges til vejrmeldinger. JO-satellitter er i mange forskellige kredsløb afhængig af deres formål. De fleste er i sol-synkroniseret kredsløb (som Ørsted satellitten) eller polart kredsløb.</w:t>
                    </w:r>
                  </w:p>
                  <w:p>
                    <w:pPr>
                      <w:spacing w:before="58"/>
                      <w:ind w:left="1595" w:right="0" w:firstLine="0"/>
                      <w:jc w:val="left"/>
                      <w:rPr>
                        <w:b/>
                        <w:sz w:val="10"/>
                      </w:rPr>
                    </w:pPr>
                    <w:r>
                      <w:rPr>
                        <w:b/>
                        <w:color w:val="009DDF"/>
                        <w:w w:val="105"/>
                        <w:sz w:val="10"/>
                      </w:rPr>
                      <w:t>GNSS</w:t>
                    </w:r>
                  </w:p>
                  <w:p>
                    <w:pPr>
                      <w:spacing w:line="374" w:lineRule="auto" w:before="68"/>
                      <w:ind w:left="1606" w:right="268" w:hanging="11"/>
                      <w:jc w:val="left"/>
                      <w:rPr>
                        <w:sz w:val="10"/>
                      </w:rPr>
                    </w:pPr>
                    <w:r>
                      <w:rPr>
                        <w:w w:val="105"/>
                        <w:sz w:val="10"/>
                      </w:rPr>
                      <w:t>GNSS (Global Navigation Satellite System)-satellitter, som USA's GPS og EU's Galileo, har atomure ombord, og udsender et præcist klokkeslæt i signalet. Brugerenheder ved til enhver tid hvor satellitten er, og kan beregne hvor lang tid signalet har rejst. Med fire signaler er det muligt at beregne enhedens præcise position. Systemet anvendes til navigation og de præcise tidsoplysninger (timing) bruges til synkronisering. GNSS er den billigste adgang til atomurspræcision. De 26-30 galileosatellitter vejer hver 700kg og er i Medium Earth Orbit (MEO) ca. 20.000 km over</w:t>
                    </w:r>
                    <w:r>
                      <w:rPr>
                        <w:spacing w:val="6"/>
                        <w:w w:val="105"/>
                        <w:sz w:val="10"/>
                      </w:rPr>
                      <w:t> </w:t>
                    </w:r>
                    <w:r>
                      <w:rPr>
                        <w:w w:val="105"/>
                        <w:sz w:val="10"/>
                      </w:rPr>
                      <w:t>Jorden.</w:t>
                    </w:r>
                  </w:p>
                  <w:p>
                    <w:pPr>
                      <w:spacing w:before="66"/>
                      <w:ind w:left="1587" w:right="0" w:firstLine="0"/>
                      <w:jc w:val="left"/>
                      <w:rPr>
                        <w:b/>
                        <w:sz w:val="10"/>
                      </w:rPr>
                    </w:pPr>
                    <w:r>
                      <w:rPr>
                        <w:b/>
                        <w:color w:val="009DDF"/>
                        <w:w w:val="105"/>
                        <w:sz w:val="10"/>
                      </w:rPr>
                      <w:t>Kommunikationssatellitter</w:t>
                    </w:r>
                  </w:p>
                  <w:p>
                    <w:pPr>
                      <w:spacing w:line="374" w:lineRule="auto" w:before="68"/>
                      <w:ind w:left="1598" w:right="212" w:hanging="11"/>
                      <w:jc w:val="left"/>
                      <w:rPr>
                        <w:sz w:val="10"/>
                      </w:rPr>
                    </w:pPr>
                    <w:r>
                      <w:rPr>
                        <w:w w:val="105"/>
                        <w:sz w:val="10"/>
                      </w:rPr>
                      <w:t>Kommunikationssatellitter fra private operatører (Inmarsat, Iridium, Thuraya, SES, Telenor m.fl.) bruges til at få adgang til kommunikation, internet og satellit-tv som supplement eller eneste mulighed i visse dele af verden (fx på havene eller i fly). De fleste, men ikke alle, kommunikationssatellitter er i geostationært kredsløb (ca. 36.000 km over ækvator), dvs. de er altid i den samme position i forhold til et sted på jorden. Telenors Thor6 er således i 1˚ Vest. Kommunikationssatellitter er den tungeste klasse af satellit med affyringsmasse mellem 1 og 5,9 ton.</w:t>
                    </w:r>
                  </w:p>
                </w:txbxContent>
              </v:textbox>
              <w10:wrap type="none"/>
            </v:shape>
            <w10:wrap type="topAndBottom"/>
          </v:group>
        </w:pict>
      </w:r>
      <w:r>
        <w:rPr>
          <w:b/>
          <w:color w:val="009DDF"/>
          <w:sz w:val="15"/>
        </w:rPr>
        <w:t>Figur 3. Satellittyper</w:t>
      </w:r>
    </w:p>
    <w:p>
      <w:pPr>
        <w:spacing w:before="54"/>
        <w:ind w:left="742" w:right="0" w:firstLine="0"/>
        <w:jc w:val="left"/>
        <w:rPr>
          <w:sz w:val="13"/>
        </w:rPr>
      </w:pPr>
      <w:r>
        <w:rPr>
          <w:sz w:val="13"/>
        </w:rPr>
        <w:t>Kilder: ESA, Boeing.</w:t>
      </w:r>
    </w:p>
    <w:p>
      <w:pPr>
        <w:pStyle w:val="BodyText"/>
        <w:spacing w:before="7"/>
        <w:rPr>
          <w:sz w:val="21"/>
        </w:rPr>
      </w:pPr>
    </w:p>
    <w:p>
      <w:pPr>
        <w:pStyle w:val="BodyText"/>
        <w:spacing w:line="264" w:lineRule="auto"/>
        <w:ind w:left="742" w:right="1140"/>
      </w:pPr>
      <w:r>
        <w:rPr/>
        <w:t>Foruden satellittyperne med relevans for downstream er der væsentlige aktiviteter forbundet med produktion og operation af missioner med forskningsfokus. Disse missioner omfatter satellitter i kredsløb om jorden (eksempelvis NASA’s Hubble Rumteleskop), satellitter i andre kredsløb (ek- sempelvis STEREO,</w:t>
      </w:r>
      <w:r>
        <w:rPr>
          <w:w w:val="99"/>
          <w:position w:val="6"/>
          <w:sz w:val="8"/>
        </w:rPr>
        <w:t>1</w:t>
      </w:r>
      <w:r>
        <w:rPr>
          <w:position w:val="6"/>
          <w:sz w:val="8"/>
        </w:rPr>
        <w:t>  </w:t>
      </w:r>
      <w:r>
        <w:rPr/>
        <w:t>som er i kredsløb om solen) og rumprober, der rejser til andre planeter i solsy- stemet (eksempelvis ExoMars), prober på missioner til andre solsystemer (Voyager 1 og 2) samt ESA Rosetta-missionen, hvis mål var en komet. Disse missioner har primært rumforskningsinteres- se og søger at besvare de store spørgsmål.</w:t>
      </w:r>
    </w:p>
    <w:p>
      <w:pPr>
        <w:pStyle w:val="BodyText"/>
        <w:spacing w:before="5"/>
        <w:rPr>
          <w:sz w:val="19"/>
        </w:rPr>
      </w:pPr>
    </w:p>
    <w:p>
      <w:pPr>
        <w:pStyle w:val="Heading2"/>
        <w:numPr>
          <w:ilvl w:val="1"/>
          <w:numId w:val="4"/>
        </w:numPr>
        <w:tabs>
          <w:tab w:pos="741" w:val="left" w:leader="none"/>
          <w:tab w:pos="743" w:val="left" w:leader="none"/>
        </w:tabs>
        <w:spacing w:line="240" w:lineRule="auto" w:before="0" w:after="0"/>
        <w:ind w:left="742" w:right="0" w:hanging="624"/>
        <w:jc w:val="left"/>
      </w:pPr>
      <w:bookmarkStart w:name="_bookmark9" w:id="10"/>
      <w:bookmarkEnd w:id="10"/>
      <w:r>
        <w:rPr/>
        <w:t>Off</w:t>
      </w:r>
      <w:r>
        <w:rPr/>
        <w:t>entlige rumudgifter</w:t>
      </w:r>
    </w:p>
    <w:p>
      <w:pPr>
        <w:pStyle w:val="BodyText"/>
        <w:spacing w:line="264" w:lineRule="auto" w:before="21"/>
        <w:ind w:left="742" w:right="1147"/>
      </w:pPr>
      <w:r>
        <w:rPr/>
        <w:t>Den Internationale Rumstation, ISS, er beregnet til at have kostet 100 mia. euro, alt inklusive over 30 år, og udgifterne er delt mellem USA, Rusland, Canada, Japan og ESA’s medlemslande.</w:t>
      </w:r>
      <w:r>
        <w:rPr>
          <w:w w:val="99"/>
          <w:position w:val="6"/>
          <w:sz w:val="8"/>
        </w:rPr>
        <w:t>2</w:t>
      </w:r>
      <w:r>
        <w:rPr>
          <w:position w:val="6"/>
          <w:sz w:val="8"/>
        </w:rPr>
        <w:t>  </w:t>
      </w:r>
      <w:r>
        <w:rPr/>
        <w:t>Med så mange skattekroner investeret i et projekt er det nødvendigt at sikre, at der er teoretisk hjemmel til sådan en investering. Økonomisk teori foreskriver, at regeringer kan intervenere i frie markeder, hvis allokeringen af ressourcer er sub-optimal. Dette kaldes en markedsfejl og betyder, at det frie marked ikke leverer det mest effektive udfald, men dette er ikke en tilstrækkelig betingelse for intervention. I stedet er det nødvendigt at forstå markedet og dermed blive i stand til at designe den rette intervention. De klassiske mikroøkonomiske argumenter for offentlig intervention præ- senteres med udgangspunkt i rummet nedenfor:</w:t>
      </w:r>
    </w:p>
    <w:p>
      <w:pPr>
        <w:pStyle w:val="BodyText"/>
        <w:spacing w:before="4"/>
        <w:rPr>
          <w:sz w:val="19"/>
        </w:rPr>
      </w:pPr>
    </w:p>
    <w:p>
      <w:pPr>
        <w:pStyle w:val="ListParagraph"/>
        <w:numPr>
          <w:ilvl w:val="2"/>
          <w:numId w:val="4"/>
        </w:numPr>
        <w:tabs>
          <w:tab w:pos="1461" w:val="left" w:leader="none"/>
          <w:tab w:pos="1462" w:val="left" w:leader="none"/>
        </w:tabs>
        <w:spacing w:line="261" w:lineRule="auto" w:before="0" w:after="0"/>
        <w:ind w:left="1462" w:right="1363" w:hanging="360"/>
        <w:jc w:val="left"/>
        <w:rPr>
          <w:b/>
          <w:sz w:val="18"/>
        </w:rPr>
      </w:pPr>
      <w:r>
        <w:rPr>
          <w:b/>
          <w:color w:val="009DDF"/>
          <w:sz w:val="18"/>
        </w:rPr>
        <w:t>Bindeled mellem den FoU-tunge upstream-sektor og den kommercielt attraktive downstream-sektor</w:t>
      </w:r>
    </w:p>
    <w:p>
      <w:pPr>
        <w:pStyle w:val="BodyText"/>
        <w:spacing w:line="264" w:lineRule="auto" w:before="1"/>
        <w:ind w:left="1462" w:right="1151"/>
        <w:rPr>
          <w:sz w:val="8"/>
        </w:rPr>
      </w:pPr>
      <w:r>
        <w:rPr/>
        <w:t>Downstream-aktiviteter er kommercielt mere lukrative end upstream, og værdien af om- sætningen er langt større, men uden upstream ville der ikke være nogen satellitter og der- for ingen downstream.</w:t>
      </w:r>
      <w:r>
        <w:rPr>
          <w:w w:val="99"/>
          <w:position w:val="6"/>
          <w:sz w:val="8"/>
        </w:rPr>
        <w:t>3</w:t>
      </w:r>
      <w:r>
        <w:rPr>
          <w:position w:val="6"/>
          <w:sz w:val="8"/>
        </w:rPr>
        <w:t>  </w:t>
      </w:r>
      <w:r>
        <w:rPr/>
        <w:t>Uden offentlig intervention (i form af skatter og forskningsmidler) ville profitten genereret i downstream kun blive investeret i upstream-infrastruktur af sto- re, vertikalt integrerede virksomheder, hvilke der er meget få af i Danmark. Resultatet ville være utilstrækkelige investeringer i upstream-forskning og -udvikling (FoU) og over tid for- ringe downstream-sektorens kommercielle muligheder.</w:t>
      </w:r>
      <w:r>
        <w:rPr>
          <w:w w:val="99"/>
          <w:position w:val="6"/>
          <w:sz w:val="8"/>
        </w:rPr>
        <w:t>4</w:t>
      </w: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208;mso-wrap-distance-left:0;mso-wrap-distance-right:0" from="85.103996pt,10.971676pt" to="229.123996pt,10.971676pt" stroked="true" strokeweight=".48004pt" strokecolor="#000000">
            <v:stroke dashstyle="solid"/>
            <w10:wrap type="topAndBottom"/>
          </v:line>
        </w:pict>
      </w:r>
    </w:p>
    <w:p>
      <w:pPr>
        <w:spacing w:before="99"/>
        <w:ind w:left="742" w:right="0" w:firstLine="0"/>
        <w:jc w:val="left"/>
        <w:rPr>
          <w:sz w:val="13"/>
        </w:rPr>
      </w:pPr>
      <w:r>
        <w:rPr>
          <w:position w:val="6"/>
          <w:sz w:val="8"/>
        </w:rPr>
        <w:t>1 </w:t>
      </w:r>
      <w:r>
        <w:rPr>
          <w:sz w:val="13"/>
        </w:rPr>
        <w:t>Solar Terrestrial Relations Observatory.</w:t>
      </w:r>
    </w:p>
    <w:p>
      <w:pPr>
        <w:spacing w:before="41"/>
        <w:ind w:left="742" w:right="0" w:firstLine="0"/>
        <w:jc w:val="left"/>
        <w:rPr>
          <w:sz w:val="13"/>
        </w:rPr>
      </w:pPr>
      <w:r>
        <w:rPr>
          <w:position w:val="6"/>
          <w:sz w:val="8"/>
        </w:rPr>
        <w:t>2 </w:t>
      </w:r>
      <w:hyperlink r:id="rId35">
        <w:r>
          <w:rPr>
            <w:color w:val="009DDF"/>
            <w:sz w:val="13"/>
          </w:rPr>
          <w:t>http://www.esa.int/Our_Activities/Human_Spaceflight/International_Space_Station/How_much_does_it_cost</w:t>
        </w:r>
      </w:hyperlink>
    </w:p>
    <w:p>
      <w:pPr>
        <w:spacing w:before="43"/>
        <w:ind w:left="742" w:right="0" w:firstLine="0"/>
        <w:jc w:val="left"/>
        <w:rPr>
          <w:i/>
          <w:sz w:val="13"/>
        </w:rPr>
      </w:pPr>
      <w:r>
        <w:rPr>
          <w:position w:val="6"/>
          <w:sz w:val="8"/>
        </w:rPr>
        <w:t>3 </w:t>
      </w:r>
      <w:r>
        <w:rPr>
          <w:sz w:val="13"/>
        </w:rPr>
        <w:t>Se eksempelvis OECD (2014) </w:t>
      </w:r>
      <w:r>
        <w:rPr>
          <w:i/>
          <w:sz w:val="13"/>
        </w:rPr>
        <w:t>The Space Economy at a Glance 2014.</w:t>
      </w:r>
    </w:p>
    <w:p>
      <w:pPr>
        <w:spacing w:before="41"/>
        <w:ind w:left="742" w:right="0" w:firstLine="0"/>
        <w:jc w:val="left"/>
        <w:rPr>
          <w:i/>
          <w:sz w:val="13"/>
        </w:rPr>
      </w:pPr>
      <w:r>
        <w:rPr>
          <w:position w:val="6"/>
          <w:sz w:val="8"/>
        </w:rPr>
        <w:t>4 </w:t>
      </w:r>
      <w:r>
        <w:rPr>
          <w:sz w:val="13"/>
        </w:rPr>
        <w:t>Konsultation med den britiske rumindustri, refereret i London Economics (2015) </w:t>
      </w:r>
      <w:r>
        <w:rPr>
          <w:i/>
          <w:sz w:val="13"/>
        </w:rPr>
        <w:t>The Case for Space 2015.</w:t>
      </w:r>
    </w:p>
    <w:p>
      <w:pPr>
        <w:spacing w:after="0"/>
        <w:jc w:val="left"/>
        <w:rPr>
          <w:sz w:val="13"/>
        </w:rPr>
        <w:sectPr>
          <w:pgSz w:w="11910" w:h="16840"/>
          <w:pgMar w:header="0" w:footer="1056" w:top="1580" w:bottom="1240" w:left="960" w:right="0"/>
        </w:sectPr>
      </w:pPr>
    </w:p>
    <w:p>
      <w:pPr>
        <w:pStyle w:val="ListParagraph"/>
        <w:numPr>
          <w:ilvl w:val="2"/>
          <w:numId w:val="4"/>
        </w:numPr>
        <w:tabs>
          <w:tab w:pos="1454" w:val="left" w:leader="none"/>
          <w:tab w:pos="1455" w:val="left" w:leader="none"/>
        </w:tabs>
        <w:spacing w:line="240" w:lineRule="auto" w:before="126" w:after="0"/>
        <w:ind w:left="1454" w:right="0" w:hanging="355"/>
        <w:jc w:val="left"/>
        <w:rPr>
          <w:b/>
          <w:sz w:val="18"/>
        </w:rPr>
      </w:pPr>
      <w:r>
        <w:rPr>
          <w:b/>
          <w:color w:val="009DDF"/>
          <w:sz w:val="18"/>
        </w:rPr>
        <w:t>De private kapitalmarkeders imperfektion</w:t>
      </w:r>
    </w:p>
    <w:p>
      <w:pPr>
        <w:pStyle w:val="BodyText"/>
        <w:spacing w:line="264" w:lineRule="auto" w:before="20"/>
        <w:ind w:left="1462" w:right="1169"/>
      </w:pPr>
      <w:r>
        <w:rPr/>
        <w:t>Rose (1986)</w:t>
      </w:r>
      <w:r>
        <w:rPr>
          <w:w w:val="99"/>
          <w:position w:val="6"/>
          <w:sz w:val="8"/>
        </w:rPr>
        <w:t>5</w:t>
      </w:r>
      <w:r>
        <w:rPr>
          <w:position w:val="6"/>
          <w:sz w:val="8"/>
        </w:rPr>
        <w:t>  </w:t>
      </w:r>
      <w:r>
        <w:rPr/>
        <w:t>bemærker, at tre faktorer kan begrænse eller udelukke adgang til kapital på private markeder, nemlig: 1) stor usikkerhed eller risiko, 2) store faste omkostninger og 3) lang udviklingstid eller lange tilbagebetalingshorisonter. Rumprojekter, navnlig i upstream, er påvirket af alle tre faktorer i større eller mindre grad, idet risikoen ved projekterne er stor, og hvis for eksempel en raketaffyring fejler, er hele projektet i udgangspunktet tabt. De faste omkostninger ved rumprojekter er meget høje, mens de marginale omkostninger ofte er meget små (det koster eksempelvis ikke meget mere at fotografere endnu et områ- de på den samme rute eller sælge parabol-tv til endnu en kunde), så der er gode mulighe- der for stordriftsfordele. Endelig er udviklingsfasen ofte meget lang, og den initiale investe- ring giver ikke afkast før langt senere. Downstream-aktiviteter møder ikke de samme ud- fordringer som upstream, så længe isenkram i rummet leverer de nødvendige signaler, men langtidsrisikoen ved projekterne er alligevel uløseligt forbundet med upstream.</w:t>
      </w:r>
    </w:p>
    <w:p>
      <w:pPr>
        <w:pStyle w:val="BodyText"/>
        <w:spacing w:before="1"/>
        <w:rPr>
          <w:sz w:val="19"/>
        </w:rPr>
      </w:pPr>
    </w:p>
    <w:p>
      <w:pPr>
        <w:pStyle w:val="ListParagraph"/>
        <w:numPr>
          <w:ilvl w:val="2"/>
          <w:numId w:val="4"/>
        </w:numPr>
        <w:tabs>
          <w:tab w:pos="1461" w:val="left" w:leader="none"/>
          <w:tab w:pos="1462" w:val="left" w:leader="none"/>
        </w:tabs>
        <w:spacing w:line="240" w:lineRule="auto" w:before="0" w:after="0"/>
        <w:ind w:left="1462" w:right="0" w:hanging="360"/>
        <w:jc w:val="left"/>
        <w:rPr>
          <w:b/>
          <w:sz w:val="18"/>
        </w:rPr>
      </w:pPr>
      <w:r>
        <w:rPr>
          <w:b/>
          <w:color w:val="009DDF"/>
          <w:sz w:val="18"/>
        </w:rPr>
        <w:t>Markedsfejl i videnskab og</w:t>
      </w:r>
      <w:r>
        <w:rPr>
          <w:b/>
          <w:color w:val="009DDF"/>
          <w:spacing w:val="3"/>
          <w:sz w:val="18"/>
        </w:rPr>
        <w:t> </w:t>
      </w:r>
      <w:r>
        <w:rPr>
          <w:b/>
          <w:color w:val="009DDF"/>
          <w:sz w:val="18"/>
        </w:rPr>
        <w:t>innovation</w:t>
      </w:r>
    </w:p>
    <w:p>
      <w:pPr>
        <w:pStyle w:val="BodyText"/>
        <w:spacing w:line="264" w:lineRule="auto" w:before="20"/>
        <w:ind w:left="1462" w:right="1142"/>
      </w:pPr>
      <w:r>
        <w:rPr/>
        <w:t>Forskning og udvikling i rummet skaber private gevinster i form af profit til udvikleren, men også samfundsmæssige gevinster gennem afsmittende effekter, som udvikleren ikke får (fuld) betaling for. Det socialt optimale FoU-niveau opnås kun, hvis omkostningerne til FoU vurderes i forhold til de private og sociale afkast. Uden offentlig intervention vil FoU- niveauet alene blive vurderet i forhold til investorens private gevinster, og mængden af FoU vil således aldrig nå det optimale niveau. Dette rationale gælder generelt for offentlig intervention i forskning og</w:t>
      </w:r>
      <w:r>
        <w:rPr>
          <w:spacing w:val="-3"/>
        </w:rPr>
        <w:t> </w:t>
      </w:r>
      <w:r>
        <w:rPr/>
        <w:t>udvikling.</w:t>
      </w:r>
    </w:p>
    <w:p>
      <w:pPr>
        <w:pStyle w:val="BodyText"/>
        <w:spacing w:before="5"/>
        <w:rPr>
          <w:sz w:val="19"/>
        </w:rPr>
      </w:pPr>
    </w:p>
    <w:p>
      <w:pPr>
        <w:pStyle w:val="ListParagraph"/>
        <w:numPr>
          <w:ilvl w:val="2"/>
          <w:numId w:val="4"/>
        </w:numPr>
        <w:tabs>
          <w:tab w:pos="1461" w:val="left" w:leader="none"/>
          <w:tab w:pos="1462" w:val="left" w:leader="none"/>
        </w:tabs>
        <w:spacing w:line="240" w:lineRule="auto" w:before="0" w:after="0"/>
        <w:ind w:left="1462" w:right="0" w:hanging="360"/>
        <w:jc w:val="left"/>
        <w:rPr>
          <w:b/>
          <w:sz w:val="18"/>
        </w:rPr>
      </w:pPr>
      <w:r>
        <w:rPr>
          <w:b/>
          <w:color w:val="009DDF"/>
          <w:sz w:val="18"/>
        </w:rPr>
        <w:t>Rummet yder offentlige goder</w:t>
      </w:r>
    </w:p>
    <w:p>
      <w:pPr>
        <w:pStyle w:val="BodyText"/>
        <w:spacing w:line="264" w:lineRule="auto" w:before="19"/>
        <w:ind w:left="1462" w:right="1227"/>
      </w:pPr>
      <w:r>
        <w:rPr/>
        <w:t>Et offentligt gode er defineret som et, hvor man ikke kan udelukke nogle brugere, og hvor én brugers anvendelse ikke skader en anden brugers nytte af godet. Visse rumbaserede tjenester, eksempelvis vejrudsigter og de åbne GNSS-signaler, kan betragtes som offentli- ge goder, men da de ikke får betaling, er det meget sjældent at kommercielle virksomhe- der tilbyder offentlige goder.</w:t>
      </w:r>
      <w:r>
        <w:rPr>
          <w:w w:val="99"/>
          <w:position w:val="6"/>
          <w:sz w:val="8"/>
        </w:rPr>
        <w:t>6</w:t>
      </w:r>
      <w:r>
        <w:rPr>
          <w:position w:val="6"/>
          <w:sz w:val="8"/>
        </w:rPr>
        <w:t>  </w:t>
      </w:r>
      <w:r>
        <w:rPr/>
        <w:t>Satellitkommunikation og visse navigationstjenester er ikke offentlige goder.</w:t>
      </w:r>
    </w:p>
    <w:p>
      <w:pPr>
        <w:pStyle w:val="BodyText"/>
        <w:spacing w:before="6"/>
        <w:rPr>
          <w:sz w:val="19"/>
        </w:rPr>
      </w:pPr>
    </w:p>
    <w:p>
      <w:pPr>
        <w:pStyle w:val="ListParagraph"/>
        <w:numPr>
          <w:ilvl w:val="2"/>
          <w:numId w:val="4"/>
        </w:numPr>
        <w:tabs>
          <w:tab w:pos="1461" w:val="left" w:leader="none"/>
          <w:tab w:pos="1462" w:val="left" w:leader="none"/>
        </w:tabs>
        <w:spacing w:line="240" w:lineRule="auto" w:before="0" w:after="0"/>
        <w:ind w:left="1462" w:right="0" w:hanging="360"/>
        <w:jc w:val="left"/>
        <w:rPr>
          <w:b/>
          <w:sz w:val="18"/>
        </w:rPr>
      </w:pPr>
      <w:r>
        <w:rPr>
          <w:b/>
          <w:color w:val="009DDF"/>
          <w:sz w:val="18"/>
        </w:rPr>
        <w:t>Eksternaliteter</w:t>
      </w:r>
    </w:p>
    <w:p>
      <w:pPr>
        <w:pStyle w:val="BodyText"/>
        <w:spacing w:line="264" w:lineRule="auto" w:before="20"/>
        <w:ind w:left="1462" w:right="1144"/>
      </w:pPr>
      <w:r>
        <w:rPr/>
        <w:t>Brug af rummet skaber samfundsøkonomisk værdi, idet en borgers brug påvirker en anden aktør positivt (eksempelvis hvis fly skal bruge mindre tid i luften over lufthavne og dermed sparer brændstof og med mindre forurening til følge). Disse eksternaliteter tilfalder pr. de- finition ikke den part, som foretager investeringen, så det samfundsmæssigt optimale inve- steringsniveau, som tager hensyn til eksternaliteter, er højere end det private niveau, hvorfor offentlig intervention behøves.</w:t>
      </w:r>
    </w:p>
    <w:p>
      <w:pPr>
        <w:pStyle w:val="BodyText"/>
        <w:spacing w:before="5"/>
        <w:rPr>
          <w:sz w:val="19"/>
        </w:rPr>
      </w:pPr>
    </w:p>
    <w:p>
      <w:pPr>
        <w:pStyle w:val="BodyText"/>
        <w:spacing w:line="264" w:lineRule="auto"/>
        <w:ind w:left="742" w:right="1175"/>
      </w:pPr>
      <w:r>
        <w:rPr/>
        <w:t>De danske offentlige bevillinger til rummet præsenteres i </w:t>
      </w:r>
      <w:hyperlink w:history="true" w:anchor="_bookmark10">
        <w:r>
          <w:rPr/>
          <w:t>figur 4</w:t>
        </w:r>
      </w:hyperlink>
      <w:r>
        <w:rPr/>
        <w:t>. Hovedparten af bevillingerne er gået til ESA, som ud over forskning og missioner, der inspirerer og flytter menneskets forståelse af r</w:t>
      </w:r>
      <w:r>
        <w:rPr>
          <w:spacing w:val="-2"/>
        </w:rPr>
        <w:t>u</w:t>
      </w:r>
      <w:r>
        <w:rPr/>
        <w:t>mmet</w:t>
      </w:r>
      <w:r>
        <w:rPr>
          <w:spacing w:val="-1"/>
        </w:rPr>
        <w:t>,</w:t>
      </w:r>
      <w:r>
        <w:rPr>
          <w:w w:val="99"/>
          <w:position w:val="6"/>
          <w:sz w:val="8"/>
        </w:rPr>
        <w:t>7</w:t>
      </w:r>
      <w:r>
        <w:rPr>
          <w:position w:val="6"/>
          <w:sz w:val="8"/>
        </w:rPr>
        <w:t> </w:t>
      </w:r>
      <w:r>
        <w:rPr>
          <w:spacing w:val="6"/>
          <w:position w:val="6"/>
          <w:sz w:val="8"/>
        </w:rPr>
        <w:t> </w:t>
      </w:r>
      <w:r>
        <w:rPr/>
        <w:t>s</w:t>
      </w:r>
      <w:r>
        <w:rPr>
          <w:spacing w:val="-2"/>
        </w:rPr>
        <w:t>k</w:t>
      </w:r>
      <w:r>
        <w:rPr/>
        <w:t>ab</w:t>
      </w:r>
      <w:r>
        <w:rPr>
          <w:spacing w:val="1"/>
        </w:rPr>
        <w:t>e</w:t>
      </w:r>
      <w:r>
        <w:rPr/>
        <w:t>r</w:t>
      </w:r>
      <w:r>
        <w:rPr>
          <w:spacing w:val="-1"/>
        </w:rPr>
        <w:t> </w:t>
      </w:r>
      <w:r>
        <w:rPr/>
        <w:t>ø</w:t>
      </w:r>
      <w:r>
        <w:rPr>
          <w:spacing w:val="-1"/>
        </w:rPr>
        <w:t>k</w:t>
      </w:r>
      <w:r>
        <w:rPr/>
        <w:t>o</w:t>
      </w:r>
      <w:r>
        <w:rPr>
          <w:spacing w:val="-2"/>
        </w:rPr>
        <w:t>n</w:t>
      </w:r>
      <w:r>
        <w:rPr/>
        <w:t>omisk</w:t>
      </w:r>
      <w:r>
        <w:rPr>
          <w:spacing w:val="-2"/>
        </w:rPr>
        <w:t> </w:t>
      </w:r>
      <w:r>
        <w:rPr/>
        <w:t>a</w:t>
      </w:r>
      <w:r>
        <w:rPr>
          <w:spacing w:val="-1"/>
        </w:rPr>
        <w:t>k</w:t>
      </w:r>
      <w:r>
        <w:rPr/>
        <w:t>ti</w:t>
      </w:r>
      <w:r>
        <w:rPr>
          <w:spacing w:val="-1"/>
        </w:rPr>
        <w:t>v</w:t>
      </w:r>
      <w:r>
        <w:rPr/>
        <w:t>itet i Da</w:t>
      </w:r>
      <w:r>
        <w:rPr>
          <w:spacing w:val="-1"/>
        </w:rPr>
        <w:t>n</w:t>
      </w:r>
      <w:r>
        <w:rPr/>
        <w:t>mark</w:t>
      </w:r>
      <w:r>
        <w:rPr>
          <w:spacing w:val="-2"/>
        </w:rPr>
        <w:t> </w:t>
      </w:r>
      <w:r>
        <w:rPr/>
        <w:t>i </w:t>
      </w:r>
      <w:r>
        <w:rPr>
          <w:spacing w:val="-1"/>
        </w:rPr>
        <w:t>f</w:t>
      </w:r>
      <w:r>
        <w:rPr/>
        <w:t>orm</w:t>
      </w:r>
      <w:r>
        <w:rPr>
          <w:spacing w:val="-1"/>
        </w:rPr>
        <w:t> </w:t>
      </w:r>
      <w:r>
        <w:rPr/>
        <w:t>af</w:t>
      </w:r>
      <w:r>
        <w:rPr>
          <w:spacing w:val="-2"/>
        </w:rPr>
        <w:t> </w:t>
      </w:r>
      <w:r>
        <w:rPr>
          <w:spacing w:val="-1"/>
        </w:rPr>
        <w:t>k</w:t>
      </w:r>
      <w:r>
        <w:rPr/>
        <w:t>o</w:t>
      </w:r>
      <w:r>
        <w:rPr>
          <w:spacing w:val="-2"/>
        </w:rPr>
        <w:t>n</w:t>
      </w:r>
      <w:r>
        <w:rPr/>
        <w:t>tra</w:t>
      </w:r>
      <w:r>
        <w:rPr>
          <w:spacing w:val="-2"/>
        </w:rPr>
        <w:t>k</w:t>
      </w:r>
      <w:r>
        <w:rPr/>
        <w:t>ter</w:t>
      </w:r>
      <w:r>
        <w:rPr>
          <w:spacing w:val="-1"/>
        </w:rPr>
        <w:t> </w:t>
      </w:r>
      <w:r>
        <w:rPr/>
        <w:t>til den</w:t>
      </w:r>
      <w:r>
        <w:rPr>
          <w:spacing w:val="-2"/>
        </w:rPr>
        <w:t> </w:t>
      </w:r>
      <w:r>
        <w:rPr/>
        <w:t>dans</w:t>
      </w:r>
      <w:r>
        <w:rPr>
          <w:spacing w:val="-2"/>
        </w:rPr>
        <w:t>k</w:t>
      </w:r>
      <w:r>
        <w:rPr/>
        <w:t>e</w:t>
      </w:r>
      <w:r>
        <w:rPr>
          <w:spacing w:val="-1"/>
        </w:rPr>
        <w:t> </w:t>
      </w:r>
      <w:r>
        <w:rPr/>
        <w:t>i</w:t>
      </w:r>
      <w:r>
        <w:rPr>
          <w:spacing w:val="-2"/>
        </w:rPr>
        <w:t>n</w:t>
      </w:r>
      <w:r>
        <w:rPr/>
        <w:t>d</w:t>
      </w:r>
      <w:r>
        <w:rPr>
          <w:spacing w:val="-2"/>
        </w:rPr>
        <w:t>u</w:t>
      </w:r>
      <w:r>
        <w:rPr/>
        <w:t>str</w:t>
      </w:r>
      <w:r>
        <w:rPr>
          <w:spacing w:val="6"/>
        </w:rPr>
        <w:t>i</w:t>
      </w:r>
      <w:r>
        <w:rPr/>
        <w:t>.</w:t>
      </w:r>
      <w:r>
        <w:rPr>
          <w:spacing w:val="-2"/>
        </w:rPr>
        <w:t> </w:t>
      </w:r>
      <w:r>
        <w:rPr>
          <w:spacing w:val="-1"/>
        </w:rPr>
        <w:t>E</w:t>
      </w:r>
      <w:r>
        <w:rPr>
          <w:spacing w:val="1"/>
        </w:rPr>
        <w:t>S</w:t>
      </w:r>
      <w:r>
        <w:rPr/>
        <w:t>A </w:t>
      </w:r>
      <w:r>
        <w:rPr>
          <w:spacing w:val="-2"/>
        </w:rPr>
        <w:t>h</w:t>
      </w:r>
      <w:r>
        <w:rPr/>
        <w:t>ar</w:t>
      </w:r>
      <w:r>
        <w:rPr>
          <w:spacing w:val="-2"/>
        </w:rPr>
        <w:t> </w:t>
      </w:r>
      <w:r>
        <w:rPr/>
        <w:t>tilli</w:t>
      </w:r>
      <w:r>
        <w:rPr>
          <w:spacing w:val="-2"/>
        </w:rPr>
        <w:t>g</w:t>
      </w:r>
      <w:r>
        <w:rPr/>
        <w:t>e</w:t>
      </w:r>
      <w:r>
        <w:rPr>
          <w:spacing w:val="-1"/>
        </w:rPr>
        <w:t> </w:t>
      </w:r>
      <w:r>
        <w:rPr>
          <w:spacing w:val="-2"/>
        </w:rPr>
        <w:t>u</w:t>
      </w:r>
      <w:r>
        <w:rPr/>
        <w:t>d</w:t>
      </w:r>
      <w:r>
        <w:rPr>
          <w:spacing w:val="-1"/>
        </w:rPr>
        <w:t>v</w:t>
      </w:r>
      <w:r>
        <w:rPr/>
        <w:t>i</w:t>
      </w:r>
      <w:r>
        <w:rPr>
          <w:spacing w:val="-1"/>
        </w:rPr>
        <w:t>k</w:t>
      </w:r>
      <w:r>
        <w:rPr/>
        <w:t>let den</w:t>
      </w:r>
      <w:r>
        <w:rPr>
          <w:spacing w:val="-2"/>
        </w:rPr>
        <w:t> </w:t>
      </w:r>
      <w:r>
        <w:rPr/>
        <w:t>te</w:t>
      </w:r>
      <w:r>
        <w:rPr>
          <w:spacing w:val="-4"/>
        </w:rPr>
        <w:t>k</w:t>
      </w:r>
      <w:r>
        <w:rPr>
          <w:spacing w:val="-2"/>
        </w:rPr>
        <w:t>n</w:t>
      </w:r>
      <w:r>
        <w:rPr/>
        <w:t>is</w:t>
      </w:r>
      <w:r>
        <w:rPr>
          <w:spacing w:val="-2"/>
        </w:rPr>
        <w:t>k</w:t>
      </w:r>
      <w:r>
        <w:rPr/>
        <w:t>e</w:t>
      </w:r>
      <w:r>
        <w:rPr>
          <w:spacing w:val="-1"/>
        </w:rPr>
        <w:t> </w:t>
      </w:r>
      <w:r>
        <w:rPr/>
        <w:t>de</w:t>
      </w:r>
      <w:r>
        <w:rPr>
          <w:spacing w:val="-1"/>
        </w:rPr>
        <w:t>f</w:t>
      </w:r>
      <w:r>
        <w:rPr/>
        <w:t>i</w:t>
      </w:r>
      <w:r>
        <w:rPr>
          <w:spacing w:val="-2"/>
        </w:rPr>
        <w:t>n</w:t>
      </w:r>
      <w:r>
        <w:rPr/>
        <w:t>ition</w:t>
      </w:r>
      <w:r>
        <w:rPr>
          <w:spacing w:val="-2"/>
        </w:rPr>
        <w:t> </w:t>
      </w:r>
      <w:r>
        <w:rPr/>
        <w:t>af</w:t>
      </w:r>
      <w:r>
        <w:rPr>
          <w:spacing w:val="-2"/>
        </w:rPr>
        <w:t> </w:t>
      </w:r>
      <w:r>
        <w:rPr>
          <w:spacing w:val="-1"/>
        </w:rPr>
        <w:t>E</w:t>
      </w:r>
      <w:r>
        <w:rPr/>
        <w:t>U’s</w:t>
      </w:r>
      <w:r>
        <w:rPr>
          <w:spacing w:val="-2"/>
        </w:rPr>
        <w:t> </w:t>
      </w:r>
      <w:r>
        <w:rPr/>
        <w:t>sa</w:t>
      </w:r>
      <w:r>
        <w:rPr>
          <w:spacing w:val="2"/>
        </w:rPr>
        <w:t>t</w:t>
      </w:r>
      <w:r>
        <w:rPr/>
        <w:t>el</w:t>
      </w:r>
      <w:r>
        <w:rPr>
          <w:spacing w:val="-2"/>
        </w:rPr>
        <w:t>l</w:t>
      </w:r>
      <w:r>
        <w:rPr/>
        <w:t>itp</w:t>
      </w:r>
      <w:r>
        <w:rPr>
          <w:spacing w:val="-3"/>
        </w:rPr>
        <w:t>r</w:t>
      </w:r>
      <w:r>
        <w:rPr/>
        <w:t>ogramme</w:t>
      </w:r>
      <w:r>
        <w:rPr>
          <w:spacing w:val="4"/>
        </w:rPr>
        <w:t>r</w:t>
      </w:r>
      <w:r>
        <w:rPr>
          <w:w w:val="99"/>
          <w:position w:val="6"/>
          <w:sz w:val="8"/>
        </w:rPr>
        <w:t>8</w:t>
      </w:r>
      <w:r>
        <w:rPr>
          <w:position w:val="6"/>
          <w:sz w:val="8"/>
        </w:rPr>
        <w:t> </w:t>
      </w:r>
      <w:r>
        <w:rPr>
          <w:spacing w:val="6"/>
          <w:position w:val="6"/>
          <w:sz w:val="8"/>
        </w:rPr>
        <w:t> </w:t>
      </w:r>
      <w:r>
        <w:rPr/>
        <w:t>og</w:t>
      </w:r>
      <w:r>
        <w:rPr>
          <w:spacing w:val="-1"/>
        </w:rPr>
        <w:t> v</w:t>
      </w:r>
      <w:r>
        <w:rPr/>
        <w:t>are</w:t>
      </w:r>
      <w:r>
        <w:rPr>
          <w:spacing w:val="1"/>
        </w:rPr>
        <w:t>t</w:t>
      </w:r>
      <w:r>
        <w:rPr>
          <w:spacing w:val="-3"/>
        </w:rPr>
        <w:t>a</w:t>
      </w:r>
      <w:r>
        <w:rPr/>
        <w:t>ger</w:t>
      </w:r>
      <w:r>
        <w:rPr>
          <w:spacing w:val="-1"/>
        </w:rPr>
        <w:t> </w:t>
      </w:r>
      <w:r>
        <w:rPr>
          <w:spacing w:val="-2"/>
        </w:rPr>
        <w:t>u</w:t>
      </w:r>
      <w:r>
        <w:rPr/>
        <w:t>db</w:t>
      </w:r>
      <w:r>
        <w:rPr>
          <w:spacing w:val="-2"/>
        </w:rPr>
        <w:t>u</w:t>
      </w:r>
      <w:r>
        <w:rPr/>
        <w:t>d</w:t>
      </w:r>
      <w:r>
        <w:rPr>
          <w:spacing w:val="-1"/>
        </w:rPr>
        <w:t> </w:t>
      </w:r>
      <w:r>
        <w:rPr/>
        <w:t>af</w:t>
      </w:r>
      <w:r>
        <w:rPr>
          <w:spacing w:val="-2"/>
        </w:rPr>
        <w:t> </w:t>
      </w:r>
      <w:r>
        <w:rPr/>
        <w:t>rela</w:t>
      </w:r>
      <w:r>
        <w:rPr>
          <w:spacing w:val="2"/>
        </w:rPr>
        <w:t>t</w:t>
      </w:r>
      <w:r>
        <w:rPr/>
        <w:t>e- rede</w:t>
      </w:r>
      <w:r>
        <w:rPr>
          <w:spacing w:val="-2"/>
        </w:rPr>
        <w:t> </w:t>
      </w:r>
      <w:r>
        <w:rPr/>
        <w:t>kontrakter.</w:t>
      </w:r>
    </w:p>
    <w:p>
      <w:pPr>
        <w:pStyle w:val="BodyText"/>
        <w:spacing w:before="1"/>
        <w:rPr>
          <w:sz w:val="21"/>
        </w:rPr>
      </w:pPr>
      <w:r>
        <w:rPr/>
        <w:pict>
          <v:line style="position:absolute;mso-position-horizontal-relative:page;mso-position-vertical-relative:paragraph;z-index:-184;mso-wrap-distance-left:0;mso-wrap-distance-right:0" from="85.103996pt,15.049511pt" to="229.123996pt,15.049511pt" stroked="true" strokeweight=".48004pt" strokecolor="#000000">
            <v:stroke dashstyle="solid"/>
            <w10:wrap type="topAndBottom"/>
          </v:line>
        </w:pict>
      </w:r>
    </w:p>
    <w:p>
      <w:pPr>
        <w:spacing w:line="321" w:lineRule="auto" w:before="99"/>
        <w:ind w:left="742" w:right="0" w:firstLine="0"/>
        <w:jc w:val="left"/>
        <w:rPr>
          <w:sz w:val="13"/>
        </w:rPr>
      </w:pPr>
      <w:r>
        <w:rPr>
          <w:position w:val="6"/>
          <w:sz w:val="8"/>
        </w:rPr>
        <w:t>5 </w:t>
      </w:r>
      <w:r>
        <w:rPr>
          <w:sz w:val="13"/>
        </w:rPr>
        <w:t>Rose, N., L. (1986) “The Government’s Role in the Commercialization of New Technologies: Lessons For Space Policy”, tilgængelig her: </w:t>
      </w:r>
      <w:hyperlink r:id="rId36">
        <w:r>
          <w:rPr>
            <w:color w:val="009DDF"/>
            <w:sz w:val="13"/>
          </w:rPr>
          <w:t>http://economics.mit.edu/files/4342.</w:t>
        </w:r>
      </w:hyperlink>
    </w:p>
    <w:p>
      <w:pPr>
        <w:spacing w:line="155" w:lineRule="exact" w:before="0"/>
        <w:ind w:left="742" w:right="0" w:firstLine="0"/>
        <w:jc w:val="left"/>
        <w:rPr>
          <w:sz w:val="13"/>
        </w:rPr>
      </w:pPr>
      <w:r>
        <w:rPr>
          <w:position w:val="6"/>
          <w:sz w:val="8"/>
        </w:rPr>
        <w:t>6 </w:t>
      </w:r>
      <w:r>
        <w:rPr>
          <w:sz w:val="13"/>
        </w:rPr>
        <w:t>Indtil 2000 var GPS ikke et fuldkomment offentligt gode fordi Selective Availability (en funktion der forringede præcisionen på den civile</w:t>
      </w:r>
    </w:p>
    <w:p>
      <w:pPr>
        <w:spacing w:line="319" w:lineRule="auto" w:before="53"/>
        <w:ind w:left="742" w:right="1174" w:firstLine="0"/>
        <w:jc w:val="left"/>
        <w:rPr>
          <w:sz w:val="13"/>
        </w:rPr>
      </w:pPr>
      <w:r>
        <w:rPr>
          <w:sz w:val="13"/>
        </w:rPr>
        <w:t>GPS-tjenester) var slået til. Med den nyeste generation af GPS satellitter (GPS-III) er Selective Availability ikke længere en mulighed. Som signalerne fra alle GNSS er defineret, er det ikke muligt at yde den åbne tjeneste til nogle brugere og udelukke andre. Principielt kunne vejrudsigter gøres betalingspligtige, men i praksis er det svært at forestille sig det etisk forsvarlige i at udelukke dele af befolknin- gen fra oplysninger med sundhedsimplikationer såsom hedebølger og kulde (som ville skulle udbedres af et offentligt sygehusvæsen).</w:t>
      </w:r>
    </w:p>
    <w:p>
      <w:pPr>
        <w:spacing w:line="157" w:lineRule="exact" w:before="0"/>
        <w:ind w:left="742" w:right="0" w:firstLine="0"/>
        <w:jc w:val="left"/>
        <w:rPr>
          <w:sz w:val="13"/>
        </w:rPr>
      </w:pPr>
      <w:r>
        <w:rPr>
          <w:position w:val="6"/>
          <w:sz w:val="8"/>
        </w:rPr>
        <w:t>7 </w:t>
      </w:r>
      <w:r>
        <w:rPr>
          <w:sz w:val="13"/>
        </w:rPr>
        <w:t>Eksempelvis gennem Rosetta.</w:t>
      </w:r>
    </w:p>
    <w:p>
      <w:pPr>
        <w:spacing w:before="41"/>
        <w:ind w:left="742" w:right="0" w:firstLine="0"/>
        <w:jc w:val="left"/>
        <w:rPr>
          <w:sz w:val="13"/>
        </w:rPr>
      </w:pPr>
      <w:r>
        <w:rPr>
          <w:position w:val="6"/>
          <w:sz w:val="8"/>
        </w:rPr>
        <w:t>8 </w:t>
      </w:r>
      <w:r>
        <w:rPr>
          <w:sz w:val="13"/>
        </w:rPr>
        <w:t>Oprindelig blev EGNSS (EGNOS og Galileo) og Copernicus udviklet i ESA-regi, men blev siden overtaget af EU.</w:t>
      </w:r>
    </w:p>
    <w:p>
      <w:pPr>
        <w:spacing w:after="0"/>
        <w:jc w:val="left"/>
        <w:rPr>
          <w:sz w:val="13"/>
        </w:rPr>
        <w:sectPr>
          <w:pgSz w:w="11910" w:h="16840"/>
          <w:pgMar w:header="0" w:footer="1056" w:top="1580" w:bottom="1240" w:left="960" w:right="0"/>
        </w:sectPr>
      </w:pPr>
    </w:p>
    <w:p>
      <w:pPr>
        <w:spacing w:before="101"/>
        <w:ind w:left="742" w:right="0" w:firstLine="0"/>
        <w:jc w:val="left"/>
        <w:rPr>
          <w:b/>
          <w:sz w:val="15"/>
        </w:rPr>
      </w:pPr>
      <w:bookmarkStart w:name="_bookmark10" w:id="11"/>
      <w:bookmarkEnd w:id="11"/>
      <w:r>
        <w:rPr/>
      </w:r>
      <w:r>
        <w:rPr>
          <w:b/>
          <w:color w:val="009DDF"/>
          <w:sz w:val="15"/>
        </w:rPr>
        <w:t>Figur 4. Danmarks offentlige rumbevillinger (2013-priser)</w:t>
      </w:r>
    </w:p>
    <w:p>
      <w:pPr>
        <w:spacing w:before="141"/>
        <w:ind w:left="797" w:right="0" w:firstLine="0"/>
        <w:jc w:val="left"/>
        <w:rPr>
          <w:b/>
          <w:sz w:val="16"/>
        </w:rPr>
      </w:pPr>
      <w:r>
        <w:rPr>
          <w:b/>
          <w:sz w:val="16"/>
        </w:rPr>
        <w:t>Mio. DKK</w:t>
      </w:r>
    </w:p>
    <w:p>
      <w:pPr>
        <w:spacing w:before="51"/>
        <w:ind w:left="939" w:right="0" w:firstLine="0"/>
        <w:jc w:val="left"/>
        <w:rPr>
          <w:sz w:val="16"/>
        </w:rPr>
      </w:pPr>
      <w:r>
        <w:rPr/>
        <w:pict>
          <v:line style="position:absolute;mso-position-horizontal-relative:page;mso-position-vertical-relative:paragraph;z-index:2080" from="117.720001pt,7.812991pt" to="490.920001pt,7.812991pt" stroked="true" strokeweight=".72pt" strokecolor="#d9d9d9">
            <v:stroke dashstyle="solid"/>
            <w10:wrap type="none"/>
          </v:line>
        </w:pict>
      </w:r>
      <w:r>
        <w:rPr>
          <w:sz w:val="16"/>
        </w:rPr>
        <w:t>600</w:t>
      </w:r>
    </w:p>
    <w:p>
      <w:pPr>
        <w:pStyle w:val="BodyText"/>
        <w:spacing w:before="5"/>
        <w:rPr>
          <w:sz w:val="14"/>
        </w:rPr>
      </w:pPr>
      <w:r>
        <w:rPr/>
        <w:pict>
          <v:group style="position:absolute;margin-left:94.968002pt;margin-top:10.769697pt;width:396.95pt;height:204.15pt;mso-position-horizontal-relative:page;mso-position-vertical-relative:paragraph;z-index:-16;mso-wrap-distance-left:0;mso-wrap-distance-right:0" coordorigin="1899,215" coordsize="7939,4083">
            <v:line style="position:absolute" from="2354,3149" to="9818,3149" stroked="true" strokeweight=".72pt" strokecolor="#d9d9d9">
              <v:stroke dashstyle="solid"/>
            </v:line>
            <v:shape style="position:absolute;left:2355;top:3609;width:7463;height:188" coordorigin="2355,3609" coordsize="7463,188" path="m2355,3638l2355,3797,9818,3797,9818,3665,4843,3665,4428,3647,3599,3638,2770,3638,2355,3638xm5672,3655l5258,3663,4843,3665,9818,3665,9818,3661,6087,3661,5672,3655xm7331,3611l6916,3645,6087,3661,9818,3661,9818,3631,7745,3631,7331,3611xm3185,3636l2770,3638,3599,3638,3185,3636xm9818,3609l8574,3616,8160,3627,7745,3631,9818,3631,9818,3609xe" filled="true" fillcolor="#a0be36" stroked="false">
              <v:path arrowok="t"/>
              <v:fill type="solid"/>
            </v:shape>
            <v:shape style="position:absolute;left:2355;top:3609;width:7463;height:188" coordorigin="2355,3609" coordsize="7463,188" path="m2355,3638l2770,3638,3185,3636,3599,3638,4014,3642,4428,3647,4843,3665,5258,3663,5672,3655,6087,3661,6501,3651,6916,3645,7331,3611,7745,3631,8160,3627,8574,3616,8989,3614,9404,3612,9818,3609,9818,3797,2355,3797,2355,3638e" filled="false" stroked="true" strokeweight="1.92pt" strokecolor="#a0be36">
              <v:path arrowok="t"/>
              <v:stroke dashstyle="solid"/>
            </v:shape>
            <v:shape style="position:absolute;left:2355;top:3177;width:7463;height:488" coordorigin="2355,3177" coordsize="7463,488" path="m7025,3636l3185,3636,4428,3647,4843,3665,5258,3663,5672,3655,6341,3655,6916,3645,7025,3636xm6341,3655l5672,3655,6087,3661,6341,3655xm2355,3285l2355,3638,2770,3638,7025,3636,7331,3611,9531,3611,9818,3609,9818,3502,5258,3502,5147,3487,4428,3487,4349,3459,3599,3459,3231,3385,2770,3385,2355,3285xm9531,3611l7331,3611,7745,3631,8160,3627,8574,3616,9531,3611xm6087,3437l5672,3473,5258,3502,9818,3502,9818,3496,6501,3496,6087,3437xm9404,3177l8989,3197,8574,3262,8160,3349,7745,3458,7331,3465,6501,3496,9818,3496,9818,3184,9404,3177xm4843,3447l4428,3487,5147,3487,4843,3447xm4014,3341l3599,3459,4349,3459,4014,3341xm3185,3375l2770,3385,3231,3385,3185,3375xe" filled="true" fillcolor="#d0cfc5" stroked="false">
              <v:path arrowok="t"/>
              <v:fill type="solid"/>
            </v:shape>
            <v:shape style="position:absolute;left:2355;top:3177;width:7463;height:488" coordorigin="2355,3177" coordsize="7463,488" path="m2355,3285l2770,3385,3185,3375,3599,3459,4014,3341,4428,3487,4843,3447,5258,3502,5672,3473,6087,3437,6501,3496,6916,3479,7331,3465,7745,3458,8160,3349,8574,3262,8989,3197,9404,3177,9818,3184,9818,3609,9404,3612,8989,3614,8574,3616,8160,3627,7745,3631,7331,3611,6916,3645,6501,3651,6087,3661,5672,3655,5258,3663,4843,3665,4428,3647,4014,3642,3599,3638,3185,3636,2770,3638,2355,3638,2355,3285e" filled="false" stroked="true" strokeweight="1.92pt" strokecolor="#d0cfc5">
              <v:path arrowok="t"/>
              <v:stroke dashstyle="solid"/>
            </v:shape>
            <v:shape style="position:absolute;left:3184;top:3150;width:6634;height:351" coordorigin="3185,3151" coordsize="6634,351" path="m5050,3447l4843,3447,5258,3502,5663,3474,5258,3474,5050,3447xm6247,3437l6087,3437,6501,3496,6516,3496,6501,3496,6247,3437xm8574,3151l8160,3330,7745,3439,7331,3446,6916,3459,6501,3496,6516,3496,7331,3465,7745,3458,8160,3349,8574,3262,8989,3197,9001,3197,8989,3197,8574,3151xm4096,3341l4014,3341,4428,3487,4723,3458,4428,3458,4096,3341xm6087,3401l5258,3474,5663,3474,5672,3473,6087,3437,6247,3437,6087,3401xm3185,3375l3599,3459,3713,3427,3599,3427,3185,3375xm4843,3420l4428,3458,4723,3458,4843,3447,5050,3447,4843,3420xm4014,3312l3599,3427,3713,3427,4014,3341,4096,3341,4014,3312xm9404,3177l8989,3197,9001,3197,9404,3177,9441,3177,9404,3177xm9441,3177l9404,3177,9818,3184,9818,3183,9441,3177xe" filled="true" fillcolor="#ec7c30" stroked="false">
              <v:path arrowok="t"/>
              <v:fill type="solid"/>
            </v:shape>
            <v:shape style="position:absolute;left:2355;top:3150;width:7463;height:351" coordorigin="2355,3151" coordsize="7463,351" path="m2355,3285l2770,3385,3185,3375,3599,3427,4014,3312,4428,3458,4843,3420,5258,3474,5672,3438,6087,3401,6501,3496,6916,3459,7331,3446,7745,3439,8160,3330,8574,3151,8989,3197,9404,3177,9818,3183,9818,3184,9404,3177,8989,3197,8574,3262,8160,3349,7745,3458,7331,3465,6916,3479,6501,3496,6087,3437,5672,3473,5258,3502,4843,3447,4428,3487,4014,3341,3599,3459,3185,3375,2770,3385,2355,3285e" filled="false" stroked="true" strokeweight="1.92pt" strokecolor="#ec7c30">
              <v:path arrowok="t"/>
              <v:stroke dashstyle="solid"/>
            </v:shape>
            <v:shape style="position:absolute;left:4428;top:2580;width:5390;height:916" coordorigin="4428,2580" coordsize="5390,916" path="m7890,3401l6087,3401,6501,3496,6916,3459,7331,3446,7745,3439,7890,3401xm5873,3420l4843,3420,5258,3474,5873,3420xm4843,3170l4428,3458,4843,3420,5873,3420,6087,3401,7890,3401,8160,3330,8307,3266,6501,3266,6364,3234,5258,3234,4843,3170xm8574,2580l8160,2749,7745,2847,7331,3225,6916,3236,6501,3266,8307,3266,8574,3151,9818,3151,9818,2642,9667,2636,8989,2636,8574,2580xm6087,3170l5672,3199,5258,3234,6364,3234,6087,3170xm9818,3151l8574,3151,8989,3197,9404,3177,9818,3177,9818,3151xm9818,3177l9404,3177,9818,3183,9818,3177xm9404,2625l8989,2636,9667,2636,9404,2625xe" filled="true" fillcolor="#797766" stroked="false">
              <v:path arrowok="t"/>
              <v:fill type="solid"/>
            </v:shape>
            <v:line style="position:absolute" from="2354,2501" to="9818,2501" stroked="true" strokeweight=".72pt" strokecolor="#d9d9d9">
              <v:stroke dashstyle="solid"/>
            </v:line>
            <v:shape style="position:absolute;left:2355;top:2580;width:7463;height:916" coordorigin="2355,2580" coordsize="7463,916" path="m2355,3285l2770,3385,3185,3375,3599,3427,4014,3312,4428,3458,4843,3170,5258,3234,5672,3199,6087,3170,6501,3266,6916,3236,7331,3225,7745,2847,8160,2749,8574,2580,8989,2636,9404,2625,9818,2642,9818,3183,9404,3177,8989,3197,8574,3151,8160,3330,7745,3439,7331,3446,6916,3459,6501,3496,6087,3401,5672,3438,5258,3474,4843,3420,4428,3458,4014,3312,3599,3427,3185,3375,2770,3385,2355,3285e" filled="false" stroked="true" strokeweight="1.92pt" strokecolor="#797766">
              <v:path arrowok="t"/>
              <v:stroke dashstyle="solid"/>
            </v:shape>
            <v:line style="position:absolute" from="2354,1855" to="9818,1855" stroked="true" strokeweight=".72pt" strokecolor="#d9d9d9">
              <v:stroke dashstyle="solid"/>
            </v:line>
            <v:shape style="position:absolute;left:2355;top:1612;width:7463;height:1846" coordorigin="2355,1613" coordsize="7463,1846" path="m4639,3312l4014,3312,4428,3458,4639,3312xm3785,3375l3185,3375,3599,3427,3785,3375xm2355,3065l2355,3285,2770,3385,3185,3375,3785,3375,4014,3312,4639,3312,4712,3261,4428,3261,4208,3170,2770,3170,2355,3065xm7392,3170l6087,3170,6501,3266,6916,3236,7331,3225,7392,3170xm4843,2312l4428,3261,4712,3261,4843,3170,6081,3170,6087,3170,7392,3170,7745,2847,8160,2749,8574,2580,9818,2580,9818,2477,6501,2477,6169,2363,5258,2363,4843,2312xm6081,3170l4843,3170,5258,3234,5672,3199,6081,3170xm4014,3089l3599,3102,2770,3170,4208,3170,4014,3089xm9818,2625l9404,2625,9818,2642,9818,2625xm9818,2580l8574,2580,8989,2636,9404,2625,9818,2625,9818,2580xm8574,1613l8160,1765,7745,1846,7331,2468,6916,2468,6501,2477,9818,2477,9818,1725,9404,1692,8989,1686,8574,1613xm6087,2335l5672,2341,5258,2363,6169,2363,6087,2335xe" filled="true" fillcolor="#a7d2f5" stroked="false">
              <v:path arrowok="t"/>
              <v:fill type="solid"/>
            </v:shape>
            <v:shape style="position:absolute;left:2355;top:1612;width:7463;height:1846" coordorigin="2355,1613" coordsize="7463,1846" path="m2355,3065l2770,3170,3185,3136,3599,3102,4014,3089,4428,3261,4843,2312,5258,2363,5672,2341,6087,2335,6501,2477,6916,2468,7331,2468,7745,1846,8160,1765,8574,1613,8989,1686,9404,1692,9818,1725,9818,2642,9404,2625,8989,2636,8574,2580,8160,2749,7745,2847,7331,3225,6916,3236,6501,3266,6087,3170,5672,3199,5258,3234,4843,3170,4428,3458,4014,3312,3599,3427,3185,3375,2770,3385,2355,3285,2355,3065e" filled="false" stroked="true" strokeweight="1.92pt" strokecolor="#a7d2f5">
              <v:path arrowok="t"/>
              <v:stroke dashstyle="solid"/>
            </v:shape>
            <v:line style="position:absolute" from="2354,1207" to="9818,1207" stroked="true" strokeweight=".72pt" strokecolor="#d9d9d9">
              <v:stroke dashstyle="solid"/>
            </v:line>
            <v:line style="position:absolute" from="2354,559" to="9818,559" stroked="true" strokeweight=".72pt" strokecolor="#d9d9d9">
              <v:stroke dashstyle="solid"/>
            </v:line>
            <v:shape style="position:absolute;left:2355;top:234;width:7463;height:3027" coordorigin="2355,235" coordsize="7463,3027" path="m4503,3089l4014,3089,4428,3261,4503,3089xm2355,1439l2355,3065,2770,3170,3599,3102,4014,3089,4503,3089,4843,2312,7435,2312,7728,1872,4428,1872,4084,1712,3599,1712,2770,1654,2355,1439xm7419,2335l6087,2335,6501,2477,6916,2468,7331,2468,7419,2335xm7435,2312l4843,2312,5258,2363,5672,2341,6087,2335,7419,2335,7435,2312xm4843,966l4428,1872,7728,1872,7745,1846,8160,1765,8574,1613,9818,1613,9818,1101,6501,1101,6432,997,5258,997,4843,966xm9818,1613l8574,1613,8989,1686,9404,1692,9818,1725,9818,1613xm4014,1679l3599,1712,4084,1712,4014,1679xm8574,235l8160,342,7745,404,7331,1039,6916,1096,6501,1101,9818,1101,9818,401,9404,345,8989,316,8574,235xm6087,476l5672,534,5258,997,6432,997,6087,476xe" filled="true" fillcolor="#009ddf" stroked="false">
              <v:path arrowok="t"/>
              <v:fill type="solid"/>
            </v:shape>
            <v:shape style="position:absolute;left:2355;top:234;width:7463;height:3027" coordorigin="2355,235" coordsize="7463,3027" path="m2355,1439l2770,1654,3185,1683,3599,1712,4014,1679,4428,1872,4843,966,5258,997,5672,534,6087,476,6501,1101,6916,1096,7331,1039,7745,404,8160,342,8574,235,8989,316,9404,345,9818,401,9818,1725,9404,1692,8989,1686,8574,1613,8160,1765,7745,1846,7331,2468,6916,2468,6501,2477,6087,2335,5672,2341,5258,2363,4843,2312,4428,3261,4014,3089,3599,3102,3185,3136,2770,3170,2355,3065,2355,1439e" filled="false" stroked="true" strokeweight="1.92pt" strokecolor="#009ddf">
              <v:path arrowok="t"/>
              <v:stroke dashstyle="solid"/>
            </v:shape>
            <v:line style="position:absolute" from="2354,3797" to="9818,3797" stroked="true" strokeweight=".72pt" strokecolor="#d9d9d9">
              <v:stroke dashstyle="solid"/>
            </v:line>
            <v:line style="position:absolute" from="2354,3797" to="2354,3852" stroked="true" strokeweight=".72pt" strokecolor="#d9d9d9">
              <v:stroke dashstyle="solid"/>
            </v:line>
            <v:line style="position:absolute" from="2770,3797" to="2770,3852" stroked="true" strokeweight=".72pt" strokecolor="#d9d9d9">
              <v:stroke dashstyle="solid"/>
            </v:line>
            <v:line style="position:absolute" from="3185,3797" to="3185,3852" stroked="true" strokeweight=".72pt" strokecolor="#d9d9d9">
              <v:stroke dashstyle="solid"/>
            </v:line>
            <v:shape style="position:absolute;left:2043;top:3796;width:7791;height:501" type="#_x0000_t75" stroked="false">
              <v:imagedata r:id="rId37" o:title=""/>
            </v:shape>
            <v:line style="position:absolute" from="5258,3797" to="5258,3852" stroked="true" strokeweight=".72pt" strokecolor="#d9d9d9">
              <v:stroke dashstyle="solid"/>
            </v:line>
            <v:line style="position:absolute" from="5671,3797" to="5671,3852" stroked="true" strokeweight=".72pt" strokecolor="#d9d9d9">
              <v:stroke dashstyle="solid"/>
            </v:line>
            <v:line style="position:absolute" from="6086,3797" to="6086,3852" stroked="true" strokeweight=".72pt" strokecolor="#d9d9d9">
              <v:stroke dashstyle="solid"/>
            </v:line>
            <v:line style="position:absolute" from="6502,3797" to="6502,3852" stroked="true" strokeweight=".72pt" strokecolor="#d9d9d9">
              <v:stroke dashstyle="solid"/>
            </v:line>
            <v:line style="position:absolute" from="6917,3797" to="6917,3852" stroked="true" strokeweight=".72pt" strokecolor="#d9d9d9">
              <v:stroke dashstyle="solid"/>
            </v:line>
            <v:line style="position:absolute" from="7330,3797" to="7330,3852" stroked="true" strokeweight=".72pt" strokecolor="#d9d9d9">
              <v:stroke dashstyle="solid"/>
            </v:line>
            <v:line style="position:absolute" from="9403,3797" to="9403,3852" stroked="true" strokeweight=".72pt" strokecolor="#d9d9d9">
              <v:stroke dashstyle="solid"/>
            </v:line>
            <v:line style="position:absolute" from="9818,3797" to="9818,3852" stroked="true" strokeweight=".72pt" strokecolor="#d9d9d9">
              <v:stroke dashstyle="solid"/>
            </v:line>
            <v:shape style="position:absolute;left:1899;top:452;width:327;height:196" type="#_x0000_t202" filled="false" stroked="false">
              <v:textbox inset="0,0,0,0">
                <w:txbxContent>
                  <w:p>
                    <w:pPr>
                      <w:spacing w:before="1"/>
                      <w:ind w:left="0" w:right="0" w:firstLine="0"/>
                      <w:jc w:val="left"/>
                      <w:rPr>
                        <w:sz w:val="16"/>
                      </w:rPr>
                    </w:pPr>
                    <w:r>
                      <w:rPr>
                        <w:sz w:val="16"/>
                      </w:rPr>
                      <w:t>500</w:t>
                    </w:r>
                  </w:p>
                </w:txbxContent>
              </v:textbox>
              <w10:wrap type="none"/>
            </v:shape>
            <v:shape style="position:absolute;left:1899;top:1100;width:327;height:196" type="#_x0000_t202" filled="false" stroked="false">
              <v:textbox inset="0,0,0,0">
                <w:txbxContent>
                  <w:p>
                    <w:pPr>
                      <w:spacing w:before="1"/>
                      <w:ind w:left="0" w:right="0" w:firstLine="0"/>
                      <w:jc w:val="left"/>
                      <w:rPr>
                        <w:sz w:val="16"/>
                      </w:rPr>
                    </w:pPr>
                    <w:r>
                      <w:rPr>
                        <w:sz w:val="16"/>
                      </w:rPr>
                      <w:t>400</w:t>
                    </w:r>
                  </w:p>
                </w:txbxContent>
              </v:textbox>
              <w10:wrap type="none"/>
            </v:shape>
            <v:shape style="position:absolute;left:1899;top:1748;width:327;height:196" type="#_x0000_t202" filled="false" stroked="false">
              <v:textbox inset="0,0,0,0">
                <w:txbxContent>
                  <w:p>
                    <w:pPr>
                      <w:spacing w:before="1"/>
                      <w:ind w:left="0" w:right="0" w:firstLine="0"/>
                      <w:jc w:val="left"/>
                      <w:rPr>
                        <w:sz w:val="16"/>
                      </w:rPr>
                    </w:pPr>
                    <w:r>
                      <w:rPr>
                        <w:sz w:val="16"/>
                      </w:rPr>
                      <w:t>300</w:t>
                    </w:r>
                  </w:p>
                </w:txbxContent>
              </v:textbox>
              <w10:wrap type="none"/>
            </v:shape>
            <v:shape style="position:absolute;left:1899;top:2396;width:327;height:196" type="#_x0000_t202" filled="false" stroked="false">
              <v:textbox inset="0,0,0,0">
                <w:txbxContent>
                  <w:p>
                    <w:pPr>
                      <w:spacing w:before="1"/>
                      <w:ind w:left="0" w:right="0" w:firstLine="0"/>
                      <w:jc w:val="left"/>
                      <w:rPr>
                        <w:sz w:val="16"/>
                      </w:rPr>
                    </w:pPr>
                    <w:r>
                      <w:rPr>
                        <w:sz w:val="16"/>
                      </w:rPr>
                      <w:t>200</w:t>
                    </w:r>
                  </w:p>
                </w:txbxContent>
              </v:textbox>
              <w10:wrap type="none"/>
            </v:shape>
            <v:shape style="position:absolute;left:1899;top:3044;width:327;height:196" type="#_x0000_t202" filled="false" stroked="false">
              <v:textbox inset="0,0,0,0">
                <w:txbxContent>
                  <w:p>
                    <w:pPr>
                      <w:spacing w:before="1"/>
                      <w:ind w:left="0" w:right="0" w:firstLine="0"/>
                      <w:jc w:val="left"/>
                      <w:rPr>
                        <w:sz w:val="16"/>
                      </w:rPr>
                    </w:pPr>
                    <w:r>
                      <w:rPr>
                        <w:sz w:val="16"/>
                      </w:rPr>
                      <w:t>100</w:t>
                    </w:r>
                  </w:p>
                </w:txbxContent>
              </v:textbox>
              <w10:wrap type="none"/>
            </v:shape>
            <v:shape style="position:absolute;left:2102;top:3692;width:123;height:196" type="#_x0000_t202" filled="false" stroked="false">
              <v:textbox inset="0,0,0,0">
                <w:txbxContent>
                  <w:p>
                    <w:pPr>
                      <w:spacing w:before="1"/>
                      <w:ind w:left="0" w:right="0" w:firstLine="0"/>
                      <w:jc w:val="left"/>
                      <w:rPr>
                        <w:sz w:val="16"/>
                      </w:rPr>
                    </w:pPr>
                    <w:r>
                      <w:rPr>
                        <w:w w:val="100"/>
                        <w:sz w:val="16"/>
                      </w:rPr>
                      <w:t>0</w:t>
                    </w:r>
                  </w:p>
                </w:txbxContent>
              </v:textbox>
              <w10:wrap type="none"/>
            </v:shape>
            <w10:wrap type="topAndBottom"/>
          </v:group>
        </w:pict>
      </w:r>
    </w:p>
    <w:p>
      <w:pPr>
        <w:tabs>
          <w:tab w:pos="2800" w:val="left" w:leader="none"/>
          <w:tab w:pos="3994" w:val="left" w:leader="none"/>
          <w:tab w:pos="5464" w:val="left" w:leader="none"/>
          <w:tab w:pos="6407" w:val="left" w:leader="none"/>
          <w:tab w:pos="7615" w:val="left" w:leader="none"/>
        </w:tabs>
        <w:spacing w:before="54"/>
        <w:ind w:left="2139" w:right="0" w:firstLine="0"/>
        <w:jc w:val="left"/>
        <w:rPr>
          <w:sz w:val="16"/>
        </w:rPr>
      </w:pPr>
      <w:r>
        <w:rPr>
          <w:sz w:val="16"/>
        </w:rPr>
        <w:t>ESO</w:t>
        <w:tab/>
        <w:t>EUMETSAT</w:t>
        <w:tab/>
        <w:t>GEO,</w:t>
      </w:r>
      <w:r>
        <w:rPr>
          <w:spacing w:val="-1"/>
          <w:sz w:val="16"/>
        </w:rPr>
        <w:t> </w:t>
      </w:r>
      <w:r>
        <w:rPr>
          <w:sz w:val="16"/>
        </w:rPr>
        <w:t>NOT,</w:t>
      </w:r>
      <w:r>
        <w:rPr>
          <w:spacing w:val="-1"/>
          <w:sz w:val="16"/>
        </w:rPr>
        <w:t> </w:t>
      </w:r>
      <w:r>
        <w:rPr>
          <w:sz w:val="16"/>
        </w:rPr>
        <w:t>SR</w:t>
        <w:tab/>
        <w:t>EU</w:t>
      </w:r>
      <w:r>
        <w:rPr>
          <w:spacing w:val="-2"/>
          <w:sz w:val="16"/>
        </w:rPr>
        <w:t> </w:t>
      </w:r>
      <w:r>
        <w:rPr>
          <w:sz w:val="16"/>
        </w:rPr>
        <w:t>(JO)</w:t>
        <w:tab/>
        <w:t>EU</w:t>
      </w:r>
      <w:r>
        <w:rPr>
          <w:spacing w:val="-3"/>
          <w:sz w:val="16"/>
        </w:rPr>
        <w:t> </w:t>
      </w:r>
      <w:r>
        <w:rPr>
          <w:sz w:val="16"/>
        </w:rPr>
        <w:t>(GNSS)</w:t>
        <w:tab/>
        <w:t>ESA</w:t>
      </w:r>
    </w:p>
    <w:p>
      <w:pPr>
        <w:pStyle w:val="BodyText"/>
        <w:spacing w:before="2"/>
        <w:rPr>
          <w:sz w:val="14"/>
        </w:rPr>
      </w:pPr>
    </w:p>
    <w:p>
      <w:pPr>
        <w:spacing w:before="99"/>
        <w:ind w:left="742" w:right="0" w:firstLine="0"/>
        <w:jc w:val="left"/>
        <w:rPr>
          <w:sz w:val="13"/>
        </w:rPr>
      </w:pPr>
      <w:r>
        <w:rPr/>
        <w:pict>
          <v:group style="position:absolute;margin-left:147.839996pt;margin-top:-16.285078pt;width:6.25pt;height:6.4pt;mso-position-horizontal-relative:page;mso-position-vertical-relative:paragraph;z-index:2104" coordorigin="2957,-326" coordsize="125,128">
            <v:rect style="position:absolute;left:2976;top:-307;width:87;height:89" filled="true" fillcolor="#a0be36" stroked="false">
              <v:fill type="solid"/>
            </v:rect>
            <v:rect style="position:absolute;left:2976;top:-307;width:87;height:89" filled="false" stroked="true" strokeweight="1.92pt" strokecolor="#a0be36">
              <v:stroke dashstyle="solid"/>
            </v:rect>
            <w10:wrap type="none"/>
          </v:group>
        </w:pict>
      </w:r>
      <w:r>
        <w:rPr/>
        <w:pict>
          <v:group style="position:absolute;margin-left:180.839996pt;margin-top:-16.285078pt;width:6.4pt;height:6.4pt;mso-position-horizontal-relative:page;mso-position-vertical-relative:paragraph;z-index:-181576" coordorigin="3617,-326" coordsize="128,128">
            <v:rect style="position:absolute;left:3636;top:-307;width:89;height:89" filled="true" fillcolor="#d0cfc5" stroked="false">
              <v:fill type="solid"/>
            </v:rect>
            <v:rect style="position:absolute;left:3636;top:-307;width:89;height:89" filled="false" stroked="true" strokeweight="1.92pt" strokecolor="#d0cfc5">
              <v:stroke dashstyle="solid"/>
            </v:rect>
            <w10:wrap type="none"/>
          </v:group>
        </w:pict>
      </w:r>
      <w:r>
        <w:rPr/>
        <w:pict>
          <v:group style="position:absolute;margin-left:240.600006pt;margin-top:-16.285078pt;width:6.25pt;height:6.4pt;mso-position-horizontal-relative:page;mso-position-vertical-relative:paragraph;z-index:-181552" coordorigin="4812,-326" coordsize="125,128">
            <v:rect style="position:absolute;left:4831;top:-307;width:87;height:89" filled="true" fillcolor="#ec7c30" stroked="false">
              <v:fill type="solid"/>
            </v:rect>
            <v:rect style="position:absolute;left:4831;top:-307;width:87;height:89" filled="false" stroked="true" strokeweight="1.92pt" strokecolor="#ec7c30">
              <v:stroke dashstyle="solid"/>
            </v:rect>
            <w10:wrap type="none"/>
          </v:group>
        </w:pict>
      </w:r>
      <w:r>
        <w:rPr/>
        <w:pict>
          <v:group style="position:absolute;margin-left:314.040009pt;margin-top:-16.285078pt;width:6.4pt;height:6.4pt;mso-position-horizontal-relative:page;mso-position-vertical-relative:paragraph;z-index:-181528" coordorigin="6281,-326" coordsize="128,128">
            <v:rect style="position:absolute;left:6300;top:-307;width:89;height:89" filled="true" fillcolor="#797766" stroked="false">
              <v:fill type="solid"/>
            </v:rect>
            <v:rect style="position:absolute;left:6300;top:-307;width:89;height:89" filled="false" stroked="true" strokeweight="1.92pt" strokecolor="#797766">
              <v:stroke dashstyle="solid"/>
            </v:rect>
            <w10:wrap type="none"/>
          </v:group>
        </w:pict>
      </w:r>
      <w:r>
        <w:rPr/>
        <w:pict>
          <v:group style="position:absolute;margin-left:361.200012pt;margin-top:-16.285078pt;width:6.25pt;height:6.4pt;mso-position-horizontal-relative:page;mso-position-vertical-relative:paragraph;z-index:-181504" coordorigin="7224,-326" coordsize="125,128">
            <v:rect style="position:absolute;left:7243;top:-307;width:87;height:89" filled="true" fillcolor="#a7d2f5" stroked="false">
              <v:fill type="solid"/>
            </v:rect>
            <v:rect style="position:absolute;left:7243;top:-307;width:87;height:89" filled="false" stroked="true" strokeweight="1.92pt" strokecolor="#a7d2f5">
              <v:stroke dashstyle="solid"/>
            </v:rect>
            <w10:wrap type="none"/>
          </v:group>
        </w:pict>
      </w:r>
      <w:r>
        <w:rPr/>
        <w:pict>
          <v:group style="position:absolute;margin-left:421.559998pt;margin-top:-16.285078pt;width:6.25pt;height:6.4pt;mso-position-horizontal-relative:page;mso-position-vertical-relative:paragraph;z-index:-181480" coordorigin="8431,-326" coordsize="125,128">
            <v:rect style="position:absolute;left:8450;top:-307;width:87;height:89" filled="true" fillcolor="#009ddf" stroked="false">
              <v:fill type="solid"/>
            </v:rect>
            <v:rect style="position:absolute;left:8450;top:-307;width:87;height:89" filled="false" stroked="true" strokeweight="1.92pt" strokecolor="#009ddf">
              <v:stroke dashstyle="solid"/>
            </v:rect>
            <w10:wrap type="none"/>
          </v:group>
        </w:pict>
      </w:r>
      <w:r>
        <w:rPr>
          <w:sz w:val="13"/>
        </w:rPr>
        <w:t>Kilde: Styrelsen for Forskning og Innovation.</w:t>
      </w:r>
    </w:p>
    <w:p>
      <w:pPr>
        <w:spacing w:line="364" w:lineRule="auto" w:before="82"/>
        <w:ind w:left="742" w:right="1166" w:firstLine="0"/>
        <w:jc w:val="left"/>
        <w:rPr>
          <w:sz w:val="13"/>
        </w:rPr>
      </w:pPr>
      <w:r>
        <w:rPr>
          <w:sz w:val="13"/>
        </w:rPr>
        <w:t>Bemærk: Beslutningen om bevilling til ESA’s frivillige programmer træffes normalt for en treårig periode forud for Danmarks forpligtelse i forbindelse med ESA’s ministerkonference, hvor beslutninger om fremtidigt budget normalt træffes hvert tredje år. I figuren er fordelin- gen af bevillingen til ESA’s frivillige programmer fordelt over bevillingsåret og de følgende to år. I perioden 2011-2013, hvor princippet om treårige ministerkonferencer blev fraveget er bevillingen i 2011 - alene opført under 2011 og 2012 og bevillingen for 2012 er opført under 2013.</w:t>
      </w:r>
    </w:p>
    <w:p>
      <w:pPr>
        <w:spacing w:line="364" w:lineRule="auto" w:before="0"/>
        <w:ind w:left="742" w:right="1201" w:firstLine="0"/>
        <w:jc w:val="left"/>
        <w:rPr>
          <w:sz w:val="13"/>
        </w:rPr>
      </w:pPr>
      <w:r>
        <w:rPr>
          <w:sz w:val="13"/>
        </w:rPr>
        <w:t>GEO: Group on Earth Observations, Danmarks medlemskab varetages af DMI. NOT: Nordic Optical Telescope, et teleskop på Gran Cana- ria, som drives af offentlige styrelser i Danmark, Finland, Island, Norge og Sverige. SR: Strategisk Rumforskning, danske midler til rum- forskning. EU (GNSS) omfatter de europæiske satellitnavigationsprogrammer EGNOS og Galileo. Ud over disse bevillinger modtager godkendte teknologiske serviceinstitutter også offentlige bevillinger med rumrelevans, men disse er af begrænset omfang i denne sam- menhæng.</w:t>
      </w:r>
    </w:p>
    <w:p>
      <w:pPr>
        <w:pStyle w:val="BodyText"/>
        <w:spacing w:before="9"/>
        <w:rPr>
          <w:sz w:val="14"/>
        </w:rPr>
      </w:pPr>
    </w:p>
    <w:p>
      <w:pPr>
        <w:pStyle w:val="BodyText"/>
        <w:spacing w:line="264" w:lineRule="auto"/>
        <w:ind w:left="742" w:right="1234"/>
      </w:pPr>
      <w:r>
        <w:rPr/>
        <w:t>EUMETSAT</w:t>
      </w:r>
      <w:r>
        <w:rPr>
          <w:w w:val="99"/>
          <w:position w:val="6"/>
          <w:sz w:val="8"/>
        </w:rPr>
        <w:t>9</w:t>
      </w:r>
      <w:r>
        <w:rPr>
          <w:position w:val="6"/>
          <w:sz w:val="8"/>
        </w:rPr>
        <w:t>  </w:t>
      </w:r>
      <w:r>
        <w:rPr/>
        <w:t>er en overstatslig organisation, som giver medlemslandenes meteorologiske institutter adgang til satellitbilleder, der bruges til vejrudsiger. Ud over observationer fra organisationens egne satellitter giver en aftale med NOAA</w:t>
      </w:r>
      <w:r>
        <w:rPr>
          <w:w w:val="99"/>
          <w:position w:val="6"/>
          <w:sz w:val="8"/>
        </w:rPr>
        <w:t>10</w:t>
      </w:r>
      <w:r>
        <w:rPr>
          <w:position w:val="6"/>
          <w:sz w:val="8"/>
        </w:rPr>
        <w:t>  </w:t>
      </w:r>
      <w:r>
        <w:rPr/>
        <w:t>om gensidig brug adgang til observationer fra NOAA’s satellitter.</w:t>
      </w:r>
    </w:p>
    <w:p>
      <w:pPr>
        <w:pStyle w:val="BodyText"/>
        <w:spacing w:before="7"/>
        <w:rPr>
          <w:sz w:val="19"/>
        </w:rPr>
      </w:pPr>
    </w:p>
    <w:p>
      <w:pPr>
        <w:pStyle w:val="BodyText"/>
        <w:spacing w:line="264" w:lineRule="auto"/>
        <w:ind w:left="742" w:right="1185"/>
      </w:pPr>
      <w:r>
        <w:rPr/>
        <w:t>ESO, European Southern Observatory, er en organisation, der har fire observatorier i Sydamerika, herunder et meget stort teleskop i Chile,</w:t>
      </w:r>
      <w:r>
        <w:rPr>
          <w:w w:val="99"/>
          <w:position w:val="6"/>
          <w:sz w:val="8"/>
        </w:rPr>
        <w:t>11</w:t>
      </w:r>
      <w:r>
        <w:rPr>
          <w:position w:val="6"/>
          <w:sz w:val="8"/>
        </w:rPr>
        <w:t>  </w:t>
      </w:r>
      <w:r>
        <w:rPr/>
        <w:t>som er et af de bedste steder at studere nattehimlen fra jorden. Et nyt teleskop er under opførelse, E-ELT,</w:t>
      </w:r>
      <w:r>
        <w:rPr>
          <w:w w:val="99"/>
          <w:position w:val="6"/>
          <w:sz w:val="8"/>
        </w:rPr>
        <w:t>12</w:t>
      </w:r>
      <w:r>
        <w:rPr>
          <w:position w:val="6"/>
          <w:sz w:val="8"/>
        </w:rPr>
        <w:t>  </w:t>
      </w:r>
      <w:r>
        <w:rPr/>
        <w:t>som danske virksomheder kan vinde kontrakter om levering af udstyr til, og som danske forskere gennem medlemskabet af ESO kan bruge til at fremme forståelsen af verdensrummet. ESO er en vigtig kilde til astronomidata til forskere, og grundet denne rapports analyse af rummets forskningsmæssige betydning for Danmark er det re- levant at inddrage bevillingerne.</w:t>
      </w:r>
    </w:p>
    <w:p>
      <w:pPr>
        <w:pStyle w:val="BodyText"/>
        <w:rPr>
          <w:sz w:val="20"/>
        </w:rPr>
      </w:pPr>
    </w:p>
    <w:p>
      <w:pPr>
        <w:pStyle w:val="BodyText"/>
        <w:spacing w:before="3"/>
        <w:rPr>
          <w:sz w:val="27"/>
        </w:rPr>
      </w:pPr>
      <w:r>
        <w:rPr/>
        <w:pict>
          <v:line style="position:absolute;mso-position-horizontal-relative:page;mso-position-vertical-relative:paragraph;z-index:8;mso-wrap-distance-left:0;mso-wrap-distance-right:0" from="85.103996pt,18.789579pt" to="229.123996pt,18.789579pt" stroked="true" strokeweight=".48004pt" strokecolor="#000000">
            <v:stroke dashstyle="solid"/>
            <w10:wrap type="topAndBottom"/>
          </v:line>
        </w:pict>
      </w:r>
    </w:p>
    <w:p>
      <w:pPr>
        <w:spacing w:before="99"/>
        <w:ind w:left="742" w:right="0" w:firstLine="0"/>
        <w:jc w:val="left"/>
        <w:rPr>
          <w:sz w:val="13"/>
        </w:rPr>
      </w:pPr>
      <w:r>
        <w:rPr>
          <w:position w:val="6"/>
          <w:sz w:val="8"/>
        </w:rPr>
        <w:t>9 </w:t>
      </w:r>
      <w:r>
        <w:rPr>
          <w:sz w:val="13"/>
        </w:rPr>
        <w:t>European Organisation for the Exploitation of Meteorological Satellites.</w:t>
      </w:r>
    </w:p>
    <w:p>
      <w:pPr>
        <w:spacing w:before="41"/>
        <w:ind w:left="742" w:right="0" w:firstLine="0"/>
        <w:jc w:val="left"/>
        <w:rPr>
          <w:sz w:val="13"/>
        </w:rPr>
      </w:pPr>
      <w:r>
        <w:rPr>
          <w:position w:val="6"/>
          <w:sz w:val="8"/>
        </w:rPr>
        <w:t>10 </w:t>
      </w:r>
      <w:r>
        <w:rPr>
          <w:sz w:val="13"/>
        </w:rPr>
        <w:t>USA’s National Oceanic and Atmospheric Administration.</w:t>
      </w:r>
    </w:p>
    <w:p>
      <w:pPr>
        <w:spacing w:before="43"/>
        <w:ind w:left="742" w:right="0" w:firstLine="0"/>
        <w:jc w:val="left"/>
        <w:rPr>
          <w:sz w:val="13"/>
        </w:rPr>
      </w:pPr>
      <w:r>
        <w:rPr>
          <w:position w:val="6"/>
          <w:sz w:val="8"/>
        </w:rPr>
        <w:t>11 </w:t>
      </w:r>
      <w:r>
        <w:rPr>
          <w:sz w:val="13"/>
        </w:rPr>
        <w:t>Very Large Telescope, VLT.</w:t>
      </w:r>
    </w:p>
    <w:p>
      <w:pPr>
        <w:spacing w:before="41"/>
        <w:ind w:left="742" w:right="0" w:firstLine="0"/>
        <w:jc w:val="left"/>
        <w:rPr>
          <w:sz w:val="13"/>
        </w:rPr>
      </w:pPr>
      <w:r>
        <w:rPr>
          <w:position w:val="6"/>
          <w:sz w:val="8"/>
        </w:rPr>
        <w:t>12 </w:t>
      </w:r>
      <w:r>
        <w:rPr>
          <w:sz w:val="13"/>
        </w:rPr>
        <w:t>European Extremely Large Telescope.</w:t>
      </w:r>
    </w:p>
    <w:p>
      <w:pPr>
        <w:spacing w:after="0"/>
        <w:jc w:val="left"/>
        <w:rPr>
          <w:sz w:val="13"/>
        </w:rPr>
        <w:sectPr>
          <w:pgSz w:w="11910" w:h="16840"/>
          <w:pgMar w:header="0" w:footer="1056" w:top="1580" w:bottom="1240" w:left="960" w:right="0"/>
        </w:sectPr>
      </w:pPr>
    </w:p>
    <w:p>
      <w:pPr>
        <w:pStyle w:val="BodyText"/>
        <w:spacing w:line="264" w:lineRule="auto" w:before="126"/>
        <w:ind w:left="742" w:right="1143"/>
      </w:pPr>
      <w:r>
        <w:rPr/>
        <w:t>Udgifterne til EU’s satellitprogrammer inden for jordobservation og satellitnavigation er steget i de seneste år og stiger yderligere i løbet af dette årti. Udgifterne er baseret på Danmarks bruttobidrag til EU’s budget og andelen af EU’s budget, der bruges på programmerne. Inddragelsen af disse indirekte udgifter via EU gør, at de præsenterede bevillinger i </w:t>
      </w:r>
      <w:hyperlink w:history="true" w:anchor="_bookmark10">
        <w:r>
          <w:rPr/>
          <w:t>Figur 4 </w:t>
        </w:r>
      </w:hyperlink>
      <w:r>
        <w:rPr/>
        <w:t>er større end de tilsvarende tal præsenteret af OECD i </w:t>
      </w:r>
      <w:r>
        <w:rPr>
          <w:i/>
        </w:rPr>
        <w:t>The Space Economy at a Glance</w:t>
      </w:r>
      <w:r>
        <w:rPr/>
        <w:t>, som kun præsenterer landes direkte udgifter.</w:t>
      </w:r>
    </w:p>
    <w:p>
      <w:pPr>
        <w:pStyle w:val="BodyText"/>
        <w:spacing w:before="5"/>
        <w:rPr>
          <w:sz w:val="19"/>
        </w:rPr>
      </w:pPr>
    </w:p>
    <w:p>
      <w:pPr>
        <w:pStyle w:val="BodyText"/>
        <w:spacing w:line="264" w:lineRule="auto" w:before="1"/>
        <w:ind w:left="742" w:right="1230"/>
        <w:jc w:val="both"/>
      </w:pPr>
      <w:r>
        <w:rPr/>
        <w:t>EU’s programmer har til hensigt at skabe ny infrastruktur i rummet, som en mængde af downstre- am-virksomhederne forventes, og hjælpes til, at kommercialisere og udvikle løsninger og teknolo- gier der kan udnyttes til samfundets bedste.</w:t>
      </w:r>
    </w:p>
    <w:p>
      <w:pPr>
        <w:pStyle w:val="BodyText"/>
        <w:spacing w:before="7"/>
        <w:rPr>
          <w:sz w:val="19"/>
        </w:rPr>
      </w:pPr>
    </w:p>
    <w:p>
      <w:pPr>
        <w:pStyle w:val="BodyText"/>
        <w:spacing w:line="264" w:lineRule="auto"/>
        <w:ind w:left="742" w:right="1251"/>
      </w:pPr>
      <w:hyperlink w:history="true" w:anchor="_bookmark10">
        <w:r>
          <w:rPr/>
          <w:t>Figur 4 </w:t>
        </w:r>
      </w:hyperlink>
      <w:r>
        <w:rPr/>
        <w:t>omfatter danske offentlige bevillinger med relevans for rummet på den ene eller anden måde, mens </w:t>
      </w:r>
      <w:hyperlink w:history="true" w:anchor="_bookmark11">
        <w:r>
          <w:rPr/>
          <w:t>Figur 5 </w:t>
        </w:r>
      </w:hyperlink>
      <w:r>
        <w:rPr/>
        <w:t>nedenfor præsenterer den snævrere mængde af bevillinger, som er sammen- lignelig med de opgørelser, der kan findes i OECD’s </w:t>
      </w:r>
      <w:r>
        <w:rPr>
          <w:i/>
        </w:rPr>
        <w:t>The Space Economy at a Glance 2014</w:t>
      </w:r>
      <w:r>
        <w:rPr/>
        <w:t>.</w:t>
      </w:r>
    </w:p>
    <w:p>
      <w:pPr>
        <w:spacing w:before="144"/>
        <w:ind w:left="742" w:right="0" w:firstLine="0"/>
        <w:jc w:val="left"/>
        <w:rPr>
          <w:b/>
          <w:sz w:val="15"/>
        </w:rPr>
      </w:pPr>
      <w:bookmarkStart w:name="_bookmark11" w:id="12"/>
      <w:bookmarkEnd w:id="12"/>
      <w:r>
        <w:rPr/>
      </w:r>
      <w:r>
        <w:rPr>
          <w:b/>
          <w:color w:val="009DDF"/>
          <w:sz w:val="15"/>
        </w:rPr>
        <w:t>Figur 5. Danmarks rumbevillinger tilsvarende OECD </w:t>
      </w:r>
      <w:r>
        <w:rPr>
          <w:b/>
          <w:i/>
          <w:color w:val="009DDF"/>
          <w:sz w:val="15"/>
        </w:rPr>
        <w:t>The Space Economy at a Glance 2014 </w:t>
      </w:r>
      <w:r>
        <w:rPr>
          <w:b/>
          <w:color w:val="009DDF"/>
          <w:sz w:val="15"/>
        </w:rPr>
        <w:t>(2013-priser)</w:t>
      </w:r>
    </w:p>
    <w:p>
      <w:pPr>
        <w:spacing w:before="149"/>
        <w:ind w:left="864" w:right="0" w:firstLine="0"/>
        <w:jc w:val="left"/>
        <w:rPr>
          <w:rFonts w:ascii="Calibri"/>
          <w:b/>
          <w:sz w:val="18"/>
        </w:rPr>
      </w:pPr>
      <w:r>
        <w:rPr>
          <w:rFonts w:ascii="Calibri"/>
          <w:b/>
          <w:sz w:val="18"/>
        </w:rPr>
        <w:t>Mio. DKK</w:t>
      </w:r>
    </w:p>
    <w:p>
      <w:pPr>
        <w:pStyle w:val="BodyText"/>
        <w:spacing w:before="71"/>
        <w:ind w:left="960"/>
        <w:rPr>
          <w:rFonts w:ascii="Calibri"/>
        </w:rPr>
      </w:pPr>
      <w:r>
        <w:rPr/>
        <w:pict>
          <v:line style="position:absolute;mso-position-horizontal-relative:page;mso-position-vertical-relative:paragraph;z-index:2632" from="118.080002pt,9.549319pt" to="509.160002pt,9.549319pt" stroked="true" strokeweight=".72pt" strokecolor="#d9d9d9">
            <v:stroke dashstyle="solid"/>
            <w10:wrap type="none"/>
          </v:line>
        </w:pict>
      </w:r>
      <w:r>
        <w:rPr>
          <w:rFonts w:ascii="Calibri"/>
        </w:rPr>
        <w:t>400</w:t>
      </w:r>
    </w:p>
    <w:p>
      <w:pPr>
        <w:pStyle w:val="BodyText"/>
        <w:spacing w:before="8"/>
        <w:rPr>
          <w:rFonts w:ascii="Calibri"/>
          <w:sz w:val="21"/>
        </w:rPr>
      </w:pPr>
    </w:p>
    <w:p>
      <w:pPr>
        <w:pStyle w:val="BodyText"/>
        <w:spacing w:before="64"/>
        <w:ind w:left="960"/>
        <w:rPr>
          <w:rFonts w:ascii="Calibri"/>
        </w:rPr>
      </w:pPr>
      <w:r>
        <w:rPr/>
        <w:pict>
          <v:group style="position:absolute;margin-left:117.720001pt;margin-top:8.819314pt;width:391.8pt;height:195pt;mso-position-horizontal-relative:page;mso-position-vertical-relative:paragraph;z-index:2608" coordorigin="2354,176" coordsize="7836,3900">
            <v:shape style="position:absolute;left:8414;top:3471;width:1769;height:2" coordorigin="8414,3472" coordsize="1769,0" path="m10061,3472l10183,3472m9648,3472l9895,3472m9238,3472l9485,3472m8825,3472l9072,3472m8414,3472l8662,3472e" filled="false" stroked="true" strokeweight=".72pt" strokecolor="#d9d9d9">
              <v:path arrowok="t"/>
              <v:stroke dashstyle="solid"/>
            </v:shape>
            <v:shape style="position:absolute;left:8661;top:3524;width:576;height:495" coordorigin="8662,3524" coordsize="576,495" path="m8825,3524l8662,3524,8662,4019,8825,4019,8825,3524m9238,3707l9072,3707,9072,4019,9238,4019,9238,3707e" filled="true" fillcolor="#a0be36" stroked="false">
              <v:path arrowok="t"/>
              <v:fill type="solid"/>
            </v:shape>
            <v:shape style="position:absolute;left:2361;top:3471;width:5888;height:2" coordorigin="2362,3472" coordsize="5888,0" path="m8002,3472l8249,3472m7591,3472l7836,3472m7178,3472l7426,3472m6766,3472l7013,3472m6355,3472l6602,3472m5942,3472l6190,3472m5119,3472l5779,3472m4709,3472l4956,3472m4296,3472l4543,3472m3883,3472l4130,3472m3473,3472l3720,3472m3060,3472l3307,3472m2650,3472l2897,3472m2362,3472l2484,3472e" filled="false" stroked="true" strokeweight=".72pt" strokecolor="#d9d9d9">
              <v:path arrowok="t"/>
              <v:stroke dashstyle="solid"/>
            </v:shape>
            <v:rect style="position:absolute;left:2484;top:3749;width:166;height:269" filled="true" fillcolor="#a0be36" stroked="false">
              <v:fill type="solid"/>
            </v:rect>
            <v:rect style="position:absolute;left:2484;top:3152;width:166;height:598" filled="true" fillcolor="#d0cfc5" stroked="false">
              <v:fill type="solid"/>
            </v:rect>
            <v:rect style="position:absolute;left:2896;top:3749;width:164;height:269" filled="true" fillcolor="#a0be36" stroked="false">
              <v:fill type="solid"/>
            </v:rect>
            <v:rect style="position:absolute;left:2896;top:3320;width:164;height:430" filled="true" fillcolor="#d0cfc5" stroked="false">
              <v:fill type="solid"/>
            </v:rect>
            <v:rect style="position:absolute;left:3307;top:3747;width:166;height:272" filled="true" fillcolor="#a0be36" stroked="false">
              <v:fill type="solid"/>
            </v:rect>
            <v:rect style="position:absolute;left:3307;top:3305;width:166;height:442" filled="true" fillcolor="#d0cfc5" stroked="false">
              <v:fill type="solid"/>
            </v:rect>
            <v:rect style="position:absolute;left:3720;top:3694;width:164;height:324" filled="true" fillcolor="#a0be36" stroked="false">
              <v:fill type="solid"/>
            </v:rect>
            <v:rect style="position:absolute;left:3720;top:3392;width:164;height:303" filled="true" fillcolor="#d0cfc5" stroked="false">
              <v:fill type="solid"/>
            </v:rect>
            <v:rect style="position:absolute;left:4130;top:3709;width:166;height:310" filled="true" fillcolor="#a0be36" stroked="false">
              <v:fill type="solid"/>
            </v:rect>
            <v:rect style="position:absolute;left:4130;top:3197;width:166;height:512" filled="true" fillcolor="#d0cfc5" stroked="false">
              <v:fill type="solid"/>
            </v:rect>
            <v:rect style="position:absolute;left:4543;top:3716;width:166;height:303" filled="true" fillcolor="#a0be36" stroked="false">
              <v:fill type="solid"/>
            </v:rect>
            <v:rect style="position:absolute;left:4543;top:3445;width:166;height:272" filled="true" fillcolor="#d0cfc5" stroked="false">
              <v:fill type="solid"/>
            </v:rect>
            <v:rect style="position:absolute;left:4956;top:3749;width:164;height:269" filled="true" fillcolor="#a0be36" stroked="false">
              <v:fill type="solid"/>
            </v:rect>
            <v:rect style="position:absolute;left:4956;top:3380;width:164;height:370" filled="true" fillcolor="#d0cfc5" stroked="false">
              <v:fill type="solid"/>
            </v:rect>
            <v:rect style="position:absolute;left:5366;top:3745;width:166;height:274" filled="true" fillcolor="#a0be36" stroked="false">
              <v:fill type="solid"/>
            </v:rect>
            <v:rect style="position:absolute;left:5366;top:3471;width:166;height:274" filled="true" fillcolor="#d0cfc5" stroked="false">
              <v:fill type="solid"/>
            </v:rect>
            <v:rect style="position:absolute;left:5779;top:3718;width:164;height:300" filled="true" fillcolor="#a0be36" stroked="false">
              <v:fill type="solid"/>
            </v:rect>
            <v:rect style="position:absolute;left:5779;top:3411;width:164;height:308" filled="true" fillcolor="#d0cfc5" stroked="false">
              <v:fill type="solid"/>
            </v:rect>
            <v:rect style="position:absolute;left:6189;top:3725;width:166;height:293" filled="true" fillcolor="#a0be36" stroked="false">
              <v:fill type="solid"/>
            </v:rect>
            <v:rect style="position:absolute;left:6189;top:3349;width:166;height:377" filled="true" fillcolor="#d0cfc5" stroked="false">
              <v:fill type="solid"/>
            </v:rect>
            <v:rect style="position:absolute;left:6602;top:3771;width:164;height:248" filled="true" fillcolor="#a0be36" stroked="false">
              <v:fill type="solid"/>
            </v:rect>
            <v:rect style="position:absolute;left:6602;top:3509;width:164;height:262" filled="true" fillcolor="#d0cfc5" stroked="false">
              <v:fill type="solid"/>
            </v:rect>
            <v:rect style="position:absolute;left:7012;top:3728;width:166;height:291" filled="true" fillcolor="#a0be36" stroked="false">
              <v:fill type="solid"/>
            </v:rect>
            <v:rect style="position:absolute;left:7012;top:3447;width:166;height:281" filled="true" fillcolor="#d0cfc5" stroked="false">
              <v:fill type="solid"/>
            </v:rect>
            <v:rect style="position:absolute;left:7425;top:3670;width:166;height:348" filled="true" fillcolor="#a0be36" stroked="false">
              <v:fill type="solid"/>
            </v:rect>
            <v:rect style="position:absolute;left:7425;top:3423;width:166;height:248" filled="true" fillcolor="#d0cfc5" stroked="false">
              <v:fill type="solid"/>
            </v:rect>
            <v:rect style="position:absolute;left:7836;top:3706;width:166;height:312" filled="true" fillcolor="#a0be36" stroked="false">
              <v:fill type="solid"/>
            </v:rect>
            <v:rect style="position:absolute;left:7836;top:3411;width:166;height:296" filled="true" fillcolor="#d0cfc5" stroked="false">
              <v:fill type="solid"/>
            </v:rect>
            <v:rect style="position:absolute;left:8248;top:3699;width:166;height:320" filled="true" fillcolor="#a0be36" stroked="false">
              <v:fill type="solid"/>
            </v:rect>
            <v:rect style="position:absolute;left:8248;top:3229;width:166;height:471" filled="true" fillcolor="#d0cfc5" stroked="false">
              <v:fill type="solid"/>
            </v:rect>
            <v:line style="position:absolute" from="8414,2922" to="9072,2922" stroked="true" strokeweight=".72pt" strokecolor="#d9d9d9">
              <v:stroke dashstyle="solid"/>
            </v:line>
            <v:shape style="position:absolute;left:8661;top:2924;width:576;height:783" coordorigin="8662,2924" coordsize="576,783" path="m8825,2924l8662,2924,8662,3524,8825,3524,8825,2924m9238,3004l9072,3004,9072,3707,9238,3707,9238,3004e" filled="true" fillcolor="#d0cfc5" stroked="false">
              <v:path arrowok="t"/>
              <v:fill type="solid"/>
            </v:shape>
            <v:shape style="position:absolute;left:9237;top:2921;width:658;height:2" coordorigin="9238,2922" coordsize="658,0" path="m9648,2922l9895,2922m9238,2922l9485,2922e" filled="false" stroked="true" strokeweight=".72pt" strokecolor="#d9d9d9">
              <v:path arrowok="t"/>
              <v:stroke dashstyle="solid"/>
            </v:shape>
            <v:rect style="position:absolute;left:9484;top:3704;width:164;height:315" filled="true" fillcolor="#a0be36" stroked="false">
              <v:fill type="solid"/>
            </v:rect>
            <v:rect style="position:absolute;left:9484;top:2969;width:164;height:735" filled="true" fillcolor="#d0cfc5" stroked="false">
              <v:fill type="solid"/>
            </v:rect>
            <v:line style="position:absolute" from="10061,2922" to="10183,2922" stroked="true" strokeweight=".72pt" strokecolor="#d9d9d9">
              <v:stroke dashstyle="solid"/>
            </v:line>
            <v:rect style="position:absolute;left:9895;top:3699;width:166;height:320" filled="true" fillcolor="#a0be36" stroked="false">
              <v:fill type="solid"/>
            </v:rect>
            <v:rect style="position:absolute;left:9895;top:2979;width:166;height:720" filled="true" fillcolor="#d0cfc5" stroked="false">
              <v:fill type="solid"/>
            </v:rect>
            <v:shape style="position:absolute;left:2361;top:730;width:3418;height:2192" coordorigin="2362,731" coordsize="3418,2192" path="m2650,2922l2897,2922m2362,2922l2484,2922m2650,2375l2897,2375m2362,2375l2484,2375m2650,1828l2897,1828m2362,1828l2484,1828m2650,1280l2897,1280m2362,1280l2484,1280m2650,731l5779,731m2362,731l2484,731e" filled="false" stroked="true" strokeweight=".72pt" strokecolor="#d9d9d9">
              <v:path arrowok="t"/>
              <v:stroke dashstyle="solid"/>
            </v:shape>
            <v:rect style="position:absolute;left:2484;top:401;width:166;height:2751" filled="true" fillcolor="#009ddf" stroked="false">
              <v:fill type="solid"/>
            </v:rect>
            <v:shape style="position:absolute;left:3060;top:1280;width:248;height:1642" coordorigin="3060,1280" coordsize="248,1642" path="m3060,2922l3307,2922m3060,2375l3307,2375m3060,1828l3307,1828m3060,1280l3307,1280e" filled="false" stroked="true" strokeweight=".72pt" strokecolor="#d9d9d9">
              <v:path arrowok="t"/>
              <v:stroke dashstyle="solid"/>
            </v:shape>
            <v:rect style="position:absolute;left:2896;top:757;width:164;height:2564" filled="true" fillcolor="#009ddf" stroked="false">
              <v:fill type="solid"/>
            </v:rect>
            <v:shape style="position:absolute;left:3472;top:1280;width:248;height:1642" coordorigin="3473,1280" coordsize="248,1642" path="m3473,2922l3720,2922m3473,2375l3720,2375m3473,1828l3720,1828m3473,1280l3720,1280e" filled="false" stroked="true" strokeweight=".72pt" strokecolor="#d9d9d9">
              <v:path arrowok="t"/>
              <v:stroke dashstyle="solid"/>
            </v:shape>
            <v:rect style="position:absolute;left:3307;top:848;width:166;height:2458" filled="true" fillcolor="#009ddf" stroked="false">
              <v:fill type="solid"/>
            </v:rect>
            <v:shape style="position:absolute;left:3883;top:1280;width:248;height:1642" coordorigin="3883,1280" coordsize="248,1642" path="m3883,2922l4130,2922m3883,2375l4130,2375m3883,1828l4130,1828m3883,1280l4130,1280e" filled="false" stroked="true" strokeweight=".72pt" strokecolor="#d9d9d9">
              <v:path arrowok="t"/>
              <v:stroke dashstyle="solid"/>
            </v:shape>
            <v:rect style="position:absolute;left:3720;top:1040;width:164;height:2352" filled="true" fillcolor="#009ddf" stroked="false">
              <v:fill type="solid"/>
            </v:rect>
            <v:shape style="position:absolute;left:4296;top:1280;width:248;height:1642" coordorigin="4296,1280" coordsize="248,1642" path="m4296,2922l4543,2922m4296,2375l4543,2375m4296,1828l4543,1828m4296,1280l4543,1280e" filled="false" stroked="true" strokeweight=".72pt" strokecolor="#d9d9d9">
              <v:path arrowok="t"/>
              <v:stroke dashstyle="solid"/>
            </v:shape>
            <v:rect style="position:absolute;left:4130;top:812;width:166;height:2386" filled="true" fillcolor="#009ddf" stroked="false">
              <v:fill type="solid"/>
            </v:rect>
            <v:shape style="position:absolute;left:4708;top:1280;width:248;height:1642" coordorigin="4709,1280" coordsize="248,1642" path="m4709,2922l4956,2922m4709,2375l4956,2375m4709,1828l4956,1828m4709,1280l4956,1280e" filled="false" stroked="true" strokeweight=".72pt" strokecolor="#d9d9d9">
              <v:path arrowok="t"/>
              <v:stroke dashstyle="solid"/>
            </v:shape>
            <v:rect style="position:absolute;left:4543;top:1095;width:166;height:2350" filled="true" fillcolor="#009ddf" stroked="false">
              <v:fill type="solid"/>
            </v:rect>
            <v:shape style="position:absolute;left:5119;top:1280;width:248;height:1642" coordorigin="5119,1280" coordsize="248,1642" path="m5119,2922l5366,2922m5119,2375l5366,2375m5119,1828l5366,1828m5119,1280l5366,1280e" filled="false" stroked="true" strokeweight=".72pt" strokecolor="#d9d9d9">
              <v:path arrowok="t"/>
              <v:stroke dashstyle="solid"/>
            </v:shape>
            <v:rect style="position:absolute;left:4956;top:1105;width:164;height:2276" filled="true" fillcolor="#009ddf" stroked="false">
              <v:fill type="solid"/>
            </v:rect>
            <v:shape style="position:absolute;left:5532;top:1280;width:248;height:1642" coordorigin="5532,1280" coordsize="248,1642" path="m5532,2922l5779,2922m5532,2375l5779,2375m5532,1828l5779,1828m5532,1280l5779,1280e" filled="false" stroked="true" strokeweight=".72pt" strokecolor="#d9d9d9">
              <v:path arrowok="t"/>
              <v:stroke dashstyle="solid"/>
            </v:shape>
            <v:rect style="position:absolute;left:5366;top:1160;width:166;height:2312" filled="true" fillcolor="#009ddf" stroked="false">
              <v:fill type="solid"/>
            </v:rect>
            <v:shape style="position:absolute;left:5942;top:730;width:248;height:2192" coordorigin="5942,731" coordsize="248,2192" path="m5942,2922l6190,2922m5942,2375l6190,2375m5942,1828l6190,1828m5942,1280l6190,1280m5942,731l6190,731e" filled="false" stroked="true" strokeweight=".72pt" strokecolor="#d9d9d9">
              <v:path arrowok="t"/>
              <v:stroke dashstyle="solid"/>
            </v:shape>
            <v:rect style="position:absolute;left:5779;top:353;width:164;height:3058" filled="true" fillcolor="#009ddf" stroked="false">
              <v:fill type="solid"/>
            </v:rect>
            <v:shape style="position:absolute;left:6355;top:730;width:2307;height:2192" coordorigin="6355,731" coordsize="2307,2192" path="m6355,2922l6602,2922m6355,2375l6602,2375m6355,1828l6602,1828m6355,1280l6602,1280m6355,731l8662,731e" filled="false" stroked="true" strokeweight=".72pt" strokecolor="#d9d9d9">
              <v:path arrowok="t"/>
              <v:stroke dashstyle="solid"/>
            </v:shape>
            <v:line style="position:absolute" from="2362,184" to="10183,184" stroked="true" strokeweight=".72pt" strokecolor="#d9d9d9">
              <v:stroke dashstyle="solid"/>
            </v:line>
            <v:rect style="position:absolute;left:6189;top:202;width:166;height:3147" filled="true" fillcolor="#009ddf" stroked="false">
              <v:fill type="solid"/>
            </v:rect>
            <v:shape style="position:absolute;left:6765;top:1280;width:248;height:1642" coordorigin="6766,1280" coordsize="248,1642" path="m6766,2922l7013,2922m6766,2375l7013,2375m6766,1828l7013,1828m6766,1280l7013,1280e" filled="false" stroked="true" strokeweight=".72pt" strokecolor="#d9d9d9">
              <v:path arrowok="t"/>
              <v:stroke dashstyle="solid"/>
            </v:shape>
            <v:rect style="position:absolute;left:6602;top:1179;width:164;height:2331" filled="true" fillcolor="#009ddf" stroked="false">
              <v:fill type="solid"/>
            </v:rect>
            <v:shape style="position:absolute;left:7178;top:1280;width:248;height:1642" coordorigin="7178,1280" coordsize="248,1642" path="m7178,2922l7426,2922m7178,2375l7426,2375m7178,1828l7426,1828m7178,1280l7426,1280e" filled="false" stroked="true" strokeweight=".72pt" strokecolor="#d9d9d9">
              <v:path arrowok="t"/>
              <v:stroke dashstyle="solid"/>
            </v:shape>
            <v:rect style="position:absolute;left:7012;top:1124;width:166;height:2324" filled="true" fillcolor="#009ddf" stroked="false">
              <v:fill type="solid"/>
            </v:rect>
            <v:shape style="position:absolute;left:7591;top:1280;width:245;height:1642" coordorigin="7591,1280" coordsize="245,1642" path="m7591,2922l7836,2922m7591,2375l7836,2375m7591,1828l7836,1828m7591,1280l7836,1280e" filled="false" stroked="true" strokeweight=".72pt" strokecolor="#d9d9d9">
              <v:path arrowok="t"/>
              <v:stroke dashstyle="solid"/>
            </v:shape>
            <v:rect style="position:absolute;left:7425;top:1006;width:166;height:2417" filled="true" fillcolor="#009ddf" stroked="false">
              <v:fill type="solid"/>
            </v:rect>
            <v:shape style="position:absolute;left:8001;top:1280;width:248;height:1642" coordorigin="8002,1280" coordsize="248,1642" path="m8002,2922l8249,2922m8002,2375l8249,2375m8002,1828l8249,1828m8002,1280l8249,1280e" filled="false" stroked="true" strokeweight=".72pt" strokecolor="#d9d9d9">
              <v:path arrowok="t"/>
              <v:stroke dashstyle="solid"/>
            </v:shape>
            <v:rect style="position:absolute;left:7836;top:973;width:166;height:2439" filled="true" fillcolor="#009ddf" stroked="false">
              <v:fill type="solid"/>
            </v:rect>
            <v:shape style="position:absolute;left:8414;top:1280;width:248;height:1095" coordorigin="8414,1280" coordsize="248,1095" path="m8414,2375l8662,2375m8414,1828l8662,1828m8414,1280l8662,1280e" filled="false" stroked="true" strokeweight=".72pt" strokecolor="#d9d9d9">
              <v:path arrowok="t"/>
              <v:stroke dashstyle="solid"/>
            </v:shape>
            <v:rect style="position:absolute;left:8248;top:821;width:166;height:2408" filled="true" fillcolor="#009ddf" stroked="false">
              <v:fill type="solid"/>
            </v:rect>
            <v:shape style="position:absolute;left:8824;top:730;width:248;height:1644" coordorigin="8825,731" coordsize="248,1644" path="m8825,2375l9072,2375m8825,1828l9072,1828m8825,1280l9072,1280m8825,731l9072,731e" filled="false" stroked="true" strokeweight=".72pt" strokecolor="#d9d9d9">
              <v:path arrowok="t"/>
              <v:stroke dashstyle="solid"/>
            </v:shape>
            <v:rect style="position:absolute;left:8661;top:593;width:164;height:2331" filled="true" fillcolor="#009ddf" stroked="false">
              <v:fill type="solid"/>
            </v:rect>
            <v:shape style="position:absolute;left:9237;top:730;width:248;height:1644" coordorigin="9238,731" coordsize="248,1644" path="m9238,2375l9485,2375m9238,1828l9485,1828m9238,1280l9485,1280m9238,731l9485,731e" filled="false" stroked="true" strokeweight=".72pt" strokecolor="#d9d9d9">
              <v:path arrowok="t"/>
              <v:stroke dashstyle="solid"/>
            </v:shape>
            <v:rect style="position:absolute;left:9072;top:685;width:166;height:2319" filled="true" fillcolor="#009ddf" stroked="false">
              <v:fill type="solid"/>
            </v:rect>
            <v:shape style="position:absolute;left:9648;top:730;width:536;height:1644" coordorigin="9648,731" coordsize="536,1644" path="m9648,2375l9895,2375m9648,1828l9895,1828m9648,1280l9895,1280m9648,731l10183,731e" filled="false" stroked="true" strokeweight=".72pt" strokecolor="#d9d9d9">
              <v:path arrowok="t"/>
              <v:stroke dashstyle="solid"/>
            </v:shape>
            <v:rect style="position:absolute;left:9484;top:689;width:164;height:2280" filled="true" fillcolor="#009ddf" stroked="false">
              <v:fill type="solid"/>
            </v:rect>
            <v:shape style="position:absolute;left:10060;top:1280;width:123;height:1095" coordorigin="10061,1280" coordsize="123,1095" path="m10061,2375l10183,2375m10061,1828l10183,1828m10061,1280l10183,1280e" filled="false" stroked="true" strokeweight=".72pt" strokecolor="#d9d9d9">
              <v:path arrowok="t"/>
              <v:stroke dashstyle="solid"/>
            </v:shape>
            <v:rect style="position:absolute;left:9895;top:742;width:166;height:2237" filled="true" fillcolor="#009ddf" stroked="false">
              <v:fill type="solid"/>
            </v:rect>
            <v:shape style="position:absolute;left:2361;top:4018;width:7822;height:58" coordorigin="2362,4019" coordsize="7822,58" path="m2362,4019l10183,4019m2362,4019l2362,4076m2772,4019l2772,4076m3185,4019l3185,4076m3595,4019l3595,4076m4008,4019l4008,4076m4418,4019l4418,4076m4831,4019l4831,4076m5244,4019l5244,4076m5654,4019l5654,4076m6067,4019l6067,4076m6478,4019l6478,4076m6890,4019l6890,4076m7301,4019l7301,4076m7714,4019l7714,4076m8126,4019l8126,4076m8537,4019l8537,4076m8950,4019l8950,4076m9360,4019l9360,4076m9773,4019l9773,4076m10183,4019l10183,4076e" filled="false" stroked="true" strokeweight=".72pt" strokecolor="#d9d9d9">
              <v:path arrowok="t"/>
              <v:stroke dashstyle="solid"/>
            </v:shape>
            <w10:wrap type="none"/>
          </v:group>
        </w:pict>
      </w:r>
      <w:r>
        <w:rPr>
          <w:rFonts w:ascii="Calibri"/>
        </w:rPr>
        <w:t>350</w:t>
      </w:r>
    </w:p>
    <w:p>
      <w:pPr>
        <w:pStyle w:val="BodyText"/>
        <w:spacing w:before="8"/>
        <w:rPr>
          <w:rFonts w:ascii="Calibri"/>
          <w:sz w:val="21"/>
        </w:rPr>
      </w:pPr>
    </w:p>
    <w:p>
      <w:pPr>
        <w:pStyle w:val="BodyText"/>
        <w:spacing w:before="64"/>
        <w:ind w:left="960"/>
        <w:rPr>
          <w:rFonts w:ascii="Calibri"/>
        </w:rPr>
      </w:pPr>
      <w:r>
        <w:rPr>
          <w:rFonts w:ascii="Calibri"/>
        </w:rPr>
        <w:t>300</w:t>
      </w:r>
    </w:p>
    <w:p>
      <w:pPr>
        <w:pStyle w:val="BodyText"/>
        <w:spacing w:before="8"/>
        <w:rPr>
          <w:rFonts w:ascii="Calibri"/>
          <w:sz w:val="21"/>
        </w:rPr>
      </w:pPr>
    </w:p>
    <w:p>
      <w:pPr>
        <w:pStyle w:val="BodyText"/>
        <w:spacing w:before="64"/>
        <w:ind w:left="960"/>
        <w:rPr>
          <w:rFonts w:ascii="Calibri"/>
        </w:rPr>
      </w:pPr>
      <w:r>
        <w:rPr>
          <w:rFonts w:ascii="Calibri"/>
        </w:rPr>
        <w:t>250</w:t>
      </w:r>
    </w:p>
    <w:p>
      <w:pPr>
        <w:pStyle w:val="BodyText"/>
        <w:spacing w:before="8"/>
        <w:rPr>
          <w:rFonts w:ascii="Calibri"/>
          <w:sz w:val="21"/>
        </w:rPr>
      </w:pPr>
    </w:p>
    <w:p>
      <w:pPr>
        <w:pStyle w:val="BodyText"/>
        <w:spacing w:before="64"/>
        <w:ind w:left="960"/>
        <w:rPr>
          <w:rFonts w:ascii="Calibri"/>
        </w:rPr>
      </w:pPr>
      <w:r>
        <w:rPr>
          <w:rFonts w:ascii="Calibri"/>
        </w:rPr>
        <w:t>200</w:t>
      </w:r>
    </w:p>
    <w:p>
      <w:pPr>
        <w:pStyle w:val="BodyText"/>
        <w:spacing w:before="8"/>
        <w:rPr>
          <w:rFonts w:ascii="Calibri"/>
          <w:sz w:val="21"/>
        </w:rPr>
      </w:pPr>
    </w:p>
    <w:p>
      <w:pPr>
        <w:pStyle w:val="BodyText"/>
        <w:spacing w:before="64"/>
        <w:ind w:left="960"/>
        <w:rPr>
          <w:rFonts w:ascii="Calibri"/>
        </w:rPr>
      </w:pPr>
      <w:r>
        <w:rPr>
          <w:rFonts w:ascii="Calibri"/>
        </w:rPr>
        <w:t>150</w:t>
      </w:r>
    </w:p>
    <w:p>
      <w:pPr>
        <w:pStyle w:val="BodyText"/>
        <w:spacing w:before="8"/>
        <w:rPr>
          <w:rFonts w:ascii="Calibri"/>
          <w:sz w:val="21"/>
        </w:rPr>
      </w:pPr>
    </w:p>
    <w:p>
      <w:pPr>
        <w:pStyle w:val="BodyText"/>
        <w:spacing w:before="64"/>
        <w:ind w:left="960"/>
        <w:rPr>
          <w:rFonts w:ascii="Calibri"/>
        </w:rPr>
      </w:pPr>
      <w:r>
        <w:rPr>
          <w:rFonts w:ascii="Calibri"/>
        </w:rPr>
        <w:t>100</w:t>
      </w:r>
    </w:p>
    <w:p>
      <w:pPr>
        <w:pStyle w:val="BodyText"/>
        <w:spacing w:before="8"/>
        <w:rPr>
          <w:rFonts w:ascii="Calibri"/>
          <w:sz w:val="21"/>
        </w:rPr>
      </w:pPr>
    </w:p>
    <w:p>
      <w:pPr>
        <w:pStyle w:val="BodyText"/>
        <w:spacing w:before="64"/>
        <w:ind w:left="1052"/>
        <w:rPr>
          <w:rFonts w:ascii="Calibri"/>
        </w:rPr>
      </w:pPr>
      <w:r>
        <w:rPr>
          <w:rFonts w:ascii="Calibri"/>
        </w:rPr>
        <w:t>50</w:t>
      </w:r>
    </w:p>
    <w:p>
      <w:pPr>
        <w:pStyle w:val="BodyText"/>
        <w:spacing w:before="8"/>
        <w:rPr>
          <w:rFonts w:ascii="Calibri"/>
          <w:sz w:val="21"/>
        </w:rPr>
      </w:pPr>
    </w:p>
    <w:p>
      <w:pPr>
        <w:pStyle w:val="BodyText"/>
        <w:spacing w:before="64"/>
        <w:ind w:left="1143"/>
        <w:rPr>
          <w:rFonts w:ascii="Calibri"/>
        </w:rPr>
      </w:pPr>
      <w:r>
        <w:rPr/>
        <w:drawing>
          <wp:anchor distT="0" distB="0" distL="0" distR="0" allowOverlap="1" layoutInCell="1" locked="0" behindDoc="0" simplePos="0" relativeHeight="51">
            <wp:simplePos x="0" y="0"/>
            <wp:positionH relativeFrom="page">
              <wp:posOffset>1452244</wp:posOffset>
            </wp:positionH>
            <wp:positionV relativeFrom="paragraph">
              <wp:posOffset>228083</wp:posOffset>
            </wp:positionV>
            <wp:extent cx="713849" cy="195262"/>
            <wp:effectExtent l="0" t="0" r="0" b="0"/>
            <wp:wrapTopAndBottom/>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38" cstate="print"/>
                    <a:stretch>
                      <a:fillRect/>
                    </a:stretch>
                  </pic:blipFill>
                  <pic:spPr>
                    <a:xfrm>
                      <a:off x="0" y="0"/>
                      <a:ext cx="713849" cy="195262"/>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2236597</wp:posOffset>
            </wp:positionH>
            <wp:positionV relativeFrom="paragraph">
              <wp:posOffset>225543</wp:posOffset>
            </wp:positionV>
            <wp:extent cx="195848" cy="199167"/>
            <wp:effectExtent l="0" t="0" r="0" b="0"/>
            <wp:wrapTopAndBottom/>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39" cstate="print"/>
                    <a:stretch>
                      <a:fillRect/>
                    </a:stretch>
                  </pic:blipFill>
                  <pic:spPr>
                    <a:xfrm>
                      <a:off x="0" y="0"/>
                      <a:ext cx="195848" cy="199167"/>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2498089</wp:posOffset>
            </wp:positionH>
            <wp:positionV relativeFrom="paragraph">
              <wp:posOffset>224273</wp:posOffset>
            </wp:positionV>
            <wp:extent cx="191998" cy="200025"/>
            <wp:effectExtent l="0" t="0" r="0" b="0"/>
            <wp:wrapTopAndBottom/>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40" cstate="print"/>
                    <a:stretch>
                      <a:fillRect/>
                    </a:stretch>
                  </pic:blipFill>
                  <pic:spPr>
                    <a:xfrm>
                      <a:off x="0" y="0"/>
                      <a:ext cx="191998" cy="200025"/>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2759582</wp:posOffset>
            </wp:positionH>
            <wp:positionV relativeFrom="paragraph">
              <wp:posOffset>223003</wp:posOffset>
            </wp:positionV>
            <wp:extent cx="192555" cy="200025"/>
            <wp:effectExtent l="0" t="0" r="0" b="0"/>
            <wp:wrapTopAndBottom/>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41" cstate="print"/>
                    <a:stretch>
                      <a:fillRect/>
                    </a:stretch>
                  </pic:blipFill>
                  <pic:spPr>
                    <a:xfrm>
                      <a:off x="0" y="0"/>
                      <a:ext cx="192555" cy="200025"/>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3020948</wp:posOffset>
            </wp:positionH>
            <wp:positionV relativeFrom="paragraph">
              <wp:posOffset>219193</wp:posOffset>
            </wp:positionV>
            <wp:extent cx="181256" cy="204787"/>
            <wp:effectExtent l="0" t="0" r="0" b="0"/>
            <wp:wrapTopAndBottom/>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42" cstate="print"/>
                    <a:stretch>
                      <a:fillRect/>
                    </a:stretch>
                  </pic:blipFill>
                  <pic:spPr>
                    <a:xfrm>
                      <a:off x="0" y="0"/>
                      <a:ext cx="181256" cy="204787"/>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3282441</wp:posOffset>
            </wp:positionH>
            <wp:positionV relativeFrom="paragraph">
              <wp:posOffset>226813</wp:posOffset>
            </wp:positionV>
            <wp:extent cx="192868" cy="195262"/>
            <wp:effectExtent l="0" t="0" r="0" b="0"/>
            <wp:wrapTopAndBottom/>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43" cstate="print"/>
                    <a:stretch>
                      <a:fillRect/>
                    </a:stretch>
                  </pic:blipFill>
                  <pic:spPr>
                    <a:xfrm>
                      <a:off x="0" y="0"/>
                      <a:ext cx="192868" cy="195262"/>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3543934</wp:posOffset>
            </wp:positionH>
            <wp:positionV relativeFrom="paragraph">
              <wp:posOffset>228083</wp:posOffset>
            </wp:positionV>
            <wp:extent cx="188821" cy="195262"/>
            <wp:effectExtent l="0" t="0" r="0" b="0"/>
            <wp:wrapTopAndBottom/>
            <wp:docPr id="23" name="image21.png" descr=""/>
            <wp:cNvGraphicFramePr>
              <a:graphicFrameLocks noChangeAspect="1"/>
            </wp:cNvGraphicFramePr>
            <a:graphic>
              <a:graphicData uri="http://schemas.openxmlformats.org/drawingml/2006/picture">
                <pic:pic>
                  <pic:nvPicPr>
                    <pic:cNvPr id="24" name="image21.png"/>
                    <pic:cNvPicPr/>
                  </pic:nvPicPr>
                  <pic:blipFill>
                    <a:blip r:embed="rId44" cstate="print"/>
                    <a:stretch>
                      <a:fillRect/>
                    </a:stretch>
                  </pic:blipFill>
                  <pic:spPr>
                    <a:xfrm>
                      <a:off x="0" y="0"/>
                      <a:ext cx="188821" cy="195262"/>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3805428</wp:posOffset>
            </wp:positionH>
            <wp:positionV relativeFrom="paragraph">
              <wp:posOffset>226813</wp:posOffset>
            </wp:positionV>
            <wp:extent cx="190979" cy="195262"/>
            <wp:effectExtent l="0" t="0" r="0" b="0"/>
            <wp:wrapTopAndBottom/>
            <wp:docPr id="25" name="image22.png" descr=""/>
            <wp:cNvGraphicFramePr>
              <a:graphicFrameLocks noChangeAspect="1"/>
            </wp:cNvGraphicFramePr>
            <a:graphic>
              <a:graphicData uri="http://schemas.openxmlformats.org/drawingml/2006/picture">
                <pic:pic>
                  <pic:nvPicPr>
                    <pic:cNvPr id="26" name="image22.png"/>
                    <pic:cNvPicPr/>
                  </pic:nvPicPr>
                  <pic:blipFill>
                    <a:blip r:embed="rId45" cstate="print"/>
                    <a:stretch>
                      <a:fillRect/>
                    </a:stretch>
                  </pic:blipFill>
                  <pic:spPr>
                    <a:xfrm>
                      <a:off x="0" y="0"/>
                      <a:ext cx="190979" cy="195262"/>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4067047</wp:posOffset>
            </wp:positionH>
            <wp:positionV relativeFrom="paragraph">
              <wp:posOffset>228083</wp:posOffset>
            </wp:positionV>
            <wp:extent cx="713722" cy="195262"/>
            <wp:effectExtent l="0" t="0" r="0" b="0"/>
            <wp:wrapTopAndBottom/>
            <wp:docPr id="27" name="image23.png" descr=""/>
            <wp:cNvGraphicFramePr>
              <a:graphicFrameLocks noChangeAspect="1"/>
            </wp:cNvGraphicFramePr>
            <a:graphic>
              <a:graphicData uri="http://schemas.openxmlformats.org/drawingml/2006/picture">
                <pic:pic>
                  <pic:nvPicPr>
                    <pic:cNvPr id="28" name="image23.png"/>
                    <pic:cNvPicPr/>
                  </pic:nvPicPr>
                  <pic:blipFill>
                    <a:blip r:embed="rId46" cstate="print"/>
                    <a:stretch>
                      <a:fillRect/>
                    </a:stretch>
                  </pic:blipFill>
                  <pic:spPr>
                    <a:xfrm>
                      <a:off x="0" y="0"/>
                      <a:ext cx="713722" cy="195262"/>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4851272</wp:posOffset>
            </wp:positionH>
            <wp:positionV relativeFrom="paragraph">
              <wp:posOffset>225543</wp:posOffset>
            </wp:positionV>
            <wp:extent cx="195848" cy="199167"/>
            <wp:effectExtent l="0" t="0" r="0" b="0"/>
            <wp:wrapTopAndBottom/>
            <wp:docPr id="29" name="image24.png" descr=""/>
            <wp:cNvGraphicFramePr>
              <a:graphicFrameLocks noChangeAspect="1"/>
            </wp:cNvGraphicFramePr>
            <a:graphic>
              <a:graphicData uri="http://schemas.openxmlformats.org/drawingml/2006/picture">
                <pic:pic>
                  <pic:nvPicPr>
                    <pic:cNvPr id="30" name="image24.png"/>
                    <pic:cNvPicPr/>
                  </pic:nvPicPr>
                  <pic:blipFill>
                    <a:blip r:embed="rId47" cstate="print"/>
                    <a:stretch>
                      <a:fillRect/>
                    </a:stretch>
                  </pic:blipFill>
                  <pic:spPr>
                    <a:xfrm>
                      <a:off x="0" y="0"/>
                      <a:ext cx="195848" cy="199167"/>
                    </a:xfrm>
                    <a:prstGeom prst="rect">
                      <a:avLst/>
                    </a:prstGeom>
                  </pic:spPr>
                </pic:pic>
              </a:graphicData>
            </a:graphic>
          </wp:anchor>
        </w:drawing>
      </w:r>
      <w:r>
        <w:rPr/>
        <w:drawing>
          <wp:anchor distT="0" distB="0" distL="0" distR="0" allowOverlap="1" layoutInCell="1" locked="0" behindDoc="0" simplePos="0" relativeHeight="61">
            <wp:simplePos x="0" y="0"/>
            <wp:positionH relativeFrom="page">
              <wp:posOffset>5112892</wp:posOffset>
            </wp:positionH>
            <wp:positionV relativeFrom="paragraph">
              <wp:posOffset>224273</wp:posOffset>
            </wp:positionV>
            <wp:extent cx="191871" cy="200025"/>
            <wp:effectExtent l="0" t="0" r="0" b="0"/>
            <wp:wrapTopAndBottom/>
            <wp:docPr id="31" name="image25.png" descr=""/>
            <wp:cNvGraphicFramePr>
              <a:graphicFrameLocks noChangeAspect="1"/>
            </wp:cNvGraphicFramePr>
            <a:graphic>
              <a:graphicData uri="http://schemas.openxmlformats.org/drawingml/2006/picture">
                <pic:pic>
                  <pic:nvPicPr>
                    <pic:cNvPr id="32" name="image25.png"/>
                    <pic:cNvPicPr/>
                  </pic:nvPicPr>
                  <pic:blipFill>
                    <a:blip r:embed="rId48" cstate="print"/>
                    <a:stretch>
                      <a:fillRect/>
                    </a:stretch>
                  </pic:blipFill>
                  <pic:spPr>
                    <a:xfrm>
                      <a:off x="0" y="0"/>
                      <a:ext cx="191871" cy="200025"/>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5374385</wp:posOffset>
            </wp:positionH>
            <wp:positionV relativeFrom="paragraph">
              <wp:posOffset>223003</wp:posOffset>
            </wp:positionV>
            <wp:extent cx="192429" cy="200025"/>
            <wp:effectExtent l="0" t="0" r="0" b="0"/>
            <wp:wrapTopAndBottom/>
            <wp:docPr id="33" name="image26.png" descr=""/>
            <wp:cNvGraphicFramePr>
              <a:graphicFrameLocks noChangeAspect="1"/>
            </wp:cNvGraphicFramePr>
            <a:graphic>
              <a:graphicData uri="http://schemas.openxmlformats.org/drawingml/2006/picture">
                <pic:pic>
                  <pic:nvPicPr>
                    <pic:cNvPr id="34" name="image26.png"/>
                    <pic:cNvPicPr/>
                  </pic:nvPicPr>
                  <pic:blipFill>
                    <a:blip r:embed="rId49" cstate="print"/>
                    <a:stretch>
                      <a:fillRect/>
                    </a:stretch>
                  </pic:blipFill>
                  <pic:spPr>
                    <a:xfrm>
                      <a:off x="0" y="0"/>
                      <a:ext cx="192429" cy="200025"/>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5635625</wp:posOffset>
            </wp:positionH>
            <wp:positionV relativeFrom="paragraph">
              <wp:posOffset>219193</wp:posOffset>
            </wp:positionV>
            <wp:extent cx="181256" cy="204787"/>
            <wp:effectExtent l="0" t="0" r="0" b="0"/>
            <wp:wrapTopAndBottom/>
            <wp:docPr id="35" name="image27.png" descr=""/>
            <wp:cNvGraphicFramePr>
              <a:graphicFrameLocks noChangeAspect="1"/>
            </wp:cNvGraphicFramePr>
            <a:graphic>
              <a:graphicData uri="http://schemas.openxmlformats.org/drawingml/2006/picture">
                <pic:pic>
                  <pic:nvPicPr>
                    <pic:cNvPr id="36" name="image27.png"/>
                    <pic:cNvPicPr/>
                  </pic:nvPicPr>
                  <pic:blipFill>
                    <a:blip r:embed="rId50" cstate="print"/>
                    <a:stretch>
                      <a:fillRect/>
                    </a:stretch>
                  </pic:blipFill>
                  <pic:spPr>
                    <a:xfrm>
                      <a:off x="0" y="0"/>
                      <a:ext cx="181256" cy="204787"/>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5897117</wp:posOffset>
            </wp:positionH>
            <wp:positionV relativeFrom="paragraph">
              <wp:posOffset>226813</wp:posOffset>
            </wp:positionV>
            <wp:extent cx="192994" cy="195262"/>
            <wp:effectExtent l="0" t="0" r="0" b="0"/>
            <wp:wrapTopAndBottom/>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51" cstate="print"/>
                    <a:stretch>
                      <a:fillRect/>
                    </a:stretch>
                  </pic:blipFill>
                  <pic:spPr>
                    <a:xfrm>
                      <a:off x="0" y="0"/>
                      <a:ext cx="192994" cy="195262"/>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6158610</wp:posOffset>
            </wp:positionH>
            <wp:positionV relativeFrom="paragraph">
              <wp:posOffset>228083</wp:posOffset>
            </wp:positionV>
            <wp:extent cx="188922" cy="195262"/>
            <wp:effectExtent l="0" t="0" r="0" b="0"/>
            <wp:wrapTopAndBottom/>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52" cstate="print"/>
                    <a:stretch>
                      <a:fillRect/>
                    </a:stretch>
                  </pic:blipFill>
                  <pic:spPr>
                    <a:xfrm>
                      <a:off x="0" y="0"/>
                      <a:ext cx="188922" cy="195262"/>
                    </a:xfrm>
                    <a:prstGeom prst="rect">
                      <a:avLst/>
                    </a:prstGeom>
                  </pic:spPr>
                </pic:pic>
              </a:graphicData>
            </a:graphic>
          </wp:anchor>
        </w:drawing>
      </w:r>
      <w:r>
        <w:rPr/>
        <w:pict>
          <v:rect style="position:absolute;margin-left:223.199997pt;margin-top:45.609348pt;width:5.04pt;height:4.92pt;mso-position-horizontal-relative:page;mso-position-vertical-relative:paragraph;z-index:2656" filled="true" fillcolor="#a0be36" stroked="false">
            <v:fill type="solid"/>
            <w10:wrap type="none"/>
          </v:rect>
        </w:pict>
      </w:r>
      <w:r>
        <w:rPr/>
        <w:pict>
          <v:rect style="position:absolute;margin-left:311.519989pt;margin-top:45.609348pt;width:4.92pt;height:4.92pt;mso-position-horizontal-relative:page;mso-position-vertical-relative:paragraph;z-index:-181024" filled="true" fillcolor="#d0cfc5" stroked="false">
            <v:fill type="solid"/>
            <w10:wrap type="none"/>
          </v:rect>
        </w:pict>
      </w:r>
      <w:r>
        <w:rPr/>
        <w:pict>
          <v:rect style="position:absolute;margin-left:369.480011pt;margin-top:45.609348pt;width:4.92pt;height:4.92pt;mso-position-horizontal-relative:page;mso-position-vertical-relative:paragraph;z-index:-181000" filled="true" fillcolor="#009ddf" stroked="false">
            <v:fill type="solid"/>
            <w10:wrap type="none"/>
          </v:rect>
        </w:pict>
      </w:r>
      <w:r>
        <w:rPr>
          <w:rFonts w:ascii="Calibri"/>
        </w:rPr>
        <w:t>0</w:t>
      </w:r>
    </w:p>
    <w:p>
      <w:pPr>
        <w:pStyle w:val="BodyText"/>
        <w:tabs>
          <w:tab w:pos="5411" w:val="left" w:leader="none"/>
          <w:tab w:pos="6572" w:val="left" w:leader="none"/>
        </w:tabs>
        <w:spacing w:before="144"/>
        <w:ind w:left="3647"/>
        <w:rPr>
          <w:rFonts w:ascii="Calibri"/>
        </w:rPr>
      </w:pPr>
      <w:r>
        <w:rPr>
          <w:rFonts w:ascii="Calibri"/>
        </w:rPr>
        <w:t>Andre</w:t>
      </w:r>
      <w:r>
        <w:rPr>
          <w:rFonts w:ascii="Calibri"/>
          <w:spacing w:val="-2"/>
        </w:rPr>
        <w:t> </w:t>
      </w:r>
      <w:r>
        <w:rPr>
          <w:rFonts w:ascii="Calibri"/>
        </w:rPr>
        <w:t>programmer</w:t>
        <w:tab/>
        <w:t>EUMETSAT</w:t>
        <w:tab/>
        <w:t>ESA</w:t>
      </w:r>
    </w:p>
    <w:p>
      <w:pPr>
        <w:pStyle w:val="BodyText"/>
        <w:spacing w:before="2"/>
        <w:rPr>
          <w:rFonts w:ascii="Calibri"/>
          <w:sz w:val="14"/>
        </w:rPr>
      </w:pPr>
    </w:p>
    <w:p>
      <w:pPr>
        <w:spacing w:line="364" w:lineRule="auto" w:before="100"/>
        <w:ind w:left="742" w:right="7284" w:firstLine="0"/>
        <w:jc w:val="left"/>
        <w:rPr>
          <w:sz w:val="13"/>
        </w:rPr>
      </w:pPr>
      <w:r>
        <w:rPr>
          <w:sz w:val="13"/>
        </w:rPr>
        <w:t>Kilde: Styrelsen for Forskning og Innovation Samme bemærkning som til </w:t>
      </w:r>
      <w:hyperlink w:history="true" w:anchor="_bookmark10">
        <w:r>
          <w:rPr>
            <w:sz w:val="13"/>
          </w:rPr>
          <w:t>Figur 4 </w:t>
        </w:r>
      </w:hyperlink>
      <w:r>
        <w:rPr>
          <w:sz w:val="13"/>
        </w:rPr>
        <w:t>gælder.</w:t>
      </w:r>
    </w:p>
    <w:p>
      <w:pPr>
        <w:spacing w:after="0" w:line="364" w:lineRule="auto"/>
        <w:jc w:val="left"/>
        <w:rPr>
          <w:sz w:val="13"/>
        </w:rPr>
        <w:sectPr>
          <w:pgSz w:w="11910" w:h="16840"/>
          <w:pgMar w:header="0" w:footer="1056" w:top="1580" w:bottom="1240" w:left="960" w:right="0"/>
        </w:sectPr>
      </w:pPr>
    </w:p>
    <w:p>
      <w:pPr>
        <w:pStyle w:val="Heading1"/>
        <w:numPr>
          <w:ilvl w:val="0"/>
          <w:numId w:val="2"/>
        </w:numPr>
        <w:tabs>
          <w:tab w:pos="741" w:val="left" w:leader="none"/>
          <w:tab w:pos="743" w:val="left" w:leader="none"/>
        </w:tabs>
        <w:spacing w:line="240" w:lineRule="auto" w:before="110" w:after="0"/>
        <w:ind w:left="742" w:right="0" w:hanging="624"/>
        <w:jc w:val="left"/>
      </w:pPr>
      <w:bookmarkStart w:name="_bookmark12" w:id="13"/>
      <w:bookmarkEnd w:id="13"/>
      <w:r>
        <w:rPr>
          <w:color w:val="009DDF"/>
        </w:rPr>
        <w:t>RUM</w:t>
      </w:r>
      <w:r>
        <w:rPr>
          <w:color w:val="009DDF"/>
        </w:rPr>
        <w:t>OMRÅDETS REELLE OMFANG I</w:t>
      </w:r>
      <w:r>
        <w:rPr>
          <w:color w:val="009DDF"/>
          <w:spacing w:val="-2"/>
        </w:rPr>
        <w:t> </w:t>
      </w:r>
      <w:r>
        <w:rPr>
          <w:color w:val="009DDF"/>
        </w:rPr>
        <w:t>DANMARK</w:t>
      </w:r>
    </w:p>
    <w:p>
      <w:pPr>
        <w:pStyle w:val="Heading2"/>
        <w:numPr>
          <w:ilvl w:val="1"/>
          <w:numId w:val="5"/>
        </w:numPr>
        <w:tabs>
          <w:tab w:pos="741" w:val="left" w:leader="none"/>
          <w:tab w:pos="743" w:val="left" w:leader="none"/>
        </w:tabs>
        <w:spacing w:line="240" w:lineRule="auto" w:before="276" w:after="0"/>
        <w:ind w:left="742" w:right="0" w:hanging="624"/>
        <w:jc w:val="left"/>
      </w:pPr>
      <w:bookmarkStart w:name="_bookmark13" w:id="14"/>
      <w:bookmarkEnd w:id="14"/>
      <w:r>
        <w:rPr/>
        <w:t>De</w:t>
      </w:r>
      <w:r>
        <w:rPr/>
        <w:t>finition af</w:t>
      </w:r>
      <w:r>
        <w:rPr>
          <w:spacing w:val="-1"/>
        </w:rPr>
        <w:t> </w:t>
      </w:r>
      <w:r>
        <w:rPr/>
        <w:t>rumøkonomien</w:t>
      </w:r>
    </w:p>
    <w:p>
      <w:pPr>
        <w:spacing w:line="264" w:lineRule="auto" w:before="21"/>
        <w:ind w:left="742" w:right="1229" w:firstLine="0"/>
        <w:jc w:val="left"/>
        <w:rPr>
          <w:sz w:val="18"/>
        </w:rPr>
      </w:pPr>
      <w:r>
        <w:rPr>
          <w:sz w:val="18"/>
        </w:rPr>
        <w:t>OECD definerer rumøkonomien som </w:t>
      </w:r>
      <w:r>
        <w:rPr>
          <w:i/>
          <w:sz w:val="18"/>
        </w:rPr>
        <w:t>’de aktiviteter, der skaber værdi for mennesket gennem ud- </w:t>
      </w:r>
      <w:r>
        <w:rPr>
          <w:i/>
          <w:sz w:val="18"/>
        </w:rPr>
        <w:t>forskning, forståelse, styring og brug af rummet’</w:t>
      </w:r>
      <w:r>
        <w:rPr>
          <w:i/>
          <w:w w:val="99"/>
          <w:position w:val="6"/>
          <w:sz w:val="8"/>
        </w:rPr>
        <w:t>13</w:t>
      </w:r>
      <w:r>
        <w:rPr>
          <w:sz w:val="18"/>
        </w:rPr>
        <w:t>. Definitionen er således bredere end de traditio- nelle aktiviteter, der omhandler konstruktion og opsendelse af isenkram fra jorden.</w:t>
      </w:r>
    </w:p>
    <w:p>
      <w:pPr>
        <w:pStyle w:val="BodyText"/>
        <w:spacing w:before="7"/>
        <w:rPr>
          <w:sz w:val="19"/>
        </w:rPr>
      </w:pPr>
    </w:p>
    <w:p>
      <w:pPr>
        <w:pStyle w:val="BodyText"/>
        <w:spacing w:line="264" w:lineRule="auto"/>
        <w:ind w:left="742" w:right="1141"/>
      </w:pPr>
      <w:r>
        <w:rPr/>
        <w:t>Rummet er ikke en sektor i traditionel statistisk sektorklassifikation (fx NACE). Rumøkonomiens aktører findes i mange forskellige standardsektorer, men fælles for alle sektorer er, at mange aktø- rer, der ikke har aktivitet i rummet, også forefindes.</w:t>
      </w:r>
      <w:r>
        <w:rPr>
          <w:w w:val="99"/>
          <w:position w:val="6"/>
          <w:sz w:val="8"/>
        </w:rPr>
        <w:t>14</w:t>
      </w:r>
      <w:r>
        <w:rPr>
          <w:position w:val="6"/>
          <w:sz w:val="8"/>
        </w:rPr>
        <w:t>  </w:t>
      </w:r>
      <w:r>
        <w:rPr/>
        <w:t>Derfor er det ikke muligt at beregne størrel- sen på rumøkonomien ved hjælp af traditionelle statistiske udtræk. I stedet er det nødvendigt at identificere relevante aktører en ad gangen og basere værdiansættelse af rummet på data på virk- somhedsniveau.</w:t>
      </w:r>
    </w:p>
    <w:p>
      <w:pPr>
        <w:pStyle w:val="BodyText"/>
        <w:spacing w:before="6"/>
        <w:rPr>
          <w:sz w:val="19"/>
        </w:rPr>
      </w:pPr>
    </w:p>
    <w:p>
      <w:pPr>
        <w:pStyle w:val="BodyText"/>
        <w:spacing w:line="264" w:lineRule="auto"/>
        <w:ind w:left="742" w:right="1211"/>
      </w:pPr>
      <w:r>
        <w:rPr/>
        <w:t>Med henblik på at identificere relevante virksomheder er det nyttigt at betragte rumøkonomien i mindre dele for at forstå, præcis hvad der menes med definitionen. </w:t>
      </w:r>
      <w:hyperlink w:history="true" w:anchor="_bookmark14">
        <w:r>
          <w:rPr/>
          <w:t>Figur 6 </w:t>
        </w:r>
      </w:hyperlink>
      <w:r>
        <w:rPr/>
        <w:t>præsenterer således den </w:t>
      </w:r>
      <w:r>
        <w:rPr>
          <w:b/>
        </w:rPr>
        <w:t>værdikæde</w:t>
      </w:r>
      <w:r>
        <w:rPr/>
        <w:t>, som anvendes til værdiansættelse af rumøkonomien, tager udgangspunkt i OECD’s værdikæde, men indeholder ændringer, der forbedrer den praktiske anvendelse af definiti- onen.</w:t>
      </w:r>
    </w:p>
    <w:p>
      <w:pPr>
        <w:spacing w:before="143"/>
        <w:ind w:left="742" w:right="0" w:firstLine="0"/>
        <w:jc w:val="left"/>
        <w:rPr>
          <w:b/>
          <w:sz w:val="8"/>
        </w:rPr>
      </w:pPr>
      <w:r>
        <w:rPr/>
        <w:drawing>
          <wp:anchor distT="0" distB="0" distL="0" distR="0" allowOverlap="1" layoutInCell="1" locked="0" behindDoc="0" simplePos="0" relativeHeight="71">
            <wp:simplePos x="0" y="0"/>
            <wp:positionH relativeFrom="page">
              <wp:posOffset>1080135</wp:posOffset>
            </wp:positionH>
            <wp:positionV relativeFrom="paragraph">
              <wp:posOffset>270132</wp:posOffset>
            </wp:positionV>
            <wp:extent cx="6025682" cy="3317271"/>
            <wp:effectExtent l="0" t="0" r="0" b="0"/>
            <wp:wrapTopAndBottom/>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53" cstate="print"/>
                    <a:stretch>
                      <a:fillRect/>
                    </a:stretch>
                  </pic:blipFill>
                  <pic:spPr>
                    <a:xfrm>
                      <a:off x="0" y="0"/>
                      <a:ext cx="6025682" cy="3317271"/>
                    </a:xfrm>
                    <a:prstGeom prst="rect">
                      <a:avLst/>
                    </a:prstGeom>
                  </pic:spPr>
                </pic:pic>
              </a:graphicData>
            </a:graphic>
          </wp:anchor>
        </w:drawing>
      </w:r>
      <w:bookmarkStart w:name="_bookmark14" w:id="15"/>
      <w:bookmarkEnd w:id="15"/>
      <w:r>
        <w:rPr/>
      </w:r>
      <w:r>
        <w:rPr>
          <w:b/>
          <w:color w:val="009DDF"/>
          <w:sz w:val="15"/>
        </w:rPr>
        <w:t>Figur 6. Værdikæde og aktører i rumøkonomien</w:t>
      </w:r>
      <w:r>
        <w:rPr>
          <w:b/>
          <w:color w:val="009DDF"/>
          <w:position w:val="6"/>
          <w:sz w:val="8"/>
        </w:rPr>
        <w:t>15</w:t>
      </w:r>
    </w:p>
    <w:p>
      <w:pPr>
        <w:spacing w:before="22"/>
        <w:ind w:left="742" w:right="0" w:firstLine="0"/>
        <w:jc w:val="left"/>
        <w:rPr>
          <w:sz w:val="13"/>
        </w:rPr>
      </w:pPr>
      <w:r>
        <w:rPr>
          <w:sz w:val="13"/>
        </w:rPr>
        <w:t>Kilde: Rambøll og London Economics med udgangspunkt i OECD (2014) </w:t>
      </w:r>
      <w:r>
        <w:rPr>
          <w:i/>
          <w:sz w:val="13"/>
        </w:rPr>
        <w:t>The Space Economy at a Glance 2014</w:t>
      </w:r>
      <w:r>
        <w:rPr>
          <w:sz w:val="13"/>
        </w:rPr>
        <w:t>.</w:t>
      </w:r>
      <w:r>
        <w:rPr>
          <w:sz w:val="13"/>
          <w:vertAlign w:val="superscript"/>
        </w:rPr>
        <w:t>16</w:t>
      </w:r>
    </w:p>
    <w:p>
      <w:pPr>
        <w:pStyle w:val="BodyText"/>
        <w:spacing w:before="7"/>
        <w:rPr>
          <w:sz w:val="21"/>
        </w:rPr>
      </w:pPr>
    </w:p>
    <w:p>
      <w:pPr>
        <w:spacing w:line="264" w:lineRule="auto" w:before="0"/>
        <w:ind w:left="742" w:right="1175" w:firstLine="0"/>
        <w:jc w:val="both"/>
        <w:rPr>
          <w:sz w:val="18"/>
        </w:rPr>
      </w:pPr>
      <w:r>
        <w:rPr>
          <w:sz w:val="18"/>
        </w:rPr>
        <w:t>Grundlæggende set er der tre typer af organisationer i rumøkonomien, hvoraf </w:t>
      </w:r>
      <w:r>
        <w:rPr>
          <w:b/>
          <w:sz w:val="18"/>
        </w:rPr>
        <w:t>kommercielle ope- ratører</w:t>
      </w:r>
      <w:r>
        <w:rPr>
          <w:sz w:val="18"/>
        </w:rPr>
        <w:t>, </w:t>
      </w:r>
      <w:r>
        <w:rPr>
          <w:b/>
          <w:sz w:val="18"/>
        </w:rPr>
        <w:t>forsknings- </w:t>
      </w:r>
      <w:r>
        <w:rPr>
          <w:sz w:val="18"/>
        </w:rPr>
        <w:t>og </w:t>
      </w:r>
      <w:r>
        <w:rPr>
          <w:b/>
          <w:sz w:val="18"/>
        </w:rPr>
        <w:t>offentlige instanser </w:t>
      </w:r>
      <w:r>
        <w:rPr>
          <w:sz w:val="18"/>
        </w:rPr>
        <w:t>(blå og grå kasser) kan vurderes at skabe finansiel værdi. I bred forstand tjener begge grupper penge ved aktiviteter relateret til rummet. Industrien</w:t>
      </w:r>
    </w:p>
    <w:p>
      <w:pPr>
        <w:pStyle w:val="BodyText"/>
        <w:spacing w:before="1"/>
        <w:rPr>
          <w:sz w:val="11"/>
        </w:rPr>
      </w:pPr>
      <w:r>
        <w:rPr/>
        <w:pict>
          <v:line style="position:absolute;mso-position-horizontal-relative:page;mso-position-vertical-relative:paragraph;z-index:704;mso-wrap-distance-left:0;mso-wrap-distance-right:0" from="85.103996pt,8.971474pt" to="229.123996pt,8.971474pt" stroked="true" strokeweight=".48004pt" strokecolor="#000000">
            <v:stroke dashstyle="solid"/>
            <w10:wrap type="topAndBottom"/>
          </v:line>
        </w:pict>
      </w:r>
    </w:p>
    <w:p>
      <w:pPr>
        <w:spacing w:before="99"/>
        <w:ind w:left="742" w:right="0" w:firstLine="0"/>
        <w:jc w:val="left"/>
        <w:rPr>
          <w:sz w:val="13"/>
        </w:rPr>
      </w:pPr>
      <w:r>
        <w:rPr>
          <w:position w:val="6"/>
          <w:sz w:val="8"/>
        </w:rPr>
        <w:t>13 </w:t>
      </w:r>
      <w:r>
        <w:rPr>
          <w:sz w:val="13"/>
        </w:rPr>
        <w:t>OECD (2011) </w:t>
      </w:r>
      <w:r>
        <w:rPr>
          <w:i/>
          <w:sz w:val="13"/>
        </w:rPr>
        <w:t>The Space Economy at a Glance 2011</w:t>
      </w:r>
      <w:r>
        <w:rPr>
          <w:sz w:val="13"/>
        </w:rPr>
        <w:t>, London Economics oversættelse.</w:t>
      </w:r>
    </w:p>
    <w:p>
      <w:pPr>
        <w:spacing w:line="316" w:lineRule="auto" w:before="43"/>
        <w:ind w:left="742" w:right="1181" w:firstLine="0"/>
        <w:jc w:val="left"/>
        <w:rPr>
          <w:sz w:val="13"/>
        </w:rPr>
      </w:pPr>
      <w:r>
        <w:rPr>
          <w:position w:val="6"/>
          <w:sz w:val="8"/>
        </w:rPr>
        <w:t>14 </w:t>
      </w:r>
      <w:r>
        <w:rPr>
          <w:sz w:val="13"/>
        </w:rPr>
        <w:t>Et tidligt udkast af den ikke-offentliggjorte OECD (2016, forventet) </w:t>
      </w:r>
      <w:r>
        <w:rPr>
          <w:i/>
          <w:sz w:val="13"/>
        </w:rPr>
        <w:t>Handbook on Measuring the Space Economy 2016 </w:t>
      </w:r>
      <w:r>
        <w:rPr>
          <w:sz w:val="13"/>
        </w:rPr>
        <w:t>rapporterer således, at 18 forskellige af FN’s International Standard Industrial Classification-koder har relevans for rumøkonomien.</w:t>
      </w:r>
    </w:p>
    <w:p>
      <w:pPr>
        <w:spacing w:line="161" w:lineRule="exact" w:before="0"/>
        <w:ind w:left="742" w:right="0" w:firstLine="0"/>
        <w:jc w:val="left"/>
        <w:rPr>
          <w:sz w:val="13"/>
        </w:rPr>
      </w:pPr>
      <w:r>
        <w:rPr>
          <w:position w:val="6"/>
          <w:sz w:val="8"/>
        </w:rPr>
        <w:t>15 </w:t>
      </w:r>
      <w:r>
        <w:rPr>
          <w:sz w:val="13"/>
        </w:rPr>
        <w:t>Se bilag 5 for definitioner af de forskellige aktiviteter.</w:t>
      </w:r>
    </w:p>
    <w:p>
      <w:pPr>
        <w:spacing w:before="41"/>
        <w:ind w:left="742" w:right="0" w:firstLine="0"/>
        <w:jc w:val="left"/>
        <w:rPr>
          <w:sz w:val="13"/>
        </w:rPr>
      </w:pPr>
      <w:r>
        <w:rPr>
          <w:position w:val="6"/>
          <w:sz w:val="8"/>
        </w:rPr>
        <w:t>16 </w:t>
      </w:r>
      <w:r>
        <w:rPr>
          <w:sz w:val="13"/>
        </w:rPr>
        <w:t>Yderligere information fra et tidligt udkast til OECD’s Handbook on Measuring the Space Economy 2016 er også indeholdt.</w:t>
      </w:r>
    </w:p>
    <w:p>
      <w:pPr>
        <w:spacing w:after="0"/>
        <w:jc w:val="left"/>
        <w:rPr>
          <w:sz w:val="13"/>
        </w:rPr>
        <w:sectPr>
          <w:pgSz w:w="11910" w:h="16840"/>
          <w:pgMar w:header="0" w:footer="1056" w:top="1580" w:bottom="1240" w:left="960" w:right="0"/>
        </w:sectPr>
      </w:pPr>
    </w:p>
    <w:p>
      <w:pPr>
        <w:pStyle w:val="BodyText"/>
        <w:spacing w:line="264" w:lineRule="auto" w:before="126"/>
        <w:ind w:left="742" w:right="1329"/>
      </w:pPr>
      <w:r>
        <w:rPr/>
        <w:t>er den mest oplagte type, hvor virksomheder i forskellige led af værdikæden sælger varer og tje- nester med forbindelse til rummet.</w:t>
      </w:r>
    </w:p>
    <w:p>
      <w:pPr>
        <w:pStyle w:val="BodyText"/>
        <w:spacing w:before="8"/>
        <w:rPr>
          <w:sz w:val="19"/>
        </w:rPr>
      </w:pPr>
    </w:p>
    <w:p>
      <w:pPr>
        <w:pStyle w:val="BodyText"/>
        <w:spacing w:line="264" w:lineRule="auto"/>
        <w:ind w:left="742" w:right="1161"/>
      </w:pPr>
      <w:r>
        <w:rPr>
          <w:b/>
        </w:rPr>
        <w:t>Universiteter </w:t>
      </w:r>
      <w:r>
        <w:rPr/>
        <w:t>og andre forskningsgrupper er ofte finansieret af to forskellige kilder, henholdsvis indtægter på kommercielle vilkår (eksempelvis gennem salg til ESA eller forskellige typer konsu- lentarbejde i frit udbud) og gennem offentlige bevillinger. Offentlige instanser (blandt andet selv- stændige offentlige virksomheder) er ofte finansieret på samme måde som universiteter. Offentlige instanser, der udvikler egne analyser af rumdata, indgår i denne kategori af enheder i rumøkono- mien.</w:t>
      </w:r>
    </w:p>
    <w:p>
      <w:pPr>
        <w:pStyle w:val="BodyText"/>
        <w:spacing w:before="5"/>
        <w:rPr>
          <w:sz w:val="19"/>
        </w:rPr>
      </w:pPr>
    </w:p>
    <w:p>
      <w:pPr>
        <w:pStyle w:val="BodyText"/>
        <w:spacing w:line="264" w:lineRule="auto"/>
        <w:ind w:left="742" w:right="1205"/>
      </w:pPr>
      <w:r>
        <w:rPr/>
        <w:t>Den tredje gruppe klassificeres bredt som </w:t>
      </w:r>
      <w:r>
        <w:rPr>
          <w:b/>
        </w:rPr>
        <w:t>’brugere’ </w:t>
      </w:r>
      <w:r>
        <w:rPr/>
        <w:t>af rummet (den grønne kasse). Disse virk- somheder og instanser adskiller sig fra industrien og de offentlige instanser, idet de ikke genererer omsætning fra rumrelaterede data og produkter, men i stedet anvender disse tjenester med hen- blik på at reducere omkostninger (tid, input mv.). En landmand, der anvender præcisionslandbrug (baseret på GNSS og evt. jordobservation), er således en del af </w:t>
      </w:r>
      <w:r>
        <w:rPr>
          <w:b/>
        </w:rPr>
        <w:t>rumøkonomien</w:t>
      </w:r>
      <w:r>
        <w:rPr/>
        <w:t>, men ikke </w:t>
      </w:r>
      <w:r>
        <w:rPr>
          <w:b/>
        </w:rPr>
        <w:t>rum- industrien</w:t>
      </w:r>
      <w:r>
        <w:rPr/>
        <w:t>. Brugergruppen indeholder foruden private kommercielle aktører også de offentlige styrelser, som anvender rumdata uden at udvikle egne analyser, borgere, der eksempelvis anven- der GPS i bilen og brugere af rumrelateret teknologi til ikke-rumaktiviteter (vidensafsmitning).</w:t>
      </w:r>
    </w:p>
    <w:p>
      <w:pPr>
        <w:pStyle w:val="BodyText"/>
        <w:spacing w:before="5"/>
        <w:rPr>
          <w:sz w:val="19"/>
        </w:rPr>
      </w:pPr>
    </w:p>
    <w:p>
      <w:pPr>
        <w:pStyle w:val="BodyText"/>
        <w:spacing w:line="264" w:lineRule="auto"/>
        <w:ind w:left="742" w:right="1121"/>
      </w:pPr>
      <w:r>
        <w:rPr/>
        <w:t>Regnskabs- og beskæftigelsestal præsenteres separat for rumindustrien samt ikke-kommercielle organisationer i dette kapitel. I første del af kapitlet rapporteres resultaterne fra virksomhedsana- lysen af rumområdets reelle omfang i Danmark i form af rumrelateret omsætning, beskæftigelse, værditilvækst mv. Herefter kortlægges hhv. forskningsinstitutioner og myndighedernes rumaktivi- tet i forhold til fordeling og koncentration af aktiviteter, samarbejde med andre organisationer samt midler og ressourcer. Kapitlet afsluttes med en redegørelse for aktørernes bevillinger fra det natio- nale og internationale forsknings- og innovationssystem.</w:t>
      </w:r>
    </w:p>
    <w:p>
      <w:pPr>
        <w:pStyle w:val="BodyText"/>
        <w:spacing w:before="12"/>
        <w:rPr>
          <w:sz w:val="20"/>
        </w:rPr>
      </w:pPr>
    </w:p>
    <w:p>
      <w:pPr>
        <w:pStyle w:val="Heading2"/>
        <w:numPr>
          <w:ilvl w:val="1"/>
          <w:numId w:val="5"/>
        </w:numPr>
        <w:tabs>
          <w:tab w:pos="741" w:val="left" w:leader="none"/>
          <w:tab w:pos="743" w:val="left" w:leader="none"/>
        </w:tabs>
        <w:spacing w:line="240" w:lineRule="auto" w:before="0" w:after="0"/>
        <w:ind w:left="742" w:right="0" w:hanging="624"/>
        <w:jc w:val="left"/>
      </w:pPr>
      <w:bookmarkStart w:name="_bookmark15" w:id="16"/>
      <w:bookmarkEnd w:id="16"/>
      <w:r>
        <w:rPr/>
        <w:t>I</w:t>
      </w:r>
      <w:r>
        <w:rPr/>
        <w:t>dentifikation af relevante</w:t>
      </w:r>
      <w:r>
        <w:rPr>
          <w:spacing w:val="-1"/>
        </w:rPr>
        <w:t> </w:t>
      </w:r>
      <w:r>
        <w:rPr/>
        <w:t>aktører</w:t>
      </w:r>
    </w:p>
    <w:p>
      <w:pPr>
        <w:pStyle w:val="BodyText"/>
        <w:spacing w:line="264" w:lineRule="auto" w:before="21"/>
        <w:ind w:left="742" w:right="1151"/>
      </w:pPr>
      <w:r>
        <w:rPr/>
        <w:t>Med fundamentet for analysen på plads er relevante aktører i den danske rumindustri identificeret ved hjælp af en multistrenget tilgang, hvor eksisterende virksomhedslister</w:t>
      </w:r>
      <w:r>
        <w:rPr>
          <w:w w:val="99"/>
          <w:position w:val="6"/>
          <w:sz w:val="8"/>
        </w:rPr>
        <w:t>17</w:t>
      </w:r>
      <w:r>
        <w:rPr/>
        <w:t>, forskellige internetba- serede databaser (herunder Hjælpemiddeldatabasen) samt internetsøgning af rumrelaterede be- greber på danske hjemmesider. På denne baggrund blev en samlet bruttoliste med ca. 250 forskel- lige organisationer tilvejebragt. Efter en nærmere analyse af organisationernes hjemmesider blev ca. 110 filtreret fra, og </w:t>
      </w:r>
      <w:r>
        <w:rPr>
          <w:b/>
        </w:rPr>
        <w:t>144 rumrelaterede virksomheder </w:t>
      </w:r>
      <w:r>
        <w:rPr/>
        <w:t>blev tilbage. Disse præsenteres i figu- ren nedenfor, hvor hver nål på kortet repræsenterer en rumrelateret virksomheds hovedsæde.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728;mso-wrap-distance-left:0;mso-wrap-distance-right:0" from="85.103996pt,14.901611pt" to="229.123996pt,14.901611pt" stroked="true" strokeweight=".48004pt" strokecolor="#000000">
            <v:stroke dashstyle="solid"/>
            <w10:wrap type="topAndBottom"/>
          </v:line>
        </w:pict>
      </w:r>
    </w:p>
    <w:p>
      <w:pPr>
        <w:spacing w:line="319" w:lineRule="auto" w:before="99"/>
        <w:ind w:left="742" w:right="1128" w:firstLine="0"/>
        <w:jc w:val="left"/>
        <w:rPr>
          <w:sz w:val="13"/>
        </w:rPr>
      </w:pPr>
      <w:r>
        <w:rPr>
          <w:position w:val="6"/>
          <w:sz w:val="8"/>
        </w:rPr>
        <w:t>17 </w:t>
      </w:r>
      <w:r>
        <w:rPr>
          <w:sz w:val="13"/>
        </w:rPr>
        <w:t>Styrelsen for Forskning og Innovation bidrog med forskellige lister af rumrelevante virksomheder (se mere information i bilag 1), London Economics’ interne lister af rumvirksomheder i Storbritannien (i denne rapport refererer Storbritannien til Det Forenede Kongerige af Storbritannien og Nordirland (UK)) og i GNSS-industrien blev analyseret, og virksomheder med datterselskaber i Danmark udtrukket.</w:t>
      </w:r>
    </w:p>
    <w:p>
      <w:pPr>
        <w:spacing w:after="0" w:line="319" w:lineRule="auto"/>
        <w:jc w:val="left"/>
        <w:rPr>
          <w:sz w:val="13"/>
        </w:rPr>
        <w:sectPr>
          <w:pgSz w:w="11910" w:h="16840"/>
          <w:pgMar w:header="0" w:footer="1056" w:top="1580" w:bottom="1240" w:left="960" w:right="0"/>
        </w:sectPr>
      </w:pPr>
    </w:p>
    <w:p>
      <w:pPr>
        <w:spacing w:before="101"/>
        <w:ind w:left="742" w:right="0" w:firstLine="0"/>
        <w:jc w:val="left"/>
        <w:rPr>
          <w:b/>
          <w:sz w:val="15"/>
        </w:rPr>
      </w:pPr>
      <w:r>
        <w:rPr/>
        <w:drawing>
          <wp:anchor distT="0" distB="0" distL="0" distR="0" allowOverlap="1" layoutInCell="1" locked="0" behindDoc="0" simplePos="0" relativeHeight="74">
            <wp:simplePos x="0" y="0"/>
            <wp:positionH relativeFrom="page">
              <wp:posOffset>1080135</wp:posOffset>
            </wp:positionH>
            <wp:positionV relativeFrom="paragraph">
              <wp:posOffset>244097</wp:posOffset>
            </wp:positionV>
            <wp:extent cx="3960334" cy="3104388"/>
            <wp:effectExtent l="0" t="0" r="0" b="0"/>
            <wp:wrapTopAndBottom/>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54" cstate="print"/>
                    <a:stretch>
                      <a:fillRect/>
                    </a:stretch>
                  </pic:blipFill>
                  <pic:spPr>
                    <a:xfrm>
                      <a:off x="0" y="0"/>
                      <a:ext cx="3960334" cy="3104388"/>
                    </a:xfrm>
                    <a:prstGeom prst="rect">
                      <a:avLst/>
                    </a:prstGeom>
                  </pic:spPr>
                </pic:pic>
              </a:graphicData>
            </a:graphic>
          </wp:anchor>
        </w:drawing>
      </w:r>
      <w:r>
        <w:rPr>
          <w:b/>
          <w:color w:val="009DDF"/>
          <w:sz w:val="15"/>
        </w:rPr>
        <w:t>Figur 7. Rumindustriens virksomheder</w:t>
      </w:r>
    </w:p>
    <w:p>
      <w:pPr>
        <w:spacing w:before="25"/>
        <w:ind w:left="742" w:right="0" w:firstLine="0"/>
        <w:jc w:val="left"/>
        <w:rPr>
          <w:sz w:val="13"/>
        </w:rPr>
      </w:pPr>
      <w:r>
        <w:rPr>
          <w:sz w:val="13"/>
        </w:rPr>
        <w:t>Kilde: Rambøll og London Economics baseret på virksomhedens registrerede postnummer.</w:t>
      </w:r>
    </w:p>
    <w:p>
      <w:pPr>
        <w:pStyle w:val="BodyText"/>
        <w:spacing w:before="7"/>
        <w:rPr>
          <w:sz w:val="21"/>
        </w:rPr>
      </w:pPr>
    </w:p>
    <w:p>
      <w:pPr>
        <w:pStyle w:val="Heading2"/>
        <w:numPr>
          <w:ilvl w:val="1"/>
          <w:numId w:val="5"/>
        </w:numPr>
        <w:tabs>
          <w:tab w:pos="741" w:val="left" w:leader="none"/>
          <w:tab w:pos="743" w:val="left" w:leader="none"/>
        </w:tabs>
        <w:spacing w:line="240" w:lineRule="auto" w:before="0" w:after="0"/>
        <w:ind w:left="742" w:right="0" w:hanging="624"/>
        <w:jc w:val="left"/>
      </w:pPr>
      <w:bookmarkStart w:name="_bookmark16" w:id="17"/>
      <w:bookmarkEnd w:id="17"/>
      <w:r>
        <w:rPr/>
        <w:t>Met</w:t>
      </w:r>
      <w:r>
        <w:rPr/>
        <w:t>ode</w:t>
      </w:r>
    </w:p>
    <w:p>
      <w:pPr>
        <w:pStyle w:val="BodyText"/>
        <w:spacing w:line="264" w:lineRule="auto" w:before="21"/>
        <w:ind w:left="742" w:right="1218"/>
      </w:pPr>
      <w:r>
        <w:rPr/>
        <w:t>Baseret på årsrapporter og hjemmesider er alle virksomheder blevet analyseret. Analysen har estimeret andelen af virksomhedens omsætning, som har rumrelevans, forstået på den måde at analysen kun omfatter den omsætning, der ville blive mistet, hvis satellitterne blev slukket. Endvi- dere er virksomheder udvalgt således, at det kun er virksomheder, hvor en betydelig del af om- sætningen ville blive mistet, der bidrager til analysen. Med andre ord analyseres generelle detail- handlere med enkelte rumrelevante produkter (eksempelvis paraboler eller satellitnavigationsen- heder) og mange ikke-rumrelevante produkter ikke. Derpå blev omsætningen videre fordelt på aktiviteterne i værdikæden. For alle virksomheder er analysen foretaget i marts 2016.</w:t>
      </w:r>
    </w:p>
    <w:p>
      <w:pPr>
        <w:pStyle w:val="BodyText"/>
        <w:spacing w:before="4"/>
        <w:rPr>
          <w:sz w:val="19"/>
        </w:rPr>
      </w:pPr>
    </w:p>
    <w:p>
      <w:pPr>
        <w:pStyle w:val="BodyText"/>
        <w:spacing w:line="264" w:lineRule="auto"/>
        <w:ind w:left="742" w:right="1181"/>
        <w:rPr>
          <w:sz w:val="8"/>
        </w:rPr>
      </w:pPr>
      <w:r>
        <w:rPr/>
        <w:t>Enkelte virksomheder, som enten har en meget diversificeret aktivitetsportefølje eller stor andel af omsætningen genereret fra rumaktiviteter, er herefter blevet interviewet for at sikre højest mulig præcision i analysen. Aktivitetsandelene er efterfølgende fremsendt til Danmarks Statistik, og myndighedens officielle data danner således grundlag for beregningen af omsætning og beskæfti- gelse. De seneste tilgængelige data fra Danmarks Statistik refererer til 2013, og dette kapitel præ- senterer udelukkende data fra det år.</w:t>
      </w:r>
      <w:r>
        <w:rPr>
          <w:w w:val="99"/>
          <w:position w:val="6"/>
          <w:sz w:val="8"/>
        </w:rPr>
        <w:t>18</w:t>
      </w:r>
    </w:p>
    <w:p>
      <w:pPr>
        <w:pStyle w:val="BodyText"/>
        <w:spacing w:before="5"/>
        <w:rPr>
          <w:sz w:val="19"/>
        </w:rPr>
      </w:pPr>
    </w:p>
    <w:p>
      <w:pPr>
        <w:pStyle w:val="BodyText"/>
        <w:spacing w:line="264" w:lineRule="auto" w:before="1"/>
        <w:ind w:left="742" w:right="1120"/>
      </w:pPr>
      <w:r>
        <w:rPr/>
        <w:t>Bemærk, at de tal, der præsenteres i dette kapitel, er det bedste estimat for rumaktivitet i Dan- mark, men fordi rumandele og regnskabsdata refererer til forskellige år, skal data fortolkes med måde. Ikke desto mindre giver forholdet mellem de forskellige typer rumaktivitet med stor sand- synlighed et akkurat billede, og de samlede tal præsenterer en størrelsesorden, der med rimelighed kan forventes at gælde. Universiteter og offentlige myndigheder er interviewet og beregnet separat</w:t>
      </w:r>
    </w:p>
    <w:p>
      <w:pPr>
        <w:pStyle w:val="BodyText"/>
        <w:spacing w:line="264" w:lineRule="auto"/>
        <w:ind w:left="742" w:right="1180"/>
      </w:pPr>
      <w:r>
        <w:rPr/>
        <w:t>– uden om Danmarks Statistiks data, og her fremkommer derfor ikke den samme forskel i referen- ceår.</w:t>
      </w:r>
    </w:p>
    <w:p>
      <w:pPr>
        <w:pStyle w:val="BodyText"/>
        <w:spacing w:before="7"/>
        <w:rPr>
          <w:sz w:val="22"/>
        </w:rPr>
      </w:pPr>
      <w:r>
        <w:rPr/>
        <w:pict>
          <v:line style="position:absolute;mso-position-horizontal-relative:page;mso-position-vertical-relative:paragraph;z-index:776;mso-wrap-distance-left:0;mso-wrap-distance-right:0" from="85.103996pt,15.932509pt" to="229.123996pt,15.932509pt" stroked="true" strokeweight=".48004pt" strokecolor="#000000">
            <v:stroke dashstyle="solid"/>
            <w10:wrap type="topAndBottom"/>
          </v:line>
        </w:pict>
      </w:r>
    </w:p>
    <w:p>
      <w:pPr>
        <w:spacing w:line="319" w:lineRule="auto" w:before="99"/>
        <w:ind w:left="742" w:right="1210" w:firstLine="0"/>
        <w:jc w:val="left"/>
        <w:rPr>
          <w:sz w:val="13"/>
        </w:rPr>
      </w:pPr>
      <w:r>
        <w:rPr>
          <w:position w:val="6"/>
          <w:sz w:val="8"/>
        </w:rPr>
        <w:t>18 </w:t>
      </w:r>
      <w:r>
        <w:rPr>
          <w:sz w:val="13"/>
        </w:rPr>
        <w:t>Da rumaktivitet er indsamlet i 2016 (for hovedparten af virksomheder) giver det ikke mening at analysere vækst i virksomhederne baseret på disse data (hvis de samme rumandele tilskrives virksomhederne i 2012, vil resultatet kun vise udviklingen i virksomhedernes samlede omsætning, ikke rumomsætning). Data fra Danmarks Statistik er baseret på højst 127 virksomheder (for de variable med flest datapunkter, hvilket betyder, at mindst 14 af virksomhederne er nyere end 2013). Tilsvarende har vi kendskab til virksomheder, der har drejet nøglen om i den samme periode.</w:t>
      </w:r>
    </w:p>
    <w:p>
      <w:pPr>
        <w:spacing w:after="0" w:line="319" w:lineRule="auto"/>
        <w:jc w:val="left"/>
        <w:rPr>
          <w:sz w:val="13"/>
        </w:rPr>
        <w:sectPr>
          <w:pgSz w:w="11910" w:h="16840"/>
          <w:pgMar w:header="0" w:footer="1056" w:top="1580" w:bottom="1240" w:left="960" w:right="0"/>
        </w:sectPr>
      </w:pPr>
    </w:p>
    <w:p>
      <w:pPr>
        <w:pStyle w:val="Heading2"/>
        <w:numPr>
          <w:ilvl w:val="1"/>
          <w:numId w:val="5"/>
        </w:numPr>
        <w:tabs>
          <w:tab w:pos="741" w:val="left" w:leader="none"/>
          <w:tab w:pos="743" w:val="left" w:leader="none"/>
        </w:tabs>
        <w:spacing w:line="240" w:lineRule="auto" w:before="126" w:after="0"/>
        <w:ind w:left="742" w:right="0" w:hanging="624"/>
        <w:jc w:val="left"/>
      </w:pPr>
      <w:bookmarkStart w:name="_bookmark17" w:id="18"/>
      <w:bookmarkEnd w:id="18"/>
      <w:r>
        <w:rPr/>
        <w:t>E</w:t>
      </w:r>
      <w:r>
        <w:rPr/>
        <w:t>rhverv</w:t>
      </w:r>
    </w:p>
    <w:p>
      <w:pPr>
        <w:pStyle w:val="BodyText"/>
        <w:spacing w:before="6"/>
        <w:rPr>
          <w:b/>
          <w:sz w:val="21"/>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Rumomsætning</w:t>
      </w:r>
    </w:p>
    <w:p>
      <w:pPr>
        <w:pStyle w:val="BodyText"/>
        <w:spacing w:line="264" w:lineRule="auto" w:before="22"/>
        <w:ind w:left="742" w:right="1144"/>
      </w:pPr>
      <w:r>
        <w:rPr/>
        <w:t>Omsætningen fra rumaktivitet i de 127 virksomheder med tilgængelige data i 2013 beløb sig til </w:t>
      </w:r>
      <w:r>
        <w:rPr>
          <w:b/>
        </w:rPr>
        <w:t>4,4 milliarder DKK. </w:t>
      </w:r>
      <w:r>
        <w:rPr/>
        <w:t>Det er informativt at studere denne omsætning mere detaljeret ved at betragte de respektive værdier i forskellige dele af værdikæden. Imidlertid har Danmarks Statistik et rap- porteringskrav som gør, at minimum 10 virksomheder skal ligge til grund for de præsenterede data. Af denne grund, er værdikæden blevet konverteret og grupper med få virksomheder slået sammen. Den præcise konvertering er beskrevet i bilag 3. </w:t>
      </w:r>
      <w:hyperlink w:history="true" w:anchor="_bookmark18">
        <w:r>
          <w:rPr/>
          <w:t>Figur 8 </w:t>
        </w:r>
      </w:hyperlink>
      <w:r>
        <w:rPr/>
        <w:t>nedenfor præsenterer omsæt- ning pr. værdikædeelement, som opfylder Danmarks Statistiks</w:t>
      </w:r>
      <w:r>
        <w:rPr>
          <w:spacing w:val="-10"/>
        </w:rPr>
        <w:t> </w:t>
      </w:r>
      <w:r>
        <w:rPr/>
        <w:t>rapporteringskrav.</w:t>
      </w:r>
    </w:p>
    <w:p>
      <w:pPr>
        <w:spacing w:before="141"/>
        <w:ind w:left="742" w:right="0" w:firstLine="0"/>
        <w:jc w:val="left"/>
        <w:rPr>
          <w:b/>
          <w:sz w:val="15"/>
        </w:rPr>
      </w:pPr>
      <w:r>
        <w:rPr/>
        <w:drawing>
          <wp:anchor distT="0" distB="0" distL="0" distR="0" allowOverlap="1" layoutInCell="1" locked="0" behindDoc="0" simplePos="0" relativeHeight="76">
            <wp:simplePos x="0" y="0"/>
            <wp:positionH relativeFrom="page">
              <wp:posOffset>720090</wp:posOffset>
            </wp:positionH>
            <wp:positionV relativeFrom="paragraph">
              <wp:posOffset>269243</wp:posOffset>
            </wp:positionV>
            <wp:extent cx="6606341" cy="2177986"/>
            <wp:effectExtent l="0" t="0" r="0" b="0"/>
            <wp:wrapTopAndBottom/>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55" cstate="print"/>
                    <a:stretch>
                      <a:fillRect/>
                    </a:stretch>
                  </pic:blipFill>
                  <pic:spPr>
                    <a:xfrm>
                      <a:off x="0" y="0"/>
                      <a:ext cx="6606341" cy="2177986"/>
                    </a:xfrm>
                    <a:prstGeom prst="rect">
                      <a:avLst/>
                    </a:prstGeom>
                  </pic:spPr>
                </pic:pic>
              </a:graphicData>
            </a:graphic>
          </wp:anchor>
        </w:drawing>
      </w:r>
      <w:bookmarkStart w:name="_bookmark18" w:id="19"/>
      <w:bookmarkEnd w:id="19"/>
      <w:r>
        <w:rPr/>
      </w:r>
      <w:r>
        <w:rPr>
          <w:b/>
          <w:color w:val="009DDF"/>
          <w:sz w:val="15"/>
        </w:rPr>
        <w:t>Figur 8. Rumomsætning pr. værdikæde</w:t>
      </w:r>
    </w:p>
    <w:p>
      <w:pPr>
        <w:spacing w:before="25"/>
        <w:ind w:left="742" w:right="0" w:firstLine="0"/>
        <w:jc w:val="left"/>
        <w:rPr>
          <w:sz w:val="13"/>
        </w:rPr>
      </w:pPr>
      <w:r>
        <w:rPr>
          <w:sz w:val="13"/>
        </w:rPr>
        <w:t>Kilde: Rambøll og London Economics’ analyse og data fra Danmarks Statistik.</w:t>
      </w:r>
    </w:p>
    <w:p>
      <w:pPr>
        <w:spacing w:line="364" w:lineRule="auto" w:before="82"/>
        <w:ind w:left="742" w:right="1578" w:firstLine="0"/>
        <w:jc w:val="left"/>
        <w:rPr>
          <w:sz w:val="13"/>
        </w:rPr>
      </w:pPr>
      <w:r>
        <w:rPr>
          <w:sz w:val="13"/>
        </w:rPr>
        <w:t>Note: Salg af rumtjenester omfatter operation af jordstationer og satellitter samt salg af båndbredde til satellitinternet, -telefoni og parabol-tv.</w:t>
      </w:r>
    </w:p>
    <w:p>
      <w:pPr>
        <w:pStyle w:val="BodyText"/>
        <w:spacing w:before="10"/>
        <w:rPr>
          <w:sz w:val="14"/>
        </w:rPr>
      </w:pPr>
    </w:p>
    <w:p>
      <w:pPr>
        <w:pStyle w:val="BodyText"/>
        <w:spacing w:line="264" w:lineRule="auto"/>
        <w:ind w:left="742" w:right="1316"/>
      </w:pPr>
      <w:r>
        <w:rPr/>
        <w:t>Danmarks rumomsætning skabes således i høj grad i downstream-elementet, hvor isenkram i rummet kommercialiseres og sælges til brugere. Til sammenligning viser en partiel analyse af Danmarks ESA-kontrakter, at det er upstream-aktiviteterne, der henter flest penge (mere end 80</w:t>
      </w:r>
    </w:p>
    <w:p>
      <w:pPr>
        <w:pStyle w:val="BodyText"/>
        <w:spacing w:line="264" w:lineRule="auto"/>
        <w:ind w:left="742" w:right="1269"/>
      </w:pPr>
      <w:r>
        <w:rPr/>
        <w:t>% af den samlede kontraktværdi i 2013). Salg til ESA udgør omtrent 40 % af upstream-sektorens samlede omsætning.</w:t>
      </w:r>
    </w:p>
    <w:p>
      <w:pPr>
        <w:pStyle w:val="BodyText"/>
        <w:spacing w:before="6"/>
        <w:rPr>
          <w:sz w:val="19"/>
        </w:rPr>
      </w:pPr>
    </w:p>
    <w:p>
      <w:pPr>
        <w:pStyle w:val="BodyText"/>
        <w:spacing w:line="264" w:lineRule="auto"/>
        <w:ind w:left="742" w:right="1512"/>
      </w:pPr>
      <w:r>
        <w:rPr/>
        <w:t>I tabel 2 nedenfor sammenlignes rumomsætningen i hhv. upstream- og downstream-sektoren i den danske rumøkonomi med fordelingen imellem disse i den globale rumøkonomi.</w:t>
      </w:r>
    </w:p>
    <w:p>
      <w:pPr>
        <w:spacing w:before="144"/>
        <w:ind w:left="742" w:right="0" w:firstLine="0"/>
        <w:jc w:val="left"/>
        <w:rPr>
          <w:b/>
          <w:sz w:val="15"/>
        </w:rPr>
      </w:pPr>
      <w:r>
        <w:rPr>
          <w:b/>
          <w:color w:val="009DDF"/>
          <w:sz w:val="15"/>
        </w:rPr>
        <w:t>Tabel 2. Global rumomsætning</w:t>
      </w:r>
    </w:p>
    <w:p>
      <w:pPr>
        <w:pStyle w:val="BodyText"/>
        <w:spacing w:before="5" w:after="1"/>
        <w:rPr>
          <w:b/>
          <w:sz w:val="8"/>
        </w:rPr>
      </w:pPr>
    </w:p>
    <w:tbl>
      <w:tblPr>
        <w:tblW w:w="0" w:type="auto"/>
        <w:jc w:val="left"/>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9"/>
        <w:gridCol w:w="1997"/>
        <w:gridCol w:w="2209"/>
        <w:gridCol w:w="1290"/>
        <w:gridCol w:w="1123"/>
      </w:tblGrid>
      <w:tr>
        <w:trPr>
          <w:trHeight w:val="354" w:hRule="atLeast"/>
        </w:trPr>
        <w:tc>
          <w:tcPr>
            <w:tcW w:w="2499" w:type="dxa"/>
            <w:shd w:val="clear" w:color="auto" w:fill="A7D2F5"/>
          </w:tcPr>
          <w:p>
            <w:pPr>
              <w:pStyle w:val="TableParagraph"/>
              <w:spacing w:before="0"/>
              <w:ind w:left="0"/>
              <w:rPr>
                <w:rFonts w:ascii="Times New Roman"/>
                <w:sz w:val="16"/>
              </w:rPr>
            </w:pPr>
          </w:p>
        </w:tc>
        <w:tc>
          <w:tcPr>
            <w:tcW w:w="1997" w:type="dxa"/>
            <w:shd w:val="clear" w:color="auto" w:fill="A7D2F5"/>
          </w:tcPr>
          <w:p>
            <w:pPr>
              <w:pStyle w:val="TableParagraph"/>
              <w:spacing w:before="67"/>
              <w:ind w:left="0" w:right="211"/>
              <w:jc w:val="right"/>
              <w:rPr>
                <w:b/>
                <w:sz w:val="16"/>
              </w:rPr>
            </w:pPr>
            <w:r>
              <w:rPr>
                <w:b/>
                <w:color w:val="FFFFFF"/>
                <w:sz w:val="16"/>
              </w:rPr>
              <w:t>Værdi 2013, OECD</w:t>
            </w:r>
          </w:p>
        </w:tc>
        <w:tc>
          <w:tcPr>
            <w:tcW w:w="3499" w:type="dxa"/>
            <w:gridSpan w:val="2"/>
            <w:shd w:val="clear" w:color="auto" w:fill="A7D2F5"/>
          </w:tcPr>
          <w:p>
            <w:pPr>
              <w:pStyle w:val="TableParagraph"/>
              <w:spacing w:before="67"/>
              <w:ind w:left="2124"/>
              <w:rPr>
                <w:b/>
                <w:sz w:val="16"/>
              </w:rPr>
            </w:pPr>
            <w:r>
              <w:rPr>
                <w:b/>
                <w:color w:val="FFFFFF"/>
                <w:sz w:val="16"/>
              </w:rPr>
              <w:t>Andel globalt</w:t>
            </w:r>
          </w:p>
        </w:tc>
        <w:tc>
          <w:tcPr>
            <w:tcW w:w="1123" w:type="dxa"/>
            <w:shd w:val="clear" w:color="auto" w:fill="A7D2F5"/>
          </w:tcPr>
          <w:p>
            <w:pPr>
              <w:pStyle w:val="TableParagraph"/>
              <w:spacing w:before="67"/>
              <w:ind w:left="0" w:right="93"/>
              <w:jc w:val="right"/>
              <w:rPr>
                <w:b/>
                <w:sz w:val="16"/>
              </w:rPr>
            </w:pPr>
            <w:r>
              <w:rPr>
                <w:b/>
                <w:color w:val="FFFFFF"/>
                <w:sz w:val="16"/>
              </w:rPr>
              <w:t>Andel DK</w:t>
            </w:r>
          </w:p>
        </w:tc>
      </w:tr>
      <w:tr>
        <w:trPr>
          <w:trHeight w:val="243" w:hRule="atLeast"/>
        </w:trPr>
        <w:tc>
          <w:tcPr>
            <w:tcW w:w="2499" w:type="dxa"/>
            <w:tcBorders>
              <w:top w:val="single" w:sz="8" w:space="0" w:color="A7D2F5"/>
              <w:left w:val="single" w:sz="8" w:space="0" w:color="A7D2F5"/>
              <w:bottom w:val="single" w:sz="8" w:space="0" w:color="A7D2F5"/>
            </w:tcBorders>
          </w:tcPr>
          <w:p>
            <w:pPr>
              <w:pStyle w:val="TableParagraph"/>
              <w:spacing w:line="176" w:lineRule="exact" w:before="47"/>
              <w:rPr>
                <w:b/>
                <w:sz w:val="16"/>
              </w:rPr>
            </w:pPr>
            <w:r>
              <w:rPr>
                <w:b/>
                <w:sz w:val="16"/>
              </w:rPr>
              <w:t>Samlet rumomsætning</w:t>
            </w:r>
          </w:p>
        </w:tc>
        <w:tc>
          <w:tcPr>
            <w:tcW w:w="1997" w:type="dxa"/>
            <w:tcBorders>
              <w:top w:val="single" w:sz="8" w:space="0" w:color="A7D2F5"/>
              <w:bottom w:val="single" w:sz="8" w:space="0" w:color="A7D2F5"/>
            </w:tcBorders>
          </w:tcPr>
          <w:p>
            <w:pPr>
              <w:pStyle w:val="TableParagraph"/>
              <w:spacing w:line="176" w:lineRule="exact" w:before="47"/>
              <w:ind w:left="0" w:right="200"/>
              <w:jc w:val="right"/>
              <w:rPr>
                <w:sz w:val="16"/>
              </w:rPr>
            </w:pPr>
            <w:r>
              <w:rPr>
                <w:sz w:val="16"/>
              </w:rPr>
              <w:t>1.387,6 mia. DKK</w:t>
            </w:r>
          </w:p>
        </w:tc>
        <w:tc>
          <w:tcPr>
            <w:tcW w:w="2209" w:type="dxa"/>
            <w:tcBorders>
              <w:top w:val="single" w:sz="8" w:space="0" w:color="A7D2F5"/>
              <w:bottom w:val="single" w:sz="8" w:space="0" w:color="A7D2F5"/>
            </w:tcBorders>
          </w:tcPr>
          <w:p>
            <w:pPr>
              <w:pStyle w:val="TableParagraph"/>
              <w:spacing w:line="176" w:lineRule="exact" w:before="47"/>
              <w:ind w:left="225"/>
              <w:rPr>
                <w:sz w:val="16"/>
              </w:rPr>
            </w:pPr>
            <w:r>
              <w:rPr>
                <w:sz w:val="16"/>
              </w:rPr>
              <w:t>(256.242 mio. $)</w:t>
            </w:r>
          </w:p>
        </w:tc>
        <w:tc>
          <w:tcPr>
            <w:tcW w:w="1290" w:type="dxa"/>
            <w:tcBorders>
              <w:top w:val="single" w:sz="8" w:space="0" w:color="A7D2F5"/>
              <w:bottom w:val="single" w:sz="8" w:space="0" w:color="A7D2F5"/>
            </w:tcBorders>
          </w:tcPr>
          <w:p>
            <w:pPr>
              <w:pStyle w:val="TableParagraph"/>
              <w:spacing w:before="0"/>
              <w:ind w:left="0"/>
              <w:rPr>
                <w:rFonts w:ascii="Times New Roman"/>
                <w:sz w:val="16"/>
              </w:rPr>
            </w:pPr>
          </w:p>
        </w:tc>
        <w:tc>
          <w:tcPr>
            <w:tcW w:w="1123" w:type="dxa"/>
            <w:tcBorders>
              <w:top w:val="single" w:sz="8" w:space="0" w:color="A7D2F5"/>
              <w:bottom w:val="single" w:sz="8" w:space="0" w:color="A7D2F5"/>
              <w:right w:val="single" w:sz="8" w:space="0" w:color="A7D2F5"/>
            </w:tcBorders>
          </w:tcPr>
          <w:p>
            <w:pPr>
              <w:pStyle w:val="TableParagraph"/>
              <w:spacing w:before="0"/>
              <w:ind w:left="0"/>
              <w:rPr>
                <w:rFonts w:ascii="Times New Roman"/>
                <w:sz w:val="16"/>
              </w:rPr>
            </w:pPr>
          </w:p>
        </w:tc>
      </w:tr>
      <w:tr>
        <w:trPr>
          <w:trHeight w:val="239" w:hRule="atLeast"/>
        </w:trPr>
        <w:tc>
          <w:tcPr>
            <w:tcW w:w="2499" w:type="dxa"/>
            <w:tcBorders>
              <w:top w:val="single" w:sz="8" w:space="0" w:color="A7D2F5"/>
              <w:left w:val="single" w:sz="8" w:space="0" w:color="A7D2F5"/>
              <w:bottom w:val="single" w:sz="8" w:space="0" w:color="A7D2F5"/>
            </w:tcBorders>
          </w:tcPr>
          <w:p>
            <w:pPr>
              <w:pStyle w:val="TableParagraph"/>
              <w:spacing w:line="172" w:lineRule="exact" w:before="47"/>
              <w:rPr>
                <w:b/>
                <w:sz w:val="16"/>
              </w:rPr>
            </w:pPr>
            <w:r>
              <w:rPr>
                <w:b/>
                <w:sz w:val="16"/>
              </w:rPr>
              <w:t>Upstream</w:t>
            </w:r>
          </w:p>
        </w:tc>
        <w:tc>
          <w:tcPr>
            <w:tcW w:w="1997" w:type="dxa"/>
            <w:tcBorders>
              <w:top w:val="single" w:sz="8" w:space="0" w:color="A7D2F5"/>
              <w:bottom w:val="single" w:sz="8" w:space="0" w:color="A7D2F5"/>
            </w:tcBorders>
          </w:tcPr>
          <w:p>
            <w:pPr>
              <w:pStyle w:val="TableParagraph"/>
              <w:spacing w:line="172" w:lineRule="exact" w:before="47"/>
              <w:ind w:left="0" w:right="200"/>
              <w:jc w:val="right"/>
              <w:rPr>
                <w:sz w:val="16"/>
              </w:rPr>
            </w:pPr>
            <w:r>
              <w:rPr>
                <w:sz w:val="16"/>
              </w:rPr>
              <w:t>460,5 mia. DKK</w:t>
            </w:r>
          </w:p>
        </w:tc>
        <w:tc>
          <w:tcPr>
            <w:tcW w:w="2209" w:type="dxa"/>
            <w:tcBorders>
              <w:top w:val="single" w:sz="8" w:space="0" w:color="A7D2F5"/>
              <w:bottom w:val="single" w:sz="8" w:space="0" w:color="A7D2F5"/>
            </w:tcBorders>
          </w:tcPr>
          <w:p>
            <w:pPr>
              <w:pStyle w:val="TableParagraph"/>
              <w:spacing w:line="172" w:lineRule="exact" w:before="47"/>
              <w:ind w:left="326"/>
              <w:rPr>
                <w:sz w:val="16"/>
              </w:rPr>
            </w:pPr>
            <w:r>
              <w:rPr>
                <w:sz w:val="16"/>
              </w:rPr>
              <w:t>(85.042 mio. $)</w:t>
            </w:r>
          </w:p>
        </w:tc>
        <w:tc>
          <w:tcPr>
            <w:tcW w:w="1290" w:type="dxa"/>
            <w:tcBorders>
              <w:top w:val="single" w:sz="8" w:space="0" w:color="A7D2F5"/>
              <w:bottom w:val="single" w:sz="8" w:space="0" w:color="A7D2F5"/>
            </w:tcBorders>
          </w:tcPr>
          <w:p>
            <w:pPr>
              <w:pStyle w:val="TableParagraph"/>
              <w:spacing w:line="172" w:lineRule="exact" w:before="47"/>
              <w:ind w:left="0" w:right="181"/>
              <w:jc w:val="right"/>
              <w:rPr>
                <w:b/>
                <w:sz w:val="16"/>
              </w:rPr>
            </w:pPr>
            <w:r>
              <w:rPr>
                <w:b/>
                <w:sz w:val="16"/>
              </w:rPr>
              <w:t>33 %</w:t>
            </w:r>
          </w:p>
        </w:tc>
        <w:tc>
          <w:tcPr>
            <w:tcW w:w="1123" w:type="dxa"/>
            <w:tcBorders>
              <w:top w:val="single" w:sz="8" w:space="0" w:color="A7D2F5"/>
              <w:bottom w:val="single" w:sz="8" w:space="0" w:color="A7D2F5"/>
              <w:right w:val="single" w:sz="8" w:space="0" w:color="A7D2F5"/>
            </w:tcBorders>
          </w:tcPr>
          <w:p>
            <w:pPr>
              <w:pStyle w:val="TableParagraph"/>
              <w:spacing w:line="172" w:lineRule="exact" w:before="47"/>
              <w:ind w:left="0" w:right="82"/>
              <w:jc w:val="right"/>
              <w:rPr>
                <w:b/>
                <w:sz w:val="16"/>
              </w:rPr>
            </w:pPr>
            <w:r>
              <w:rPr>
                <w:b/>
                <w:sz w:val="16"/>
              </w:rPr>
              <w:t>7 %</w:t>
            </w:r>
          </w:p>
        </w:tc>
      </w:tr>
      <w:tr>
        <w:trPr>
          <w:trHeight w:val="241" w:hRule="atLeast"/>
        </w:trPr>
        <w:tc>
          <w:tcPr>
            <w:tcW w:w="2499" w:type="dxa"/>
            <w:tcBorders>
              <w:top w:val="single" w:sz="8" w:space="0" w:color="A7D2F5"/>
              <w:left w:val="single" w:sz="8" w:space="0" w:color="A7D2F5"/>
              <w:bottom w:val="single" w:sz="8" w:space="0" w:color="A7D2F5"/>
            </w:tcBorders>
          </w:tcPr>
          <w:p>
            <w:pPr>
              <w:pStyle w:val="TableParagraph"/>
              <w:spacing w:line="172" w:lineRule="exact" w:before="50"/>
              <w:rPr>
                <w:b/>
                <w:sz w:val="16"/>
              </w:rPr>
            </w:pPr>
            <w:r>
              <w:rPr>
                <w:b/>
                <w:sz w:val="16"/>
              </w:rPr>
              <w:t>Downstream</w:t>
            </w:r>
          </w:p>
        </w:tc>
        <w:tc>
          <w:tcPr>
            <w:tcW w:w="1997" w:type="dxa"/>
            <w:tcBorders>
              <w:top w:val="single" w:sz="8" w:space="0" w:color="A7D2F5"/>
              <w:bottom w:val="single" w:sz="8" w:space="0" w:color="A7D2F5"/>
            </w:tcBorders>
          </w:tcPr>
          <w:p>
            <w:pPr>
              <w:pStyle w:val="TableParagraph"/>
              <w:spacing w:line="172" w:lineRule="exact" w:before="50"/>
              <w:ind w:left="0" w:right="200"/>
              <w:jc w:val="right"/>
              <w:rPr>
                <w:sz w:val="16"/>
              </w:rPr>
            </w:pPr>
            <w:r>
              <w:rPr>
                <w:sz w:val="16"/>
              </w:rPr>
              <w:t>880,7 mia. DKK</w:t>
            </w:r>
          </w:p>
        </w:tc>
        <w:tc>
          <w:tcPr>
            <w:tcW w:w="2209" w:type="dxa"/>
            <w:tcBorders>
              <w:top w:val="single" w:sz="8" w:space="0" w:color="A7D2F5"/>
              <w:bottom w:val="single" w:sz="8" w:space="0" w:color="A7D2F5"/>
            </w:tcBorders>
          </w:tcPr>
          <w:p>
            <w:pPr>
              <w:pStyle w:val="TableParagraph"/>
              <w:spacing w:line="172" w:lineRule="exact" w:before="50"/>
              <w:ind w:left="223"/>
              <w:rPr>
                <w:sz w:val="16"/>
              </w:rPr>
            </w:pPr>
            <w:r>
              <w:rPr>
                <w:sz w:val="16"/>
              </w:rPr>
              <w:t>(162.932 mio. $)</w:t>
            </w:r>
          </w:p>
        </w:tc>
        <w:tc>
          <w:tcPr>
            <w:tcW w:w="1290" w:type="dxa"/>
            <w:tcBorders>
              <w:top w:val="single" w:sz="8" w:space="0" w:color="A7D2F5"/>
              <w:bottom w:val="single" w:sz="8" w:space="0" w:color="A7D2F5"/>
            </w:tcBorders>
          </w:tcPr>
          <w:p>
            <w:pPr>
              <w:pStyle w:val="TableParagraph"/>
              <w:spacing w:line="172" w:lineRule="exact" w:before="50"/>
              <w:ind w:left="0" w:right="181"/>
              <w:jc w:val="right"/>
              <w:rPr>
                <w:b/>
                <w:sz w:val="16"/>
              </w:rPr>
            </w:pPr>
            <w:r>
              <w:rPr>
                <w:b/>
                <w:sz w:val="16"/>
              </w:rPr>
              <w:t>67 %</w:t>
            </w:r>
          </w:p>
        </w:tc>
        <w:tc>
          <w:tcPr>
            <w:tcW w:w="1123" w:type="dxa"/>
            <w:tcBorders>
              <w:top w:val="single" w:sz="8" w:space="0" w:color="A7D2F5"/>
              <w:bottom w:val="single" w:sz="8" w:space="0" w:color="A7D2F5"/>
              <w:right w:val="single" w:sz="8" w:space="0" w:color="A7D2F5"/>
            </w:tcBorders>
          </w:tcPr>
          <w:p>
            <w:pPr>
              <w:pStyle w:val="TableParagraph"/>
              <w:spacing w:line="172" w:lineRule="exact" w:before="50"/>
              <w:ind w:left="0" w:right="82"/>
              <w:jc w:val="right"/>
              <w:rPr>
                <w:b/>
                <w:sz w:val="16"/>
              </w:rPr>
            </w:pPr>
            <w:r>
              <w:rPr>
                <w:b/>
                <w:sz w:val="16"/>
              </w:rPr>
              <w:t>93 %</w:t>
            </w:r>
          </w:p>
        </w:tc>
      </w:tr>
    </w:tbl>
    <w:p>
      <w:pPr>
        <w:spacing w:before="83"/>
        <w:ind w:left="742" w:right="0" w:firstLine="0"/>
        <w:jc w:val="left"/>
        <w:rPr>
          <w:sz w:val="13"/>
        </w:rPr>
      </w:pPr>
      <w:r>
        <w:rPr>
          <w:sz w:val="13"/>
        </w:rPr>
        <w:t>Kilde: OECD (2014) The Space Economy at a Glance.</w:t>
      </w:r>
    </w:p>
    <w:p>
      <w:pPr>
        <w:spacing w:before="82"/>
        <w:ind w:left="742" w:right="0" w:firstLine="0"/>
        <w:jc w:val="left"/>
        <w:rPr>
          <w:sz w:val="13"/>
        </w:rPr>
      </w:pPr>
      <w:r>
        <w:rPr>
          <w:sz w:val="13"/>
        </w:rPr>
        <w:t>Note: Valutakonvertering baseret på xe.com for 31. december 2013.</w:t>
      </w:r>
    </w:p>
    <w:p>
      <w:pPr>
        <w:pStyle w:val="BodyText"/>
        <w:spacing w:before="7"/>
        <w:rPr>
          <w:sz w:val="21"/>
        </w:rPr>
      </w:pPr>
    </w:p>
    <w:p>
      <w:pPr>
        <w:pStyle w:val="BodyText"/>
        <w:ind w:left="742"/>
      </w:pPr>
      <w:r>
        <w:rPr/>
        <w:t>Af tabellen ses, at upstream-sektorens andel af den samlede rumomsætning globalt set udgør 33</w:t>
      </w:r>
    </w:p>
    <w:p>
      <w:pPr>
        <w:pStyle w:val="BodyText"/>
        <w:spacing w:line="264" w:lineRule="auto" w:before="21"/>
        <w:ind w:left="742" w:right="1238"/>
      </w:pPr>
      <w:r>
        <w:rPr/>
        <w:t>%. Danmarks upstream-sektor udgør således, med 7 % af den danske rumomsætning, en betrag- teligt lavere andel af rumomsætningen end det globale gennemsnit. Efter vedtagelsen af Lov om</w:t>
      </w:r>
    </w:p>
    <w:p>
      <w:pPr>
        <w:spacing w:after="0" w:line="264" w:lineRule="auto"/>
        <w:sectPr>
          <w:pgSz w:w="11910" w:h="16840"/>
          <w:pgMar w:header="0" w:footer="1056" w:top="1580" w:bottom="1240" w:left="960" w:right="0"/>
        </w:sectPr>
      </w:pPr>
    </w:p>
    <w:p>
      <w:pPr>
        <w:pStyle w:val="BodyText"/>
        <w:spacing w:line="264" w:lineRule="auto" w:before="126"/>
        <w:ind w:left="742" w:right="1174"/>
      </w:pPr>
      <w:r>
        <w:rPr>
          <w:spacing w:val="-1"/>
        </w:rPr>
        <w:t>Ak</w:t>
      </w:r>
      <w:r>
        <w:rPr/>
        <w:t>ti</w:t>
      </w:r>
      <w:r>
        <w:rPr>
          <w:spacing w:val="-1"/>
        </w:rPr>
        <w:t>v</w:t>
      </w:r>
      <w:r>
        <w:rPr/>
        <w:t>ite</w:t>
      </w:r>
      <w:r>
        <w:rPr>
          <w:spacing w:val="-2"/>
        </w:rPr>
        <w:t>t</w:t>
      </w:r>
      <w:r>
        <w:rPr/>
        <w:t>er</w:t>
      </w:r>
      <w:r>
        <w:rPr>
          <w:spacing w:val="-1"/>
        </w:rPr>
        <w:t> </w:t>
      </w:r>
      <w:r>
        <w:rPr/>
        <w:t>i det</w:t>
      </w:r>
      <w:r>
        <w:rPr>
          <w:spacing w:val="1"/>
        </w:rPr>
        <w:t> </w:t>
      </w:r>
      <w:r>
        <w:rPr>
          <w:spacing w:val="-1"/>
        </w:rPr>
        <w:t>y</w:t>
      </w:r>
      <w:r>
        <w:rPr/>
        <w:t>dre</w:t>
      </w:r>
      <w:r>
        <w:rPr>
          <w:spacing w:val="-1"/>
        </w:rPr>
        <w:t> r</w:t>
      </w:r>
      <w:r>
        <w:rPr>
          <w:spacing w:val="-2"/>
        </w:rPr>
        <w:t>u</w:t>
      </w:r>
      <w:r>
        <w:rPr/>
        <w:t>m</w:t>
      </w:r>
      <w:r>
        <w:rPr>
          <w:w w:val="99"/>
          <w:position w:val="6"/>
          <w:sz w:val="8"/>
        </w:rPr>
        <w:t>19</w:t>
      </w:r>
      <w:r>
        <w:rPr>
          <w:position w:val="6"/>
          <w:sz w:val="8"/>
        </w:rPr>
        <w:t> </w:t>
      </w:r>
      <w:r>
        <w:rPr>
          <w:spacing w:val="6"/>
          <w:position w:val="6"/>
          <w:sz w:val="8"/>
        </w:rPr>
        <w:t> </w:t>
      </w:r>
      <w:r>
        <w:rPr/>
        <w:t>er</w:t>
      </w:r>
      <w:r>
        <w:rPr>
          <w:spacing w:val="-1"/>
        </w:rPr>
        <w:t> </w:t>
      </w:r>
      <w:r>
        <w:rPr/>
        <w:t>det tæ</w:t>
      </w:r>
      <w:r>
        <w:rPr>
          <w:spacing w:val="-2"/>
        </w:rPr>
        <w:t>n</w:t>
      </w:r>
      <w:r>
        <w:rPr>
          <w:spacing w:val="-1"/>
        </w:rPr>
        <w:t>k</w:t>
      </w:r>
      <w:r>
        <w:rPr/>
        <w:t>e</w:t>
      </w:r>
      <w:r>
        <w:rPr>
          <w:spacing w:val="-2"/>
        </w:rPr>
        <w:t>l</w:t>
      </w:r>
      <w:r>
        <w:rPr/>
        <w:t>igt,</w:t>
      </w:r>
      <w:r>
        <w:rPr>
          <w:spacing w:val="-2"/>
        </w:rPr>
        <w:t> </w:t>
      </w:r>
      <w:r>
        <w:rPr/>
        <w:t>at</w:t>
      </w:r>
      <w:r>
        <w:rPr>
          <w:spacing w:val="-1"/>
        </w:rPr>
        <w:t> </w:t>
      </w:r>
      <w:r>
        <w:rPr/>
        <w:t>d</w:t>
      </w:r>
      <w:r>
        <w:rPr>
          <w:spacing w:val="-2"/>
        </w:rPr>
        <w:t>e</w:t>
      </w:r>
      <w:r>
        <w:rPr/>
        <w:t>t d</w:t>
      </w:r>
      <w:r>
        <w:rPr>
          <w:spacing w:val="-3"/>
        </w:rPr>
        <w:t>a</w:t>
      </w:r>
      <w:r>
        <w:rPr>
          <w:spacing w:val="-2"/>
        </w:rPr>
        <w:t>n</w:t>
      </w:r>
      <w:r>
        <w:rPr/>
        <w:t>s</w:t>
      </w:r>
      <w:r>
        <w:rPr>
          <w:spacing w:val="-2"/>
        </w:rPr>
        <w:t>k</w:t>
      </w:r>
      <w:r>
        <w:rPr/>
        <w:t>e</w:t>
      </w:r>
      <w:r>
        <w:rPr>
          <w:spacing w:val="-1"/>
        </w:rPr>
        <w:t> </w:t>
      </w:r>
      <w:r>
        <w:rPr>
          <w:spacing w:val="-2"/>
        </w:rPr>
        <w:t>u</w:t>
      </w:r>
      <w:r>
        <w:rPr/>
        <w:t>pstrea</w:t>
      </w:r>
      <w:r>
        <w:rPr>
          <w:spacing w:val="3"/>
        </w:rPr>
        <w:t>m</w:t>
      </w:r>
      <w:r>
        <w:rPr>
          <w:spacing w:val="-1"/>
        </w:rPr>
        <w:t>-</w:t>
      </w:r>
      <w:r>
        <w:rPr/>
        <w:t>se</w:t>
      </w:r>
      <w:r>
        <w:rPr>
          <w:spacing w:val="1"/>
        </w:rPr>
        <w:t>g</w:t>
      </w:r>
      <w:r>
        <w:rPr/>
        <w:t>me</w:t>
      </w:r>
      <w:r>
        <w:rPr>
          <w:spacing w:val="-2"/>
        </w:rPr>
        <w:t>n</w:t>
      </w:r>
      <w:r>
        <w:rPr/>
        <w:t>t </w:t>
      </w:r>
      <w:r>
        <w:rPr>
          <w:spacing w:val="-1"/>
        </w:rPr>
        <w:t>v</w:t>
      </w:r>
      <w:r>
        <w:rPr/>
        <w:t>il </w:t>
      </w:r>
      <w:r>
        <w:rPr>
          <w:spacing w:val="-1"/>
        </w:rPr>
        <w:t>v</w:t>
      </w:r>
      <w:r>
        <w:rPr/>
        <w:t>o</w:t>
      </w:r>
      <w:r>
        <w:rPr>
          <w:spacing w:val="-1"/>
        </w:rPr>
        <w:t>k</w:t>
      </w:r>
      <w:r>
        <w:rPr/>
        <w:t>s</w:t>
      </w:r>
      <w:r>
        <w:rPr>
          <w:spacing w:val="1"/>
        </w:rPr>
        <w:t>e</w:t>
      </w:r>
      <w:r>
        <w:rPr/>
        <w:t>,</w:t>
      </w:r>
      <w:r>
        <w:rPr>
          <w:spacing w:val="-2"/>
        </w:rPr>
        <w:t> </w:t>
      </w:r>
      <w:r>
        <w:rPr>
          <w:spacing w:val="-1"/>
        </w:rPr>
        <w:t>f</w:t>
      </w:r>
      <w:r>
        <w:rPr/>
        <w:t>ordi da</w:t>
      </w:r>
      <w:r>
        <w:rPr>
          <w:spacing w:val="-2"/>
        </w:rPr>
        <w:t>n- </w:t>
      </w:r>
      <w:r>
        <w:rPr/>
        <w:t>ske såvel som udenlandske virksomheder får mulighed for at registrere og styre satellitter i Dan- mark. I så fald vil det være nærliggende at købe satellitter og komponenter fra den lokale industri, som det alt andet lige vil være nemmere at forhandle og kommunikere med undervejs i projektet. Danmarks upstream-segment er imidlertid hæmmet af, at Forsvaret som organisation historisk ikke har haft efterspørgsel efter satellitter tilsvarende eksempelvis forsvarene i Storbritannien,</w:t>
      </w:r>
      <w:r>
        <w:rPr>
          <w:spacing w:val="-42"/>
        </w:rPr>
        <w:t> </w:t>
      </w:r>
      <w:r>
        <w:rPr/>
        <w:t>USA m.fl. med det resultat, at de sikre offentlige kontrakter, der tilfalder konkurrenter i andre lande, ikke på samme måde har været tilgængelige i</w:t>
      </w:r>
      <w:r>
        <w:rPr>
          <w:spacing w:val="-5"/>
        </w:rPr>
        <w:t> </w:t>
      </w:r>
      <w:r>
        <w:rPr/>
        <w:t>Danmark.</w:t>
      </w:r>
    </w:p>
    <w:p>
      <w:pPr>
        <w:pStyle w:val="BodyText"/>
        <w:spacing w:before="4"/>
        <w:rPr>
          <w:sz w:val="19"/>
        </w:rPr>
      </w:pPr>
    </w:p>
    <w:p>
      <w:pPr>
        <w:pStyle w:val="BodyText"/>
        <w:spacing w:line="264" w:lineRule="auto"/>
        <w:ind w:left="742" w:right="1371"/>
      </w:pPr>
      <w:r>
        <w:rPr/>
        <w:t>Selv med den mest snævre definition af downstream, som man kan forestille sig, hvor kun frem- stilling af enheder, der bruges på jorden til at dekodere signaler fra satellitter (GNSS og satellit- kommunikation), ville downstream stadig være det klart største værdikædeelement – fem gange større end upstream.</w:t>
      </w:r>
    </w:p>
    <w:p>
      <w:pPr>
        <w:pStyle w:val="BodyText"/>
        <w:spacing w:before="7"/>
        <w:rPr>
          <w:sz w:val="19"/>
        </w:rPr>
      </w:pPr>
    </w:p>
    <w:p>
      <w:pPr>
        <w:pStyle w:val="BodyText"/>
        <w:spacing w:line="264" w:lineRule="auto"/>
        <w:ind w:left="742" w:right="1200"/>
      </w:pPr>
      <w:r>
        <w:rPr/>
        <w:t>Grundet rumøkonomiens definition, samt at den ikke figurer selvstændigt i officielle statistikker, er der betydelige udfordringer ved sammenligninger på tværs af lande. Rapporten </w:t>
      </w:r>
      <w:r>
        <w:rPr>
          <w:i/>
        </w:rPr>
        <w:t>The Space Econo- </w:t>
      </w:r>
      <w:r>
        <w:rPr>
          <w:i/>
        </w:rPr>
        <w:t>my at a Glance </w:t>
      </w:r>
      <w:r>
        <w:rPr/>
        <w:t>er den bedste kilde til sammenligninger, men også denne publikation er begrænset af tilgængelige data. </w:t>
      </w:r>
      <w:hyperlink w:history="true" w:anchor="_bookmark19">
        <w:r>
          <w:rPr/>
          <w:t>Tabel 3 </w:t>
        </w:r>
      </w:hyperlink>
      <w:r>
        <w:rPr/>
        <w:t>sammenligner de danske omsætningstal med Storbritannien, Norge, Schweiz og Østrig baseret på de bedste tilgængelige data. Storbritanniens tal følger den samme definition som denne rapport.</w:t>
      </w:r>
    </w:p>
    <w:p>
      <w:pPr>
        <w:spacing w:before="142"/>
        <w:ind w:left="742" w:right="0" w:firstLine="0"/>
        <w:jc w:val="left"/>
        <w:rPr>
          <w:b/>
          <w:sz w:val="15"/>
        </w:rPr>
      </w:pPr>
      <w:bookmarkStart w:name="_bookmark19" w:id="20"/>
      <w:bookmarkEnd w:id="20"/>
      <w:r>
        <w:rPr/>
      </w:r>
      <w:r>
        <w:rPr>
          <w:b/>
          <w:color w:val="009DDF"/>
          <w:sz w:val="15"/>
        </w:rPr>
        <w:t>Tabel 3. Danmark sammenlignet med andre lande (2013, hvis ikke andet er angivet), mio. DKK</w:t>
      </w:r>
    </w:p>
    <w:p>
      <w:pPr>
        <w:pStyle w:val="BodyText"/>
        <w:spacing w:before="1"/>
        <w:rPr>
          <w:b/>
          <w:sz w:val="9"/>
        </w:rPr>
      </w:pPr>
    </w:p>
    <w:tbl>
      <w:tblPr>
        <w:tblW w:w="0" w:type="auto"/>
        <w:jc w:val="left"/>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963"/>
        <w:gridCol w:w="1599"/>
        <w:gridCol w:w="1734"/>
        <w:gridCol w:w="1217"/>
        <w:gridCol w:w="1486"/>
      </w:tblGrid>
      <w:tr>
        <w:trPr>
          <w:trHeight w:val="251" w:hRule="atLeast"/>
        </w:trPr>
        <w:tc>
          <w:tcPr>
            <w:tcW w:w="1892" w:type="dxa"/>
            <w:shd w:val="clear" w:color="auto" w:fill="A7D2F5"/>
          </w:tcPr>
          <w:p>
            <w:pPr>
              <w:pStyle w:val="TableParagraph"/>
              <w:spacing w:before="0"/>
              <w:ind w:left="0"/>
              <w:rPr>
                <w:rFonts w:ascii="Times New Roman"/>
                <w:sz w:val="16"/>
              </w:rPr>
            </w:pPr>
          </w:p>
        </w:tc>
        <w:tc>
          <w:tcPr>
            <w:tcW w:w="963" w:type="dxa"/>
            <w:shd w:val="clear" w:color="auto" w:fill="A7D2F5"/>
          </w:tcPr>
          <w:p>
            <w:pPr>
              <w:pStyle w:val="TableParagraph"/>
              <w:spacing w:line="172" w:lineRule="exact" w:before="60"/>
              <w:ind w:left="0" w:right="114"/>
              <w:jc w:val="right"/>
              <w:rPr>
                <w:b/>
                <w:sz w:val="16"/>
              </w:rPr>
            </w:pPr>
            <w:r>
              <w:rPr>
                <w:b/>
                <w:color w:val="FFFFFF"/>
                <w:sz w:val="16"/>
              </w:rPr>
              <w:t>Danmark</w:t>
            </w:r>
          </w:p>
        </w:tc>
        <w:tc>
          <w:tcPr>
            <w:tcW w:w="1599" w:type="dxa"/>
            <w:shd w:val="clear" w:color="auto" w:fill="A7D2F5"/>
          </w:tcPr>
          <w:p>
            <w:pPr>
              <w:pStyle w:val="TableParagraph"/>
              <w:spacing w:line="172" w:lineRule="exact" w:before="60"/>
              <w:ind w:left="0" w:right="154"/>
              <w:jc w:val="right"/>
              <w:rPr>
                <w:b/>
                <w:sz w:val="16"/>
              </w:rPr>
            </w:pPr>
            <w:r>
              <w:rPr>
                <w:b/>
                <w:color w:val="FFFFFF"/>
                <w:sz w:val="16"/>
              </w:rPr>
              <w:t>Storbritannien</w:t>
            </w:r>
          </w:p>
        </w:tc>
        <w:tc>
          <w:tcPr>
            <w:tcW w:w="1734" w:type="dxa"/>
            <w:shd w:val="clear" w:color="auto" w:fill="A7D2F5"/>
          </w:tcPr>
          <w:p>
            <w:pPr>
              <w:pStyle w:val="TableParagraph"/>
              <w:spacing w:line="172" w:lineRule="exact" w:before="60"/>
              <w:ind w:left="0" w:right="326"/>
              <w:jc w:val="right"/>
              <w:rPr>
                <w:b/>
                <w:sz w:val="16"/>
              </w:rPr>
            </w:pPr>
            <w:r>
              <w:rPr>
                <w:b/>
                <w:color w:val="FFFFFF"/>
                <w:sz w:val="16"/>
              </w:rPr>
              <w:t>Norge (2012)</w:t>
            </w:r>
          </w:p>
        </w:tc>
        <w:tc>
          <w:tcPr>
            <w:tcW w:w="1217" w:type="dxa"/>
            <w:shd w:val="clear" w:color="auto" w:fill="A7D2F5"/>
          </w:tcPr>
          <w:p>
            <w:pPr>
              <w:pStyle w:val="TableParagraph"/>
              <w:spacing w:line="172" w:lineRule="exact" w:before="60"/>
              <w:ind w:left="0" w:right="127"/>
              <w:jc w:val="right"/>
              <w:rPr>
                <w:b/>
                <w:sz w:val="16"/>
              </w:rPr>
            </w:pPr>
            <w:r>
              <w:rPr>
                <w:b/>
                <w:color w:val="FFFFFF"/>
                <w:sz w:val="16"/>
              </w:rPr>
              <w:t>Schweiz</w:t>
            </w:r>
          </w:p>
        </w:tc>
        <w:tc>
          <w:tcPr>
            <w:tcW w:w="1486" w:type="dxa"/>
            <w:shd w:val="clear" w:color="auto" w:fill="A7D2F5"/>
          </w:tcPr>
          <w:p>
            <w:pPr>
              <w:pStyle w:val="TableParagraph"/>
              <w:spacing w:line="172" w:lineRule="exact" w:before="60"/>
              <w:ind w:left="0" w:right="93"/>
              <w:jc w:val="right"/>
              <w:rPr>
                <w:b/>
                <w:sz w:val="16"/>
              </w:rPr>
            </w:pPr>
            <w:r>
              <w:rPr>
                <w:b/>
                <w:color w:val="FFFFFF"/>
                <w:sz w:val="16"/>
              </w:rPr>
              <w:t>Østrig (2011)</w:t>
            </w:r>
          </w:p>
        </w:tc>
      </w:tr>
      <w:tr>
        <w:trPr>
          <w:trHeight w:val="239" w:hRule="atLeast"/>
        </w:trPr>
        <w:tc>
          <w:tcPr>
            <w:tcW w:w="1892" w:type="dxa"/>
            <w:tcBorders>
              <w:top w:val="single" w:sz="8" w:space="0" w:color="A7D2F5"/>
              <w:left w:val="single" w:sz="8" w:space="0" w:color="A7D2F5"/>
              <w:bottom w:val="single" w:sz="8" w:space="0" w:color="A7D2F5"/>
            </w:tcBorders>
          </w:tcPr>
          <w:p>
            <w:pPr>
              <w:pStyle w:val="TableParagraph"/>
              <w:spacing w:line="172" w:lineRule="exact" w:before="47"/>
              <w:rPr>
                <w:b/>
                <w:sz w:val="16"/>
              </w:rPr>
            </w:pPr>
            <w:r>
              <w:rPr>
                <w:b/>
                <w:sz w:val="16"/>
              </w:rPr>
              <w:t>Rumomsætning</w:t>
            </w:r>
          </w:p>
        </w:tc>
        <w:tc>
          <w:tcPr>
            <w:tcW w:w="963" w:type="dxa"/>
            <w:tcBorders>
              <w:top w:val="single" w:sz="8" w:space="0" w:color="A7D2F5"/>
              <w:bottom w:val="single" w:sz="8" w:space="0" w:color="A7D2F5"/>
            </w:tcBorders>
          </w:tcPr>
          <w:p>
            <w:pPr>
              <w:pStyle w:val="TableParagraph"/>
              <w:spacing w:line="172" w:lineRule="exact" w:before="47"/>
              <w:ind w:left="0" w:right="115"/>
              <w:jc w:val="right"/>
              <w:rPr>
                <w:sz w:val="16"/>
              </w:rPr>
            </w:pPr>
            <w:r>
              <w:rPr>
                <w:sz w:val="16"/>
              </w:rPr>
              <w:t>4.389</w:t>
            </w:r>
          </w:p>
        </w:tc>
        <w:tc>
          <w:tcPr>
            <w:tcW w:w="1599" w:type="dxa"/>
            <w:tcBorders>
              <w:top w:val="single" w:sz="8" w:space="0" w:color="A7D2F5"/>
              <w:bottom w:val="single" w:sz="8" w:space="0" w:color="A7D2F5"/>
            </w:tcBorders>
          </w:tcPr>
          <w:p>
            <w:pPr>
              <w:pStyle w:val="TableParagraph"/>
              <w:spacing w:line="172" w:lineRule="exact" w:before="47"/>
              <w:ind w:left="0" w:right="154"/>
              <w:jc w:val="right"/>
              <w:rPr>
                <w:sz w:val="16"/>
              </w:rPr>
            </w:pPr>
            <w:r>
              <w:rPr>
                <w:sz w:val="16"/>
              </w:rPr>
              <w:t>105.911</w:t>
            </w:r>
          </w:p>
        </w:tc>
        <w:tc>
          <w:tcPr>
            <w:tcW w:w="1734" w:type="dxa"/>
            <w:tcBorders>
              <w:top w:val="single" w:sz="8" w:space="0" w:color="A7D2F5"/>
              <w:bottom w:val="single" w:sz="8" w:space="0" w:color="A7D2F5"/>
            </w:tcBorders>
          </w:tcPr>
          <w:p>
            <w:pPr>
              <w:pStyle w:val="TableParagraph"/>
              <w:spacing w:before="0"/>
              <w:ind w:left="0"/>
              <w:rPr>
                <w:rFonts w:ascii="Times New Roman"/>
                <w:sz w:val="16"/>
              </w:rPr>
            </w:pPr>
          </w:p>
        </w:tc>
        <w:tc>
          <w:tcPr>
            <w:tcW w:w="1217" w:type="dxa"/>
            <w:tcBorders>
              <w:top w:val="single" w:sz="8" w:space="0" w:color="A7D2F5"/>
              <w:bottom w:val="single" w:sz="8" w:space="0" w:color="A7D2F5"/>
            </w:tcBorders>
          </w:tcPr>
          <w:p>
            <w:pPr>
              <w:pStyle w:val="TableParagraph"/>
              <w:spacing w:before="0"/>
              <w:ind w:left="0"/>
              <w:rPr>
                <w:rFonts w:ascii="Times New Roman"/>
                <w:sz w:val="16"/>
              </w:rPr>
            </w:pPr>
          </w:p>
        </w:tc>
        <w:tc>
          <w:tcPr>
            <w:tcW w:w="1486" w:type="dxa"/>
            <w:tcBorders>
              <w:top w:val="single" w:sz="8" w:space="0" w:color="A7D2F5"/>
              <w:bottom w:val="single" w:sz="8" w:space="0" w:color="A7D2F5"/>
              <w:right w:val="single" w:sz="8" w:space="0" w:color="A7D2F5"/>
            </w:tcBorders>
          </w:tcPr>
          <w:p>
            <w:pPr>
              <w:pStyle w:val="TableParagraph"/>
              <w:spacing w:line="172" w:lineRule="exact" w:before="47"/>
              <w:ind w:left="0" w:right="84"/>
              <w:jc w:val="right"/>
              <w:rPr>
                <w:sz w:val="16"/>
              </w:rPr>
            </w:pPr>
            <w:r>
              <w:rPr>
                <w:sz w:val="16"/>
              </w:rPr>
              <w:t>929‡</w:t>
            </w:r>
          </w:p>
        </w:tc>
      </w:tr>
      <w:tr>
        <w:trPr>
          <w:trHeight w:val="239" w:hRule="atLeast"/>
        </w:trPr>
        <w:tc>
          <w:tcPr>
            <w:tcW w:w="1892" w:type="dxa"/>
            <w:tcBorders>
              <w:top w:val="single" w:sz="8" w:space="0" w:color="A7D2F5"/>
              <w:left w:val="single" w:sz="8" w:space="0" w:color="A7D2F5"/>
              <w:bottom w:val="single" w:sz="8" w:space="0" w:color="A7D2F5"/>
            </w:tcBorders>
          </w:tcPr>
          <w:p>
            <w:pPr>
              <w:pStyle w:val="TableParagraph"/>
              <w:spacing w:line="172" w:lineRule="exact" w:before="47"/>
              <w:rPr>
                <w:b/>
                <w:sz w:val="16"/>
              </w:rPr>
            </w:pPr>
            <w:r>
              <w:rPr>
                <w:b/>
                <w:sz w:val="16"/>
              </w:rPr>
              <w:t>Upstream</w:t>
            </w:r>
          </w:p>
        </w:tc>
        <w:tc>
          <w:tcPr>
            <w:tcW w:w="963" w:type="dxa"/>
            <w:tcBorders>
              <w:top w:val="single" w:sz="8" w:space="0" w:color="A7D2F5"/>
              <w:bottom w:val="single" w:sz="8" w:space="0" w:color="A7D2F5"/>
            </w:tcBorders>
          </w:tcPr>
          <w:p>
            <w:pPr>
              <w:pStyle w:val="TableParagraph"/>
              <w:spacing w:line="172" w:lineRule="exact" w:before="47"/>
              <w:ind w:left="0" w:right="115"/>
              <w:jc w:val="right"/>
              <w:rPr>
                <w:sz w:val="16"/>
              </w:rPr>
            </w:pPr>
            <w:r>
              <w:rPr>
                <w:sz w:val="16"/>
              </w:rPr>
              <w:t>304</w:t>
            </w:r>
          </w:p>
        </w:tc>
        <w:tc>
          <w:tcPr>
            <w:tcW w:w="1599" w:type="dxa"/>
            <w:tcBorders>
              <w:top w:val="single" w:sz="8" w:space="0" w:color="A7D2F5"/>
              <w:bottom w:val="single" w:sz="8" w:space="0" w:color="A7D2F5"/>
            </w:tcBorders>
          </w:tcPr>
          <w:p>
            <w:pPr>
              <w:pStyle w:val="TableParagraph"/>
              <w:spacing w:line="172" w:lineRule="exact" w:before="47"/>
              <w:ind w:left="0" w:right="153"/>
              <w:jc w:val="right"/>
              <w:rPr>
                <w:sz w:val="16"/>
              </w:rPr>
            </w:pPr>
            <w:r>
              <w:rPr>
                <w:sz w:val="16"/>
              </w:rPr>
              <w:t>8.141</w:t>
            </w:r>
          </w:p>
        </w:tc>
        <w:tc>
          <w:tcPr>
            <w:tcW w:w="1734" w:type="dxa"/>
            <w:tcBorders>
              <w:top w:val="single" w:sz="8" w:space="0" w:color="A7D2F5"/>
              <w:bottom w:val="single" w:sz="8" w:space="0" w:color="A7D2F5"/>
            </w:tcBorders>
          </w:tcPr>
          <w:p>
            <w:pPr>
              <w:pStyle w:val="TableParagraph"/>
              <w:spacing w:line="172" w:lineRule="exact" w:before="47"/>
              <w:ind w:left="0" w:right="327"/>
              <w:jc w:val="right"/>
              <w:rPr>
                <w:sz w:val="16"/>
              </w:rPr>
            </w:pPr>
            <w:r>
              <w:rPr>
                <w:sz w:val="16"/>
              </w:rPr>
              <w:t>6.101†</w:t>
            </w:r>
          </w:p>
        </w:tc>
        <w:tc>
          <w:tcPr>
            <w:tcW w:w="1217" w:type="dxa"/>
            <w:tcBorders>
              <w:top w:val="single" w:sz="8" w:space="0" w:color="A7D2F5"/>
              <w:bottom w:val="single" w:sz="8" w:space="0" w:color="A7D2F5"/>
            </w:tcBorders>
          </w:tcPr>
          <w:p>
            <w:pPr>
              <w:pStyle w:val="TableParagraph"/>
              <w:spacing w:before="0"/>
              <w:ind w:left="0"/>
              <w:rPr>
                <w:rFonts w:ascii="Times New Roman"/>
                <w:sz w:val="16"/>
              </w:rPr>
            </w:pPr>
          </w:p>
        </w:tc>
        <w:tc>
          <w:tcPr>
            <w:tcW w:w="1486" w:type="dxa"/>
            <w:tcBorders>
              <w:top w:val="single" w:sz="8" w:space="0" w:color="A7D2F5"/>
              <w:bottom w:val="single" w:sz="8" w:space="0" w:color="A7D2F5"/>
              <w:right w:val="single" w:sz="8" w:space="0" w:color="A7D2F5"/>
            </w:tcBorders>
          </w:tcPr>
          <w:p>
            <w:pPr>
              <w:pStyle w:val="TableParagraph"/>
              <w:spacing w:before="0"/>
              <w:ind w:left="0"/>
              <w:rPr>
                <w:rFonts w:ascii="Times New Roman"/>
                <w:sz w:val="16"/>
              </w:rPr>
            </w:pPr>
          </w:p>
        </w:tc>
      </w:tr>
      <w:tr>
        <w:trPr>
          <w:trHeight w:val="241" w:hRule="atLeast"/>
        </w:trPr>
        <w:tc>
          <w:tcPr>
            <w:tcW w:w="1892" w:type="dxa"/>
            <w:tcBorders>
              <w:top w:val="single" w:sz="8" w:space="0" w:color="A7D2F5"/>
              <w:left w:val="single" w:sz="8" w:space="0" w:color="A7D2F5"/>
              <w:bottom w:val="single" w:sz="8" w:space="0" w:color="A7D2F5"/>
            </w:tcBorders>
          </w:tcPr>
          <w:p>
            <w:pPr>
              <w:pStyle w:val="TableParagraph"/>
              <w:spacing w:line="172" w:lineRule="exact" w:before="50"/>
              <w:rPr>
                <w:b/>
                <w:sz w:val="16"/>
              </w:rPr>
            </w:pPr>
            <w:r>
              <w:rPr>
                <w:b/>
                <w:sz w:val="16"/>
              </w:rPr>
              <w:t>Downstream</w:t>
            </w:r>
          </w:p>
        </w:tc>
        <w:tc>
          <w:tcPr>
            <w:tcW w:w="963" w:type="dxa"/>
            <w:tcBorders>
              <w:top w:val="single" w:sz="8" w:space="0" w:color="A7D2F5"/>
              <w:bottom w:val="single" w:sz="8" w:space="0" w:color="A7D2F5"/>
            </w:tcBorders>
          </w:tcPr>
          <w:p>
            <w:pPr>
              <w:pStyle w:val="TableParagraph"/>
              <w:spacing w:line="172" w:lineRule="exact" w:before="50"/>
              <w:ind w:left="0" w:right="115"/>
              <w:jc w:val="right"/>
              <w:rPr>
                <w:sz w:val="16"/>
              </w:rPr>
            </w:pPr>
            <w:r>
              <w:rPr>
                <w:sz w:val="16"/>
              </w:rPr>
              <w:t>4.085</w:t>
            </w:r>
          </w:p>
        </w:tc>
        <w:tc>
          <w:tcPr>
            <w:tcW w:w="1599" w:type="dxa"/>
            <w:tcBorders>
              <w:top w:val="single" w:sz="8" w:space="0" w:color="A7D2F5"/>
              <w:bottom w:val="single" w:sz="8" w:space="0" w:color="A7D2F5"/>
            </w:tcBorders>
          </w:tcPr>
          <w:p>
            <w:pPr>
              <w:pStyle w:val="TableParagraph"/>
              <w:spacing w:line="172" w:lineRule="exact" w:before="50"/>
              <w:ind w:left="0" w:right="154"/>
              <w:jc w:val="right"/>
              <w:rPr>
                <w:sz w:val="16"/>
              </w:rPr>
            </w:pPr>
            <w:r>
              <w:rPr>
                <w:sz w:val="16"/>
              </w:rPr>
              <w:t>97.770</w:t>
            </w:r>
          </w:p>
        </w:tc>
        <w:tc>
          <w:tcPr>
            <w:tcW w:w="1734" w:type="dxa"/>
            <w:tcBorders>
              <w:top w:val="single" w:sz="8" w:space="0" w:color="A7D2F5"/>
              <w:bottom w:val="single" w:sz="8" w:space="0" w:color="A7D2F5"/>
            </w:tcBorders>
          </w:tcPr>
          <w:p>
            <w:pPr>
              <w:pStyle w:val="TableParagraph"/>
              <w:spacing w:before="0"/>
              <w:ind w:left="0"/>
              <w:rPr>
                <w:rFonts w:ascii="Times New Roman"/>
                <w:sz w:val="16"/>
              </w:rPr>
            </w:pPr>
          </w:p>
        </w:tc>
        <w:tc>
          <w:tcPr>
            <w:tcW w:w="1217" w:type="dxa"/>
            <w:tcBorders>
              <w:top w:val="single" w:sz="8" w:space="0" w:color="A7D2F5"/>
              <w:bottom w:val="single" w:sz="8" w:space="0" w:color="A7D2F5"/>
            </w:tcBorders>
          </w:tcPr>
          <w:p>
            <w:pPr>
              <w:pStyle w:val="TableParagraph"/>
              <w:spacing w:line="172" w:lineRule="exact" w:before="50"/>
              <w:ind w:left="0" w:right="128"/>
              <w:jc w:val="right"/>
              <w:rPr>
                <w:sz w:val="16"/>
              </w:rPr>
            </w:pPr>
            <w:r>
              <w:rPr>
                <w:sz w:val="16"/>
              </w:rPr>
              <w:t>1.824*</w:t>
            </w:r>
          </w:p>
        </w:tc>
        <w:tc>
          <w:tcPr>
            <w:tcW w:w="1486" w:type="dxa"/>
            <w:tcBorders>
              <w:top w:val="single" w:sz="8" w:space="0" w:color="A7D2F5"/>
              <w:bottom w:val="single" w:sz="8" w:space="0" w:color="A7D2F5"/>
              <w:right w:val="single" w:sz="8" w:space="0" w:color="A7D2F5"/>
            </w:tcBorders>
          </w:tcPr>
          <w:p>
            <w:pPr>
              <w:pStyle w:val="TableParagraph"/>
              <w:spacing w:before="0"/>
              <w:ind w:left="0"/>
              <w:rPr>
                <w:rFonts w:ascii="Times New Roman"/>
                <w:sz w:val="16"/>
              </w:rPr>
            </w:pPr>
          </w:p>
        </w:tc>
      </w:tr>
    </w:tbl>
    <w:p>
      <w:pPr>
        <w:spacing w:before="83"/>
        <w:ind w:left="742" w:right="0" w:firstLine="0"/>
        <w:jc w:val="left"/>
        <w:rPr>
          <w:sz w:val="13"/>
        </w:rPr>
      </w:pPr>
      <w:r>
        <w:rPr>
          <w:sz w:val="13"/>
        </w:rPr>
        <w:t>Note: Valutakonvertering baseret på xe.com for 31. december i året.</w:t>
      </w:r>
    </w:p>
    <w:p>
      <w:pPr>
        <w:spacing w:line="364" w:lineRule="auto" w:before="82"/>
        <w:ind w:left="742" w:right="1188" w:firstLine="0"/>
        <w:jc w:val="left"/>
        <w:rPr>
          <w:sz w:val="13"/>
        </w:rPr>
      </w:pPr>
      <w:r>
        <w:rPr>
          <w:sz w:val="13"/>
        </w:rPr>
        <w:t>Bemærk: †: Norges tal refererer primært til upstream-aktiviteter; *Schweiz’ tal refererer alene til den største downstream-virksomhed, RUAG. Store GNSS virksomheder (Garmin, Leica Geosystems, og U-Blox, m.fl.) er registrerede i Schweiz. ‡: Indeholder også forsknings- bevillinger.</w:t>
      </w:r>
    </w:p>
    <w:p>
      <w:pPr>
        <w:pStyle w:val="BodyText"/>
        <w:spacing w:before="9"/>
        <w:rPr>
          <w:sz w:val="14"/>
        </w:rPr>
      </w:pPr>
    </w:p>
    <w:p>
      <w:pPr>
        <w:pStyle w:val="BodyText"/>
        <w:spacing w:line="264" w:lineRule="auto" w:before="1"/>
        <w:ind w:left="742" w:right="1184"/>
      </w:pPr>
      <w:r>
        <w:rPr/>
        <w:t>I tillæg til forskelle i definitioner og afgrænsninger bliver sammenligninger på tværs af lande også vanskelige, idet lokale faktorer spiller ind både industrielt og geografisk. Eksempelvis er den stør- ste britiske rumvirksomhed parabol-tv-virksomheden Sky, som leverer signal til ca. 11 millioner britiske hjem. Virksomheden omsatte for mere end 7,2 mia. britiske pund i 2013, hvoraf ikke alt er rumrelateret. Dette står i stærk kontrast til forholdene på det tilsvarende danske marked, hvor parabol-tv leveres af Viasat og Canal Digital, som begge er datterselskaber af nordiske distributi- onsfirmaer (henholdsvis svenske MTG og norske Telenor). Den samlede omsætning for de to dan- ske virksomheder i 2013 var ca. 1,5 mia. DKK. – dvs. godt 45 mia. DKK lavere end Skys omsæt- ning samme år.</w:t>
      </w:r>
    </w:p>
    <w:p>
      <w:pPr>
        <w:pStyle w:val="BodyText"/>
        <w:spacing w:before="3"/>
        <w:rPr>
          <w:sz w:val="19"/>
        </w:rPr>
      </w:pPr>
    </w:p>
    <w:p>
      <w:pPr>
        <w:pStyle w:val="BodyText"/>
        <w:spacing w:line="264" w:lineRule="auto"/>
        <w:ind w:left="742" w:right="1286"/>
      </w:pPr>
      <w:r>
        <w:rPr/>
        <w:t>Ud over Sky adskiller den britiske rumøkonomi sig fra den danske ved tilstedeværelsen af Airbus Defence and Space, som producerer ca. 25 % af verdens kommunikationssatellitter, og Inmarsat, den største virksomhed inden for mobil satellitkommunikation.</w:t>
      </w:r>
    </w:p>
    <w:p>
      <w:pPr>
        <w:pStyle w:val="BodyText"/>
        <w:spacing w:before="7"/>
        <w:rPr>
          <w:sz w:val="19"/>
        </w:rPr>
      </w:pPr>
    </w:p>
    <w:p>
      <w:pPr>
        <w:pStyle w:val="BodyText"/>
        <w:spacing w:line="264" w:lineRule="auto" w:before="1"/>
        <w:ind w:left="742" w:right="1221"/>
      </w:pPr>
      <w:r>
        <w:rPr/>
        <w:t>Også i Norge, der er et land vi ofte sammenligner os med, spiller lokale faktorer ind og gør mar- kedsgrundlaget svært sammenligneligt. Norges rumøkonomi hjælpes af landets nordlige placering, hvor eksempelvis Kongsberg Satellite Services i Tromsø og på Svalbard nyder godt af adgang til kommunikation med jordobservationssatellitter i kredsløb over Nordpolen.</w:t>
      </w: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824;mso-wrap-distance-left:0;mso-wrap-distance-right:0" from="85.103996pt,11.134013pt" to="229.123996pt,11.134013pt" stroked="true" strokeweight=".48004pt" strokecolor="#000000">
            <v:stroke dashstyle="solid"/>
            <w10:wrap type="topAndBottom"/>
          </v:line>
        </w:pict>
      </w:r>
    </w:p>
    <w:p>
      <w:pPr>
        <w:spacing w:before="99"/>
        <w:ind w:left="742" w:right="0" w:firstLine="0"/>
        <w:jc w:val="left"/>
        <w:rPr>
          <w:sz w:val="13"/>
        </w:rPr>
      </w:pPr>
      <w:r>
        <w:rPr>
          <w:position w:val="6"/>
          <w:sz w:val="8"/>
        </w:rPr>
        <w:t>19 </w:t>
      </w:r>
      <w:hyperlink r:id="rId56">
        <w:r>
          <w:rPr>
            <w:color w:val="009DDF"/>
            <w:sz w:val="13"/>
          </w:rPr>
          <w:t>http://www.ft.dk/samling/20151/lovforslag/L128/index.htm</w:t>
        </w:r>
        <w:r>
          <w:rPr>
            <w:sz w:val="13"/>
          </w:rPr>
          <w:t>.</w:t>
        </w:r>
      </w:hyperlink>
    </w:p>
    <w:p>
      <w:pPr>
        <w:spacing w:after="0"/>
        <w:jc w:val="left"/>
        <w:rPr>
          <w:sz w:val="13"/>
        </w:rPr>
        <w:sectPr>
          <w:pgSz w:w="11910" w:h="16840"/>
          <w:pgMar w:header="0" w:footer="1056" w:top="1580" w:bottom="1240" w:left="960" w:right="0"/>
        </w:sectPr>
      </w:pPr>
    </w:p>
    <w:p>
      <w:pPr>
        <w:pStyle w:val="ListParagraph"/>
        <w:numPr>
          <w:ilvl w:val="2"/>
          <w:numId w:val="5"/>
        </w:numPr>
        <w:tabs>
          <w:tab w:pos="743" w:val="left" w:leader="none"/>
        </w:tabs>
        <w:spacing w:line="240" w:lineRule="auto" w:before="126" w:after="0"/>
        <w:ind w:left="742" w:right="0" w:hanging="624"/>
        <w:jc w:val="left"/>
        <w:rPr>
          <w:b/>
          <w:sz w:val="18"/>
        </w:rPr>
      </w:pPr>
      <w:r>
        <w:rPr>
          <w:b/>
          <w:sz w:val="18"/>
        </w:rPr>
        <w:t>Beskæftigelse</w:t>
      </w:r>
    </w:p>
    <w:p>
      <w:pPr>
        <w:pStyle w:val="BodyText"/>
        <w:spacing w:line="264" w:lineRule="auto" w:before="22"/>
        <w:ind w:left="742" w:right="1251"/>
      </w:pPr>
      <w:r>
        <w:rPr/>
        <w:t>Virksomhederne i den danske rumøkonomi beskæftigede ca. </w:t>
      </w:r>
      <w:r>
        <w:rPr>
          <w:b/>
        </w:rPr>
        <w:t>1.550 fuldtidsansatte </w:t>
      </w:r>
      <w:r>
        <w:rPr/>
        <w:t>i 2013. Lige- som tilfældet var for omsætning, findes hovedparten af beskæftigelsen i downstream-segmentet, hvor 86 % af den samlede arbejdsstyrke er beskæftiget.</w:t>
      </w:r>
    </w:p>
    <w:p>
      <w:pPr>
        <w:spacing w:before="143"/>
        <w:ind w:left="742" w:right="0" w:firstLine="0"/>
        <w:jc w:val="left"/>
        <w:rPr>
          <w:b/>
          <w:sz w:val="15"/>
        </w:rPr>
      </w:pPr>
      <w:r>
        <w:rPr>
          <w:b/>
          <w:color w:val="009DDF"/>
          <w:sz w:val="15"/>
        </w:rPr>
        <w:t>Figur 9. Rumbeskæftigede pr. værdikæde</w:t>
      </w:r>
    </w:p>
    <w:p>
      <w:pPr>
        <w:pStyle w:val="BodyText"/>
        <w:spacing w:before="1"/>
        <w:rPr>
          <w:b/>
          <w:sz w:val="14"/>
        </w:rPr>
      </w:pPr>
      <w:r>
        <w:rPr/>
        <w:drawing>
          <wp:anchor distT="0" distB="0" distL="0" distR="0" allowOverlap="1" layoutInCell="1" locked="0" behindDoc="0" simplePos="0" relativeHeight="78">
            <wp:simplePos x="0" y="0"/>
            <wp:positionH relativeFrom="page">
              <wp:posOffset>1080135</wp:posOffset>
            </wp:positionH>
            <wp:positionV relativeFrom="paragraph">
              <wp:posOffset>133946</wp:posOffset>
            </wp:positionV>
            <wp:extent cx="6205668" cy="1892807"/>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57" cstate="print"/>
                    <a:stretch>
                      <a:fillRect/>
                    </a:stretch>
                  </pic:blipFill>
                  <pic:spPr>
                    <a:xfrm>
                      <a:off x="0" y="0"/>
                      <a:ext cx="6205668" cy="1892807"/>
                    </a:xfrm>
                    <a:prstGeom prst="rect">
                      <a:avLst/>
                    </a:prstGeom>
                  </pic:spPr>
                </pic:pic>
              </a:graphicData>
            </a:graphic>
          </wp:anchor>
        </w:drawing>
      </w:r>
    </w:p>
    <w:p>
      <w:pPr>
        <w:pStyle w:val="BodyText"/>
        <w:rPr>
          <w:b/>
        </w:rPr>
      </w:pPr>
    </w:p>
    <w:p>
      <w:pPr>
        <w:spacing w:before="145"/>
        <w:ind w:left="742" w:right="0" w:firstLine="0"/>
        <w:jc w:val="left"/>
        <w:rPr>
          <w:sz w:val="13"/>
        </w:rPr>
      </w:pPr>
      <w:r>
        <w:rPr>
          <w:sz w:val="13"/>
        </w:rPr>
        <w:t>Kilde: Rambøll og London Economics’ analyse og data fra Danmarks Statistik</w:t>
      </w:r>
    </w:p>
    <w:p>
      <w:pPr>
        <w:pStyle w:val="BodyText"/>
        <w:spacing w:before="7"/>
        <w:rPr>
          <w:sz w:val="21"/>
        </w:rPr>
      </w:pPr>
    </w:p>
    <w:p>
      <w:pPr>
        <w:pStyle w:val="BodyText"/>
        <w:spacing w:line="264" w:lineRule="auto"/>
        <w:ind w:left="742" w:right="1352"/>
        <w:jc w:val="both"/>
      </w:pPr>
      <w:r>
        <w:rPr/>
        <w:t>Beskæftigelsen i satellitproduktion (inklusive systemer og komponenter) samt fremstilling af bru- gerenheder udgør en større andel af den samlede beskæftigelse end aktiviteten udgør af omsæt- ning, mens salg af rumtjenester (inkl. parabol-tv) beskæftiger relativt færre ansatte end omsæt- ningsandelen.</w:t>
      </w:r>
    </w:p>
    <w:p>
      <w:pPr>
        <w:pStyle w:val="BodyText"/>
        <w:spacing w:before="7"/>
        <w:rPr>
          <w:sz w:val="19"/>
        </w:rPr>
      </w:pPr>
    </w:p>
    <w:p>
      <w:pPr>
        <w:pStyle w:val="BodyText"/>
        <w:ind w:left="742"/>
        <w:rPr>
          <w:sz w:val="8"/>
        </w:rPr>
      </w:pPr>
      <w:r>
        <w:rPr>
          <w:spacing w:val="-1"/>
        </w:rPr>
        <w:t>Ta</w:t>
      </w:r>
      <w:r>
        <w:rPr/>
        <w:t>be</w:t>
      </w:r>
      <w:r>
        <w:rPr>
          <w:spacing w:val="1"/>
        </w:rPr>
        <w:t>l</w:t>
      </w:r>
      <w:r>
        <w:rPr/>
        <w:t>len</w:t>
      </w:r>
      <w:r>
        <w:rPr>
          <w:spacing w:val="-2"/>
        </w:rPr>
        <w:t> h</w:t>
      </w:r>
      <w:r>
        <w:rPr/>
        <w:t>er</w:t>
      </w:r>
      <w:r>
        <w:rPr>
          <w:spacing w:val="-2"/>
        </w:rPr>
        <w:t>un</w:t>
      </w:r>
      <w:r>
        <w:rPr/>
        <w:t>der </w:t>
      </w:r>
      <w:r>
        <w:rPr>
          <w:spacing w:val="-1"/>
        </w:rPr>
        <w:t>v</w:t>
      </w:r>
      <w:r>
        <w:rPr/>
        <w:t>iser </w:t>
      </w:r>
      <w:r>
        <w:rPr>
          <w:spacing w:val="-2"/>
        </w:rPr>
        <w:t>f</w:t>
      </w:r>
      <w:r>
        <w:rPr/>
        <w:t>ordeli</w:t>
      </w:r>
      <w:r>
        <w:rPr>
          <w:spacing w:val="-2"/>
        </w:rPr>
        <w:t>ng</w:t>
      </w:r>
      <w:r>
        <w:rPr/>
        <w:t>en</w:t>
      </w:r>
      <w:r>
        <w:rPr>
          <w:spacing w:val="-2"/>
        </w:rPr>
        <w:t> </w:t>
      </w:r>
      <w:r>
        <w:rPr/>
        <w:t>af</w:t>
      </w:r>
      <w:r>
        <w:rPr>
          <w:spacing w:val="-2"/>
        </w:rPr>
        <w:t> </w:t>
      </w:r>
      <w:r>
        <w:rPr>
          <w:spacing w:val="2"/>
        </w:rPr>
        <w:t>r</w:t>
      </w:r>
      <w:r>
        <w:rPr>
          <w:spacing w:val="-2"/>
        </w:rPr>
        <w:t>u</w:t>
      </w:r>
      <w:r>
        <w:rPr/>
        <w:t>mbes</w:t>
      </w:r>
      <w:r>
        <w:rPr>
          <w:spacing w:val="-2"/>
        </w:rPr>
        <w:t>k</w:t>
      </w:r>
      <w:r>
        <w:rPr/>
        <w:t>æ</w:t>
      </w:r>
      <w:r>
        <w:rPr>
          <w:spacing w:val="-1"/>
        </w:rPr>
        <w:t>f</w:t>
      </w:r>
      <w:r>
        <w:rPr/>
        <w:t>tig</w:t>
      </w:r>
      <w:r>
        <w:rPr>
          <w:spacing w:val="-2"/>
        </w:rPr>
        <w:t>e</w:t>
      </w:r>
      <w:r>
        <w:rPr/>
        <w:t>de</w:t>
      </w:r>
      <w:r>
        <w:rPr>
          <w:spacing w:val="-1"/>
        </w:rPr>
        <w:t> </w:t>
      </w:r>
      <w:r>
        <w:rPr/>
        <w:t>pr.</w:t>
      </w:r>
      <w:r>
        <w:rPr>
          <w:spacing w:val="-2"/>
        </w:rPr>
        <w:t> </w:t>
      </w:r>
      <w:r>
        <w:rPr/>
        <w:t>regio</w:t>
      </w:r>
      <w:r>
        <w:rPr>
          <w:spacing w:val="-2"/>
        </w:rPr>
        <w:t>n</w:t>
      </w:r>
      <w:r>
        <w:rPr/>
        <w:t>.</w:t>
      </w:r>
      <w:r>
        <w:rPr>
          <w:w w:val="99"/>
          <w:position w:val="6"/>
          <w:sz w:val="8"/>
        </w:rPr>
        <w:t>20</w:t>
      </w:r>
    </w:p>
    <w:p>
      <w:pPr>
        <w:spacing w:before="166"/>
        <w:ind w:left="742" w:right="0" w:firstLine="0"/>
        <w:jc w:val="left"/>
        <w:rPr>
          <w:b/>
          <w:sz w:val="15"/>
        </w:rPr>
      </w:pPr>
      <w:r>
        <w:rPr>
          <w:b/>
          <w:color w:val="009DDF"/>
          <w:sz w:val="15"/>
        </w:rPr>
        <w:t>Tabel 4. Rumbeskæftigelse pr. region, 2013</w:t>
      </w:r>
    </w:p>
    <w:p>
      <w:pPr>
        <w:pStyle w:val="BodyText"/>
        <w:spacing w:before="1"/>
        <w:rPr>
          <w:b/>
          <w:sz w:val="12"/>
        </w:rPr>
      </w:pPr>
    </w:p>
    <w:tbl>
      <w:tblPr>
        <w:tblW w:w="0" w:type="auto"/>
        <w:jc w:val="left"/>
        <w:tblInd w:w="644"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092"/>
        <w:gridCol w:w="1638"/>
      </w:tblGrid>
      <w:tr>
        <w:trPr>
          <w:trHeight w:val="251" w:hRule="atLeast"/>
        </w:trPr>
        <w:tc>
          <w:tcPr>
            <w:tcW w:w="2092" w:type="dxa"/>
            <w:tcBorders>
              <w:top w:val="nil"/>
              <w:left w:val="nil"/>
              <w:bottom w:val="nil"/>
              <w:right w:val="nil"/>
            </w:tcBorders>
            <w:shd w:val="clear" w:color="auto" w:fill="A7D2F5"/>
          </w:tcPr>
          <w:p>
            <w:pPr>
              <w:pStyle w:val="TableParagraph"/>
              <w:spacing w:line="172" w:lineRule="exact" w:before="60"/>
              <w:ind w:left="117"/>
              <w:rPr>
                <w:b/>
                <w:sz w:val="16"/>
              </w:rPr>
            </w:pPr>
            <w:r>
              <w:rPr>
                <w:b/>
                <w:color w:val="FFFFFF"/>
                <w:sz w:val="16"/>
              </w:rPr>
              <w:t>Region</w:t>
            </w:r>
          </w:p>
        </w:tc>
        <w:tc>
          <w:tcPr>
            <w:tcW w:w="1638" w:type="dxa"/>
            <w:tcBorders>
              <w:top w:val="nil"/>
              <w:left w:val="nil"/>
              <w:bottom w:val="nil"/>
              <w:right w:val="nil"/>
            </w:tcBorders>
            <w:shd w:val="clear" w:color="auto" w:fill="A7D2F5"/>
          </w:tcPr>
          <w:p>
            <w:pPr>
              <w:pStyle w:val="TableParagraph"/>
              <w:spacing w:line="172" w:lineRule="exact" w:before="60"/>
              <w:ind w:left="0" w:right="97"/>
              <w:jc w:val="right"/>
              <w:rPr>
                <w:b/>
                <w:sz w:val="16"/>
              </w:rPr>
            </w:pPr>
            <w:r>
              <w:rPr>
                <w:b/>
                <w:color w:val="FFFFFF"/>
                <w:sz w:val="16"/>
              </w:rPr>
              <w:t>2013</w:t>
            </w:r>
          </w:p>
        </w:tc>
      </w:tr>
      <w:tr>
        <w:trPr>
          <w:trHeight w:val="239" w:hRule="atLeast"/>
        </w:trPr>
        <w:tc>
          <w:tcPr>
            <w:tcW w:w="2092" w:type="dxa"/>
            <w:tcBorders>
              <w:right w:val="nil"/>
            </w:tcBorders>
          </w:tcPr>
          <w:p>
            <w:pPr>
              <w:pStyle w:val="TableParagraph"/>
              <w:spacing w:line="172" w:lineRule="exact" w:before="47"/>
              <w:rPr>
                <w:sz w:val="16"/>
              </w:rPr>
            </w:pPr>
            <w:r>
              <w:rPr>
                <w:sz w:val="16"/>
              </w:rPr>
              <w:t>Hovedstaden</w:t>
            </w:r>
          </w:p>
        </w:tc>
        <w:tc>
          <w:tcPr>
            <w:tcW w:w="1638" w:type="dxa"/>
            <w:tcBorders>
              <w:left w:val="nil"/>
            </w:tcBorders>
          </w:tcPr>
          <w:p>
            <w:pPr>
              <w:pStyle w:val="TableParagraph"/>
              <w:spacing w:line="172" w:lineRule="exact" w:before="47"/>
              <w:ind w:left="0" w:right="86"/>
              <w:jc w:val="right"/>
              <w:rPr>
                <w:sz w:val="16"/>
              </w:rPr>
            </w:pPr>
            <w:r>
              <w:rPr>
                <w:sz w:val="16"/>
              </w:rPr>
              <w:t>47,7 %</w:t>
            </w:r>
          </w:p>
        </w:tc>
      </w:tr>
      <w:tr>
        <w:trPr>
          <w:trHeight w:val="239" w:hRule="atLeast"/>
        </w:trPr>
        <w:tc>
          <w:tcPr>
            <w:tcW w:w="2092" w:type="dxa"/>
            <w:tcBorders>
              <w:right w:val="nil"/>
            </w:tcBorders>
          </w:tcPr>
          <w:p>
            <w:pPr>
              <w:pStyle w:val="TableParagraph"/>
              <w:spacing w:line="172" w:lineRule="exact" w:before="47"/>
              <w:rPr>
                <w:sz w:val="16"/>
              </w:rPr>
            </w:pPr>
            <w:r>
              <w:rPr>
                <w:sz w:val="16"/>
              </w:rPr>
              <w:t>Nordjylland</w:t>
            </w:r>
          </w:p>
        </w:tc>
        <w:tc>
          <w:tcPr>
            <w:tcW w:w="1638" w:type="dxa"/>
            <w:tcBorders>
              <w:left w:val="nil"/>
            </w:tcBorders>
          </w:tcPr>
          <w:p>
            <w:pPr>
              <w:pStyle w:val="TableParagraph"/>
              <w:spacing w:line="172" w:lineRule="exact" w:before="47"/>
              <w:ind w:left="0" w:right="86"/>
              <w:jc w:val="right"/>
              <w:rPr>
                <w:sz w:val="16"/>
              </w:rPr>
            </w:pPr>
            <w:r>
              <w:rPr>
                <w:sz w:val="16"/>
              </w:rPr>
              <w:t>23,6 %</w:t>
            </w:r>
          </w:p>
        </w:tc>
      </w:tr>
      <w:tr>
        <w:trPr>
          <w:trHeight w:val="241" w:hRule="atLeast"/>
        </w:trPr>
        <w:tc>
          <w:tcPr>
            <w:tcW w:w="2092" w:type="dxa"/>
            <w:tcBorders>
              <w:right w:val="nil"/>
            </w:tcBorders>
          </w:tcPr>
          <w:p>
            <w:pPr>
              <w:pStyle w:val="TableParagraph"/>
              <w:spacing w:line="172" w:lineRule="exact" w:before="50"/>
              <w:rPr>
                <w:sz w:val="16"/>
              </w:rPr>
            </w:pPr>
            <w:r>
              <w:rPr>
                <w:sz w:val="16"/>
              </w:rPr>
              <w:t>Midtjylland</w:t>
            </w:r>
          </w:p>
        </w:tc>
        <w:tc>
          <w:tcPr>
            <w:tcW w:w="1638" w:type="dxa"/>
            <w:tcBorders>
              <w:left w:val="nil"/>
            </w:tcBorders>
          </w:tcPr>
          <w:p>
            <w:pPr>
              <w:pStyle w:val="TableParagraph"/>
              <w:spacing w:line="172" w:lineRule="exact" w:before="50"/>
              <w:ind w:left="0" w:right="86"/>
              <w:jc w:val="right"/>
              <w:rPr>
                <w:sz w:val="16"/>
              </w:rPr>
            </w:pPr>
            <w:r>
              <w:rPr>
                <w:sz w:val="16"/>
              </w:rPr>
              <w:t>12,6 %</w:t>
            </w:r>
          </w:p>
        </w:tc>
      </w:tr>
      <w:tr>
        <w:trPr>
          <w:trHeight w:val="239" w:hRule="atLeast"/>
        </w:trPr>
        <w:tc>
          <w:tcPr>
            <w:tcW w:w="2092" w:type="dxa"/>
            <w:tcBorders>
              <w:right w:val="nil"/>
            </w:tcBorders>
          </w:tcPr>
          <w:p>
            <w:pPr>
              <w:pStyle w:val="TableParagraph"/>
              <w:spacing w:line="172" w:lineRule="exact" w:before="47"/>
              <w:rPr>
                <w:sz w:val="16"/>
              </w:rPr>
            </w:pPr>
            <w:r>
              <w:rPr>
                <w:sz w:val="16"/>
              </w:rPr>
              <w:t>Syddanmark</w:t>
            </w:r>
          </w:p>
        </w:tc>
        <w:tc>
          <w:tcPr>
            <w:tcW w:w="1638" w:type="dxa"/>
            <w:tcBorders>
              <w:left w:val="nil"/>
            </w:tcBorders>
          </w:tcPr>
          <w:p>
            <w:pPr>
              <w:pStyle w:val="TableParagraph"/>
              <w:spacing w:line="172" w:lineRule="exact" w:before="47"/>
              <w:ind w:left="0" w:right="86"/>
              <w:jc w:val="right"/>
              <w:rPr>
                <w:sz w:val="16"/>
              </w:rPr>
            </w:pPr>
            <w:r>
              <w:rPr>
                <w:sz w:val="16"/>
              </w:rPr>
              <w:t>12,4 %</w:t>
            </w:r>
          </w:p>
        </w:tc>
      </w:tr>
      <w:tr>
        <w:trPr>
          <w:trHeight w:val="239" w:hRule="atLeast"/>
        </w:trPr>
        <w:tc>
          <w:tcPr>
            <w:tcW w:w="2092" w:type="dxa"/>
            <w:tcBorders>
              <w:right w:val="nil"/>
            </w:tcBorders>
          </w:tcPr>
          <w:p>
            <w:pPr>
              <w:pStyle w:val="TableParagraph"/>
              <w:spacing w:line="172" w:lineRule="exact" w:before="47"/>
              <w:rPr>
                <w:sz w:val="16"/>
              </w:rPr>
            </w:pPr>
            <w:r>
              <w:rPr>
                <w:sz w:val="16"/>
              </w:rPr>
              <w:t>Sjælland</w:t>
            </w:r>
          </w:p>
        </w:tc>
        <w:tc>
          <w:tcPr>
            <w:tcW w:w="1638" w:type="dxa"/>
            <w:tcBorders>
              <w:left w:val="nil"/>
            </w:tcBorders>
          </w:tcPr>
          <w:p>
            <w:pPr>
              <w:pStyle w:val="TableParagraph"/>
              <w:spacing w:line="172" w:lineRule="exact" w:before="47"/>
              <w:ind w:left="0" w:right="86"/>
              <w:jc w:val="right"/>
              <w:rPr>
                <w:sz w:val="16"/>
              </w:rPr>
            </w:pPr>
            <w:r>
              <w:rPr>
                <w:sz w:val="16"/>
              </w:rPr>
              <w:t>2,2 %</w:t>
            </w:r>
          </w:p>
        </w:tc>
      </w:tr>
      <w:tr>
        <w:trPr>
          <w:trHeight w:val="241" w:hRule="atLeast"/>
        </w:trPr>
        <w:tc>
          <w:tcPr>
            <w:tcW w:w="2092" w:type="dxa"/>
            <w:tcBorders>
              <w:right w:val="nil"/>
            </w:tcBorders>
          </w:tcPr>
          <w:p>
            <w:pPr>
              <w:pStyle w:val="TableParagraph"/>
              <w:spacing w:line="172" w:lineRule="exact" w:before="50"/>
              <w:rPr>
                <w:sz w:val="16"/>
              </w:rPr>
            </w:pPr>
            <w:r>
              <w:rPr>
                <w:sz w:val="16"/>
              </w:rPr>
              <w:t>Ukendt</w:t>
            </w:r>
          </w:p>
        </w:tc>
        <w:tc>
          <w:tcPr>
            <w:tcW w:w="1638" w:type="dxa"/>
            <w:tcBorders>
              <w:left w:val="nil"/>
            </w:tcBorders>
          </w:tcPr>
          <w:p>
            <w:pPr>
              <w:pStyle w:val="TableParagraph"/>
              <w:spacing w:line="172" w:lineRule="exact" w:before="50"/>
              <w:ind w:left="0" w:right="86"/>
              <w:jc w:val="right"/>
              <w:rPr>
                <w:sz w:val="16"/>
              </w:rPr>
            </w:pPr>
            <w:r>
              <w:rPr>
                <w:sz w:val="16"/>
              </w:rPr>
              <w:t>1,5 %</w:t>
            </w:r>
          </w:p>
        </w:tc>
      </w:tr>
    </w:tbl>
    <w:p>
      <w:pPr>
        <w:spacing w:before="78"/>
        <w:ind w:left="742" w:right="0" w:firstLine="0"/>
        <w:jc w:val="left"/>
        <w:rPr>
          <w:sz w:val="13"/>
        </w:rPr>
      </w:pPr>
      <w:r>
        <w:rPr>
          <w:sz w:val="13"/>
        </w:rPr>
        <w:t>Kilde: Rambøll og London Economics’ analyse og data fra Danmarks Statistik</w:t>
      </w:r>
    </w:p>
    <w:p>
      <w:pPr>
        <w:pStyle w:val="BodyText"/>
        <w:spacing w:before="9"/>
        <w:rPr>
          <w:sz w:val="21"/>
        </w:rPr>
      </w:pPr>
    </w:p>
    <w:p>
      <w:pPr>
        <w:pStyle w:val="BodyText"/>
        <w:spacing w:line="264" w:lineRule="auto"/>
        <w:ind w:left="742" w:right="1261"/>
      </w:pPr>
      <w:r>
        <w:rPr/>
        <w:t>Virksomhederne i Region Hovedstaden, som huser lige under en tredjedel af den danske befolk- ning, beskæftiger knap halvdelen af Danmarks rumbeskæftigede. Også i Region Nordjylland, der med blot 10 % af Danmarks befolkning huser næsten en fjerdedel af landets rumbeskæftigede, er koncentrationen af rumbeskæftigede høj.</w:t>
      </w:r>
    </w:p>
    <w:p>
      <w:pPr>
        <w:pStyle w:val="BodyText"/>
        <w:spacing w:before="7"/>
        <w:rPr>
          <w:sz w:val="19"/>
        </w:rPr>
      </w:pPr>
    </w:p>
    <w:p>
      <w:pPr>
        <w:pStyle w:val="BodyText"/>
        <w:spacing w:line="264" w:lineRule="auto"/>
        <w:ind w:left="742" w:right="1185"/>
        <w:rPr>
          <w:sz w:val="8"/>
        </w:rPr>
      </w:pPr>
      <w:r>
        <w:rPr/>
        <w:t>Figuren nedenfor viser antallet af rumbeskæftigede fordelt efter uddannelsesniveau og sammenlig- net med landsgennemsnittet.</w:t>
      </w:r>
      <w:r>
        <w:rPr>
          <w:w w:val="99"/>
          <w:position w:val="6"/>
          <w:sz w:val="8"/>
        </w:rPr>
        <w:t>21</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872;mso-wrap-distance-left:0;mso-wrap-distance-right:0" from="85.103996pt,10.506318pt" to="229.123996pt,10.506318pt" stroked="true" strokeweight=".48004pt" strokecolor="#000000">
            <v:stroke dashstyle="solid"/>
            <w10:wrap type="topAndBottom"/>
          </v:line>
        </w:pict>
      </w:r>
    </w:p>
    <w:p>
      <w:pPr>
        <w:spacing w:line="319" w:lineRule="auto" w:before="99"/>
        <w:ind w:left="742" w:right="1142" w:firstLine="0"/>
        <w:jc w:val="left"/>
        <w:rPr>
          <w:sz w:val="13"/>
        </w:rPr>
      </w:pPr>
      <w:r>
        <w:rPr>
          <w:position w:val="6"/>
          <w:sz w:val="8"/>
        </w:rPr>
        <w:t>20 </w:t>
      </w:r>
      <w:r>
        <w:rPr>
          <w:sz w:val="13"/>
        </w:rPr>
        <w:t>Da analysen er baseret på registerdata, er det ikke muligt at analysere rumbeskæftigede alene. Metoden for beregning af den geografi- ske udbredelse af rumbeskæftigelse antager således, at den geografiske udbredelse af den samlede medarbejderstab i en virksomhed er den samme for de ansatte med rumrelevans.</w:t>
      </w:r>
    </w:p>
    <w:p>
      <w:pPr>
        <w:spacing w:line="156" w:lineRule="exact" w:before="0"/>
        <w:ind w:left="742" w:right="0" w:firstLine="0"/>
        <w:jc w:val="left"/>
        <w:rPr>
          <w:sz w:val="13"/>
        </w:rPr>
      </w:pPr>
      <w:r>
        <w:rPr>
          <w:position w:val="6"/>
          <w:sz w:val="8"/>
        </w:rPr>
        <w:t>21 </w:t>
      </w:r>
      <w:r>
        <w:rPr>
          <w:sz w:val="13"/>
        </w:rPr>
        <w:t>Befolkningen (15-69 år). Denne analyse følger samme fremgangsmåde som beskrevet i ovenstående fodnote.</w:t>
      </w:r>
    </w:p>
    <w:p>
      <w:pPr>
        <w:spacing w:after="0" w:line="156" w:lineRule="exact"/>
        <w:jc w:val="left"/>
        <w:rPr>
          <w:sz w:val="13"/>
        </w:rPr>
        <w:sectPr>
          <w:pgSz w:w="11910" w:h="16840"/>
          <w:pgMar w:header="0" w:footer="1056" w:top="1580" w:bottom="1240" w:left="960" w:right="0"/>
        </w:sectPr>
      </w:pPr>
    </w:p>
    <w:p>
      <w:pPr>
        <w:spacing w:before="101"/>
        <w:ind w:left="742" w:right="0" w:firstLine="0"/>
        <w:jc w:val="left"/>
        <w:rPr>
          <w:b/>
          <w:sz w:val="15"/>
        </w:rPr>
      </w:pPr>
      <w:r>
        <w:rPr>
          <w:b/>
          <w:color w:val="009DDF"/>
          <w:sz w:val="15"/>
        </w:rPr>
        <w:t>Figur 10. Uddannelsesniveau</w:t>
      </w:r>
    </w:p>
    <w:p>
      <w:pPr>
        <w:pStyle w:val="BodyText"/>
        <w:spacing w:before="5"/>
        <w:rPr>
          <w:b/>
          <w:sz w:val="9"/>
        </w:rPr>
      </w:pPr>
    </w:p>
    <w:p>
      <w:pPr>
        <w:spacing w:before="101"/>
        <w:ind w:left="871" w:right="0" w:firstLine="0"/>
        <w:jc w:val="left"/>
        <w:rPr>
          <w:sz w:val="16"/>
        </w:rPr>
      </w:pPr>
      <w:r>
        <w:rPr/>
        <w:pict>
          <v:line style="position:absolute;mso-position-horizontal-relative:page;mso-position-vertical-relative:paragraph;z-index:2968" from="117.959999pt,10.332969pt" to="475.079999pt,10.332969pt" stroked="true" strokeweight=".72pt" strokecolor="#d9d9d9">
            <v:stroke dashstyle="solid"/>
            <w10:wrap type="none"/>
          </v:line>
        </w:pict>
      </w:r>
      <w:r>
        <w:rPr>
          <w:sz w:val="16"/>
        </w:rPr>
        <w:t>50%</w:t>
      </w:r>
    </w:p>
    <w:p>
      <w:pPr>
        <w:pStyle w:val="BodyText"/>
        <w:spacing w:before="10"/>
        <w:rPr>
          <w:sz w:val="26"/>
        </w:rPr>
      </w:pPr>
    </w:p>
    <w:p>
      <w:pPr>
        <w:spacing w:before="101"/>
        <w:ind w:left="871" w:right="0" w:firstLine="0"/>
        <w:jc w:val="left"/>
        <w:rPr>
          <w:sz w:val="16"/>
        </w:rPr>
      </w:pPr>
      <w:r>
        <w:rPr/>
        <w:pict>
          <v:group style="position:absolute;margin-left:117.959999pt;margin-top:5.532952pt;width:357.15pt;height:129.5pt;mso-position-horizontal-relative:page;mso-position-vertical-relative:paragraph;z-index:2944" coordorigin="2359,111" coordsize="7143,2590">
            <v:shape style="position:absolute;left:4483;top:828;width:5019;height:1244" coordorigin="4483,828" coordsize="5019,1244" path="m6526,2071l9502,2071m5674,2071l6185,2071m4483,2071l4994,2071m5335,1450l6185,1450m4483,1450l4994,1450m5335,828l6185,828m4483,828l4994,828e" filled="false" stroked="true" strokeweight=".72pt" strokecolor="#d9d9d9">
              <v:path arrowok="t"/>
              <v:stroke dashstyle="solid"/>
            </v:shape>
            <v:rect style="position:absolute;left:4994;top:686;width:341;height:2007" filled="true" fillcolor="#a7d2f5" stroked="false">
              <v:fill type="solid"/>
            </v:rect>
            <v:shape style="position:absolute;left:4483;top:206;width:5019;height:1244" coordorigin="4483,207" coordsize="5019,1244" path="m6526,1450l9502,1450m6526,828l9502,828m6526,207l9502,207m4483,207l6185,207e" filled="false" stroked="true" strokeweight=".72pt" strokecolor="#d9d9d9">
              <v:path arrowok="t"/>
              <v:stroke dashstyle="solid"/>
            </v:shape>
            <v:rect style="position:absolute;left:6184;top:110;width:341;height:2583" filled="true" fillcolor="#a7d2f5" stroked="false">
              <v:fill type="solid"/>
            </v:rect>
            <v:line style="position:absolute" from="7375,2629" to="7716,2629" stroked="true" strokeweight="6.36pt" strokecolor="#a7d2f5">
              <v:stroke dashstyle="solid"/>
            </v:line>
            <v:line style="position:absolute" from="8566,2646" to="8906,2646" stroked="true" strokeweight="4.68pt" strokecolor="#a7d2f5">
              <v:stroke dashstyle="solid"/>
            </v:line>
            <v:line style="position:absolute" from="3293,2071" to="3804,2071" stroked="true" strokeweight=".72pt" strokecolor="#d9d9d9">
              <v:stroke dashstyle="solid"/>
            </v:line>
            <v:rect style="position:absolute;left:3804;top:1639;width:341;height:1054" filled="true" fillcolor="#a7d2f5" stroked="false">
              <v:fill type="solid"/>
            </v:rect>
            <v:shape style="position:absolute;left:2359;top:1449;width:1786;height:622" coordorigin="2359,1450" coordsize="1786,622" path="m2359,2071l2954,2071m3293,1450l4145,1450m2359,1450l2954,1450e" filled="false" stroked="true" strokeweight=".72pt" strokecolor="#d9d9d9">
              <v:path arrowok="t"/>
              <v:stroke dashstyle="solid"/>
            </v:shape>
            <v:rect style="position:absolute;left:2613;top:2333;width:341;height:360" filled="true" fillcolor="#a7d2f5" stroked="false">
              <v:fill type="solid"/>
            </v:rect>
            <v:rect style="position:absolute;left:2954;top:919;width:339;height:1774" filled="true" fillcolor="#797766" stroked="false">
              <v:fill type="solid"/>
            </v:rect>
            <v:shape style="position:absolute;left:2359;top:206;width:1786;height:622" coordorigin="2359,207" coordsize="1786,622" path="m2359,828l4145,828m2359,207l4145,207e" filled="false" stroked="true" strokeweight=".72pt" strokecolor="#d9d9d9">
              <v:path arrowok="t"/>
              <v:stroke dashstyle="solid"/>
            </v:shape>
            <v:shape style="position:absolute;left:4144;top:187;width:2722;height:2506" coordorigin="4145,187" coordsize="2722,2506" path="m4483,187l4145,187,4145,2693,4483,2693,4483,187m5674,1491l5335,1491,5335,2693,5674,2693,5674,1491m6866,2254l6526,2254,6526,2693,6866,2693,6866,2254e" filled="true" fillcolor="#797766" stroked="false">
              <v:path arrowok="t"/>
              <v:fill type="solid"/>
            </v:shape>
            <v:line style="position:absolute" from="7716,2677" to="8057,2677" stroked="true" strokeweight="1.56pt" strokecolor="#797766">
              <v:stroke dashstyle="solid"/>
            </v:line>
            <v:rect style="position:absolute;left:8906;top:2424;width:341;height:269" filled="true" fillcolor="#797766" stroked="false">
              <v:fill type="solid"/>
            </v:rect>
            <v:line style="position:absolute" from="2359,2693" to="9502,2693" stroked="true" strokeweight=".72pt" strokecolor="#d9d9d9">
              <v:stroke dashstyle="solid"/>
            </v:line>
            <w10:wrap type="none"/>
          </v:group>
        </w:pict>
      </w:r>
      <w:r>
        <w:rPr>
          <w:sz w:val="16"/>
        </w:rPr>
        <w:t>40%</w:t>
      </w:r>
    </w:p>
    <w:p>
      <w:pPr>
        <w:pStyle w:val="BodyText"/>
        <w:spacing w:before="10"/>
        <w:rPr>
          <w:sz w:val="26"/>
        </w:rPr>
      </w:pPr>
    </w:p>
    <w:p>
      <w:pPr>
        <w:spacing w:before="101"/>
        <w:ind w:left="871" w:right="0" w:firstLine="0"/>
        <w:jc w:val="left"/>
        <w:rPr>
          <w:sz w:val="16"/>
        </w:rPr>
      </w:pPr>
      <w:r>
        <w:rPr>
          <w:sz w:val="16"/>
        </w:rPr>
        <w:t>30%</w:t>
      </w:r>
    </w:p>
    <w:p>
      <w:pPr>
        <w:pStyle w:val="BodyText"/>
        <w:spacing w:before="11"/>
        <w:rPr>
          <w:sz w:val="26"/>
        </w:rPr>
      </w:pPr>
    </w:p>
    <w:p>
      <w:pPr>
        <w:spacing w:before="101"/>
        <w:ind w:left="871" w:right="0" w:firstLine="0"/>
        <w:jc w:val="left"/>
        <w:rPr>
          <w:sz w:val="16"/>
        </w:rPr>
      </w:pPr>
      <w:r>
        <w:rPr>
          <w:sz w:val="16"/>
        </w:rPr>
        <w:t>20%</w:t>
      </w:r>
    </w:p>
    <w:p>
      <w:pPr>
        <w:pStyle w:val="BodyText"/>
        <w:spacing w:before="10"/>
        <w:rPr>
          <w:sz w:val="26"/>
        </w:rPr>
      </w:pPr>
    </w:p>
    <w:p>
      <w:pPr>
        <w:spacing w:before="101"/>
        <w:ind w:left="871" w:right="0" w:firstLine="0"/>
        <w:jc w:val="left"/>
        <w:rPr>
          <w:sz w:val="16"/>
        </w:rPr>
      </w:pPr>
      <w:r>
        <w:rPr>
          <w:sz w:val="16"/>
        </w:rPr>
        <w:t>10%</w:t>
      </w:r>
    </w:p>
    <w:p>
      <w:pPr>
        <w:pStyle w:val="BodyText"/>
        <w:spacing w:before="10"/>
        <w:rPr>
          <w:sz w:val="26"/>
        </w:rPr>
      </w:pPr>
    </w:p>
    <w:p>
      <w:pPr>
        <w:spacing w:before="101"/>
        <w:ind w:left="972" w:right="0" w:firstLine="0"/>
        <w:jc w:val="left"/>
        <w:rPr>
          <w:sz w:val="16"/>
        </w:rPr>
      </w:pPr>
      <w:r>
        <w:rPr>
          <w:sz w:val="16"/>
        </w:rPr>
        <w:t>0%</w:t>
      </w:r>
    </w:p>
    <w:p>
      <w:pPr>
        <w:tabs>
          <w:tab w:pos="2764" w:val="left" w:leader="none"/>
          <w:tab w:pos="4027" w:val="left" w:leader="none"/>
          <w:tab w:pos="4986" w:val="left" w:leader="none"/>
          <w:tab w:pos="5210" w:val="left" w:leader="none"/>
          <w:tab w:pos="6596" w:val="left" w:leader="none"/>
          <w:tab w:pos="7662" w:val="left" w:leader="none"/>
        </w:tabs>
        <w:spacing w:line="463" w:lineRule="auto" w:before="19"/>
        <w:ind w:left="3298" w:right="2710" w:hanging="1760"/>
        <w:jc w:val="left"/>
        <w:rPr>
          <w:sz w:val="16"/>
        </w:rPr>
      </w:pPr>
      <w:r>
        <w:rPr/>
        <w:pict>
          <v:rect style="position:absolute;margin-left:206.759995pt;margin-top:22.672951pt;width:4.32pt;height:4.440pt;mso-position-horizontal-relative:page;mso-position-vertical-relative:paragraph;z-index:-180712" filled="true" fillcolor="#a7d2f5" stroked="false">
            <v:fill type="solid"/>
            <w10:wrap type="none"/>
          </v:rect>
        </w:pict>
      </w:r>
      <w:r>
        <w:rPr/>
        <w:pict>
          <v:rect style="position:absolute;margin-left:291.119995pt;margin-top:22.672951pt;width:4.32pt;height:4.440pt;mso-position-horizontal-relative:page;mso-position-vertical-relative:paragraph;z-index:-180688" filled="true" fillcolor="#797766" stroked="false">
            <v:fill type="solid"/>
            <w10:wrap type="none"/>
          </v:rect>
        </w:pict>
      </w:r>
      <w:r>
        <w:rPr>
          <w:sz w:val="16"/>
        </w:rPr>
        <w:t>Grundskole</w:t>
        <w:tab/>
        <w:t>Gymnasial</w:t>
        <w:tab/>
        <w:t>Bachelor</w:t>
        <w:tab/>
        <w:tab/>
        <w:t>Kandidat</w:t>
        <w:tab/>
        <w:t>PhD</w:t>
        <w:tab/>
      </w:r>
      <w:r>
        <w:rPr>
          <w:spacing w:val="-4"/>
          <w:sz w:val="16"/>
        </w:rPr>
        <w:t>Ukendt </w:t>
      </w:r>
      <w:r>
        <w:rPr>
          <w:sz w:val="16"/>
        </w:rPr>
        <w:t>Rumgennemsnit</w:t>
        <w:tab/>
        <w:t>Landsgennemsnit</w:t>
      </w:r>
    </w:p>
    <w:p>
      <w:pPr>
        <w:spacing w:before="97"/>
        <w:ind w:left="742" w:right="0" w:firstLine="0"/>
        <w:jc w:val="left"/>
        <w:rPr>
          <w:sz w:val="13"/>
        </w:rPr>
      </w:pPr>
      <w:r>
        <w:rPr>
          <w:sz w:val="13"/>
        </w:rPr>
        <w:t>Kilde: Rambøll og London Economics’ analyse. Data fra Danmarks Statistik.</w:t>
      </w:r>
    </w:p>
    <w:p>
      <w:pPr>
        <w:pStyle w:val="BodyText"/>
        <w:spacing w:before="6"/>
        <w:rPr>
          <w:sz w:val="21"/>
        </w:rPr>
      </w:pPr>
    </w:p>
    <w:p>
      <w:pPr>
        <w:pStyle w:val="BodyText"/>
        <w:spacing w:line="264" w:lineRule="auto" w:before="1"/>
        <w:ind w:left="742" w:right="1305"/>
        <w:jc w:val="both"/>
      </w:pPr>
      <w:r>
        <w:rPr/>
        <w:t>En langt større andel af medarbejderne i virksomheder i rumøkonomien har en lang videregående uddannelse (41,5 % i forhold til 7,1 % i befolkningen som helhed). 2 % af rumansatte er i besid- delse af en ph.d., mens andelen for resten af befolkningen er 0,5 %.</w:t>
      </w:r>
    </w:p>
    <w:p>
      <w:pPr>
        <w:pStyle w:val="BodyText"/>
        <w:spacing w:before="7"/>
        <w:rPr>
          <w:sz w:val="19"/>
        </w:rPr>
      </w:pPr>
    </w:p>
    <w:p>
      <w:pPr>
        <w:pStyle w:val="ListParagraph"/>
        <w:numPr>
          <w:ilvl w:val="2"/>
          <w:numId w:val="5"/>
        </w:numPr>
        <w:tabs>
          <w:tab w:pos="743" w:val="left" w:leader="none"/>
        </w:tabs>
        <w:spacing w:line="240" w:lineRule="auto" w:before="0" w:after="0"/>
        <w:ind w:left="742" w:right="0" w:hanging="624"/>
        <w:jc w:val="left"/>
        <w:rPr>
          <w:b/>
          <w:sz w:val="18"/>
        </w:rPr>
      </w:pPr>
      <w:bookmarkStart w:name="_bookmark20" w:id="21"/>
      <w:bookmarkEnd w:id="21"/>
      <w:r>
        <w:rPr>
          <w:b/>
          <w:sz w:val="18"/>
        </w:rPr>
        <w:t>V</w:t>
      </w:r>
      <w:r>
        <w:rPr>
          <w:b/>
          <w:sz w:val="18"/>
        </w:rPr>
        <w:t>ærditilvækst</w:t>
      </w:r>
    </w:p>
    <w:p>
      <w:pPr>
        <w:pStyle w:val="BodyText"/>
        <w:spacing w:line="264" w:lineRule="auto" w:before="21"/>
        <w:ind w:left="742" w:right="1191"/>
      </w:pPr>
      <w:r>
        <w:rPr/>
        <w:t>Af omsætningen på 4,4 mia. DKK i 2013 skabte rumøkonomien en bruttoværditilvækst på 1,2 mia. DKK med en arbejdsproduktiviteten (bruttoværditilvækst pr. medarbejder) på ca. 750.000 DKK pr. ansat. Landsgennemsnittet (beregnet som BNP delt med arbejdsstyrken) er ca. 700.000 DKK pr. ansat.</w:t>
      </w:r>
    </w:p>
    <w:p>
      <w:pPr>
        <w:pStyle w:val="BodyText"/>
        <w:spacing w:before="7"/>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Import og</w:t>
      </w:r>
      <w:r>
        <w:rPr>
          <w:b/>
          <w:spacing w:val="-2"/>
          <w:sz w:val="18"/>
        </w:rPr>
        <w:t> </w:t>
      </w:r>
      <w:r>
        <w:rPr>
          <w:b/>
          <w:sz w:val="18"/>
        </w:rPr>
        <w:t>eksport</w:t>
      </w:r>
    </w:p>
    <w:p>
      <w:pPr>
        <w:pStyle w:val="BodyText"/>
        <w:spacing w:line="264" w:lineRule="auto" w:before="21"/>
        <w:ind w:left="742" w:right="1133"/>
      </w:pPr>
      <w:r>
        <w:rPr/>
        <w:t>Rumøkonomien er, med 59 % af omsætningen genereret uden for Danmark, meget eksportorien- teret. Upstream-sektoren eksporterer 94 % af sin omsætning, mens det samme tal for downstream er 58 %. De korresponderende tal fraregnet ESA-omsætning, som er ren eksport, er henholdsvis 91 % for upstream og 58 % for downstream. Dette dækker dog over store forskelle de forskellige downstream-aktiviteter imellem. Således eksporterer salg af rumtjenester (herunder parabol-tv) ca. 11 %, mens fremstilling af brugerenheder er oppe på 95 % i</w:t>
      </w:r>
      <w:r>
        <w:rPr>
          <w:spacing w:val="-14"/>
        </w:rPr>
        <w:t> </w:t>
      </w:r>
      <w:r>
        <w:rPr/>
        <w:t>eksportandel.</w:t>
      </w:r>
    </w:p>
    <w:p>
      <w:pPr>
        <w:pStyle w:val="BodyText"/>
        <w:spacing w:before="5"/>
        <w:rPr>
          <w:sz w:val="19"/>
        </w:rPr>
      </w:pPr>
    </w:p>
    <w:p>
      <w:pPr>
        <w:pStyle w:val="BodyText"/>
        <w:spacing w:line="264" w:lineRule="auto"/>
        <w:ind w:left="742" w:right="1169"/>
      </w:pPr>
      <w:r>
        <w:rPr/>
        <w:t>Importandelen viser på den anden side, at leverandører til upstream-virksomheder i højere grad er danske (import svarer til 21 % af omsætning), mens downstream-virksomheder importerer hvad der svarer til 55 % af omsætningen.</w:t>
      </w:r>
    </w:p>
    <w:p>
      <w:pPr>
        <w:pStyle w:val="BodyText"/>
        <w:spacing w:before="7"/>
        <w:rPr>
          <w:sz w:val="19"/>
        </w:rPr>
      </w:pPr>
    </w:p>
    <w:p>
      <w:pPr>
        <w:pStyle w:val="BodyText"/>
        <w:spacing w:line="264" w:lineRule="auto" w:before="1"/>
        <w:ind w:left="742" w:right="1238"/>
      </w:pPr>
      <w:r>
        <w:rPr/>
        <w:t>At virksomheder i rumøkonomien bidrager positivt til betalingsbalancen med et overskud på 318,5 mio. DKK i 2013 skyldes således i høj grad upstream-sektoren.</w:t>
      </w:r>
    </w:p>
    <w:p>
      <w:pPr>
        <w:spacing w:after="0" w:line="264" w:lineRule="auto"/>
        <w:sectPr>
          <w:pgSz w:w="11910" w:h="16840"/>
          <w:pgMar w:header="0" w:footer="1056" w:top="1580" w:bottom="1240" w:left="960" w:right="0"/>
        </w:sectPr>
      </w:pPr>
    </w:p>
    <w:p>
      <w:pPr>
        <w:pStyle w:val="Heading2"/>
        <w:numPr>
          <w:ilvl w:val="1"/>
          <w:numId w:val="5"/>
        </w:numPr>
        <w:tabs>
          <w:tab w:pos="741" w:val="left" w:leader="none"/>
          <w:tab w:pos="743" w:val="left" w:leader="none"/>
        </w:tabs>
        <w:spacing w:line="240" w:lineRule="auto" w:before="126" w:after="0"/>
        <w:ind w:left="742" w:right="0" w:hanging="624"/>
        <w:jc w:val="left"/>
      </w:pPr>
      <w:bookmarkStart w:name="_bookmark21" w:id="22"/>
      <w:bookmarkEnd w:id="22"/>
      <w:r>
        <w:rPr/>
        <w:t>D</w:t>
      </w:r>
      <w:r>
        <w:rPr/>
        <w:t>e danske</w:t>
      </w:r>
      <w:r>
        <w:rPr>
          <w:spacing w:val="1"/>
        </w:rPr>
        <w:t> </w:t>
      </w:r>
      <w:r>
        <w:rPr/>
        <w:t>universiteter</w:t>
      </w:r>
    </w:p>
    <w:p>
      <w:pPr>
        <w:pStyle w:val="BodyText"/>
        <w:spacing w:line="264" w:lineRule="auto" w:before="22"/>
        <w:ind w:left="742" w:right="1191"/>
      </w:pPr>
      <w:r>
        <w:rPr/>
        <w:t>Danmark har indtil for nylig været en lille, men stadig traditionel rumforskningsnation og fokus har været på nicheområder inden for rumforskning og levering af rumfartsteknologier. Udviklingen og opsendelsen af den første danske satellit, Ørsted-satellitten i 1999, var kulminationen på en viden- skabelig og teknologisk kraftanstrengelse fra flere universiteter, institutter og virksomheder, og Ørsted-satellitten banede for alvor vejen for dansk forskning og førte dansk industri ind på marke- det for rumfartsudstyr.</w:t>
      </w:r>
    </w:p>
    <w:p>
      <w:pPr>
        <w:pStyle w:val="BodyText"/>
        <w:spacing w:before="5"/>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Fordeling og</w:t>
      </w:r>
      <w:r>
        <w:rPr>
          <w:b/>
          <w:spacing w:val="-2"/>
          <w:sz w:val="18"/>
        </w:rPr>
        <w:t> </w:t>
      </w:r>
      <w:r>
        <w:rPr>
          <w:b/>
          <w:sz w:val="18"/>
        </w:rPr>
        <w:t>koncentration</w:t>
      </w:r>
    </w:p>
    <w:p>
      <w:pPr>
        <w:pStyle w:val="BodyText"/>
        <w:spacing w:line="264" w:lineRule="auto" w:before="21"/>
        <w:ind w:left="742" w:right="1241"/>
      </w:pPr>
      <w:r>
        <w:rPr/>
        <w:t>Det suverænt største danske universitetsforskningsmiljø befinder sig på og omkring DTU. I 2015 havde DTU Space alene omkring 80 videnskabelige fuldtidsansatte og 200 studerende beskæftiget med rumrelaterede aktiviteter. Ud over DTU Space beskæftiger syv andre institutter på DTU sig med rumrelaterede aktiviteter, men her er volumen langt mindre. På DTU Aqua og DTU Miljø vur- deres det eksempelvis, at henholdsvis 0,5 og 2 fuldtidsansatte er beskæftiget med rumrelaterede projekter suppleret med fem studerende.</w:t>
      </w:r>
    </w:p>
    <w:p>
      <w:pPr>
        <w:pStyle w:val="BodyText"/>
        <w:spacing w:before="6"/>
        <w:rPr>
          <w:sz w:val="19"/>
        </w:rPr>
      </w:pPr>
    </w:p>
    <w:p>
      <w:pPr>
        <w:pStyle w:val="BodyText"/>
        <w:spacing w:line="264" w:lineRule="auto"/>
        <w:ind w:left="742" w:right="1205"/>
      </w:pPr>
      <w:r>
        <w:rPr/>
        <w:t>Målt i videnskabelige fuldtidsansatte er der også tale om mindre miljøer på de andre danske uni- versiteter. På Aalborg Universitet, der har opsendt fem egne satellitter og været en af hovedleve- randørerne til ESA Educations SSETI EXPRESS, vurderes de videnskabelige fuldtidsansatte der be- skæftiger sig med rumrelaterede projekter at udgøre otte årsværk. At dette er muligt skyldes ude- lukkende, at de studerende beskæftiget med rumrelaterede projekter udgør en væsentlig del af volumen på de enkelte universiteter. Det fremhæves fra alle sider, at de danske universiteters indsats på området ikke ville være mulig uden de studerende og frivillige og de mange timer, de lægger heri.</w:t>
      </w:r>
    </w:p>
    <w:p>
      <w:pPr>
        <w:pStyle w:val="BodyText"/>
        <w:spacing w:before="4"/>
        <w:rPr>
          <w:sz w:val="19"/>
        </w:rPr>
      </w:pPr>
    </w:p>
    <w:p>
      <w:pPr>
        <w:pStyle w:val="BodyText"/>
        <w:spacing w:line="264" w:lineRule="auto"/>
        <w:ind w:left="742" w:right="1138"/>
      </w:pPr>
      <w:r>
        <w:rPr/>
        <w:t>Tabellen nedenfor angiver et skøn for antallet af videnskabelige årsværk – der samlet set beskæf- tiger sig med rumforskningsrelaterede projekter på de danske universiteter – opdelt på de enkelte institutter. Tallene skal ses som skøn, idet der for de enkelte institutter optræder forskelle i, hvor- vidt postdocs og ph.d.-studerende er medtaget i opgørelserne. Der er også spurgt ind til antallet af studerende, der tager meritgivende point relateret til rumområdet, men en samlet oversigt over disse opgørelser er udeladt grundet relativt store udsving i opgørelsesmetode fra institut til institut. Det skal dog understreges, at de studerende som tidligere nævnt udgør en væsentlig del af volu- men på de enkelte universiteter.</w:t>
      </w:r>
    </w:p>
    <w:p>
      <w:pPr>
        <w:spacing w:before="141"/>
        <w:ind w:left="742" w:right="1179" w:firstLine="0"/>
        <w:jc w:val="left"/>
        <w:rPr>
          <w:b/>
          <w:sz w:val="15"/>
        </w:rPr>
      </w:pPr>
      <w:r>
        <w:rPr>
          <w:b/>
          <w:color w:val="009DDF"/>
          <w:sz w:val="15"/>
        </w:rPr>
        <w:t>Tabel 5. Universiteternes skøn over videnskabelige årsværk beskæftiget med rumrelateret forskning på de enkelte institutter</w:t>
      </w:r>
    </w:p>
    <w:p>
      <w:pPr>
        <w:pStyle w:val="BodyText"/>
        <w:spacing w:before="3"/>
        <w:rPr>
          <w:b/>
          <w:sz w:val="8"/>
        </w:rPr>
      </w:pPr>
    </w:p>
    <w:tbl>
      <w:tblPr>
        <w:tblW w:w="0" w:type="auto"/>
        <w:jc w:val="left"/>
        <w:tblInd w:w="752"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1206"/>
        <w:gridCol w:w="2722"/>
        <w:gridCol w:w="3693"/>
      </w:tblGrid>
      <w:tr>
        <w:trPr>
          <w:trHeight w:val="301" w:hRule="atLeast"/>
        </w:trPr>
        <w:tc>
          <w:tcPr>
            <w:tcW w:w="1206" w:type="dxa"/>
            <w:tcBorders>
              <w:right w:val="nil"/>
            </w:tcBorders>
            <w:shd w:val="clear" w:color="auto" w:fill="A7D2F5"/>
          </w:tcPr>
          <w:p>
            <w:pPr>
              <w:pStyle w:val="TableParagraph"/>
              <w:spacing w:before="54"/>
              <w:rPr>
                <w:b/>
                <w:sz w:val="16"/>
              </w:rPr>
            </w:pPr>
            <w:r>
              <w:rPr>
                <w:b/>
                <w:color w:val="FFFFFF"/>
                <w:sz w:val="16"/>
              </w:rPr>
              <w:t>Universitet</w:t>
            </w:r>
          </w:p>
        </w:tc>
        <w:tc>
          <w:tcPr>
            <w:tcW w:w="2722" w:type="dxa"/>
            <w:tcBorders>
              <w:left w:val="nil"/>
              <w:right w:val="nil"/>
            </w:tcBorders>
            <w:shd w:val="clear" w:color="auto" w:fill="A7D2F5"/>
          </w:tcPr>
          <w:p>
            <w:pPr>
              <w:pStyle w:val="TableParagraph"/>
              <w:spacing w:before="54"/>
              <w:ind w:left="116"/>
              <w:rPr>
                <w:b/>
                <w:sz w:val="16"/>
              </w:rPr>
            </w:pPr>
            <w:r>
              <w:rPr>
                <w:b/>
                <w:color w:val="FFFFFF"/>
                <w:sz w:val="16"/>
              </w:rPr>
              <w:t>Institut</w:t>
            </w:r>
          </w:p>
        </w:tc>
        <w:tc>
          <w:tcPr>
            <w:tcW w:w="3693" w:type="dxa"/>
            <w:tcBorders>
              <w:left w:val="nil"/>
            </w:tcBorders>
            <w:shd w:val="clear" w:color="auto" w:fill="A7D2F5"/>
          </w:tcPr>
          <w:p>
            <w:pPr>
              <w:pStyle w:val="TableParagraph"/>
              <w:spacing w:before="54"/>
              <w:ind w:left="0" w:right="84"/>
              <w:jc w:val="right"/>
              <w:rPr>
                <w:b/>
                <w:sz w:val="16"/>
              </w:rPr>
            </w:pPr>
            <w:r>
              <w:rPr>
                <w:b/>
                <w:color w:val="FFFFFF"/>
                <w:sz w:val="16"/>
              </w:rPr>
              <w:t>Videnskabelige årsværk</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AU</w:t>
            </w:r>
          </w:p>
        </w:tc>
        <w:tc>
          <w:tcPr>
            <w:tcW w:w="2722" w:type="dxa"/>
            <w:tcBorders>
              <w:left w:val="nil"/>
              <w:right w:val="nil"/>
            </w:tcBorders>
            <w:shd w:val="clear" w:color="auto" w:fill="E9F4FB"/>
          </w:tcPr>
          <w:p>
            <w:pPr>
              <w:pStyle w:val="TableParagraph"/>
              <w:spacing w:before="54"/>
              <w:ind w:left="116"/>
              <w:rPr>
                <w:sz w:val="16"/>
              </w:rPr>
            </w:pPr>
            <w:r>
              <w:rPr>
                <w:sz w:val="16"/>
              </w:rPr>
              <w:t>Miljøvidenskab</w:t>
            </w:r>
          </w:p>
        </w:tc>
        <w:tc>
          <w:tcPr>
            <w:tcW w:w="3693" w:type="dxa"/>
            <w:tcBorders>
              <w:left w:val="nil"/>
            </w:tcBorders>
            <w:shd w:val="clear" w:color="auto" w:fill="E9F4FB"/>
          </w:tcPr>
          <w:p>
            <w:pPr>
              <w:pStyle w:val="TableParagraph"/>
              <w:spacing w:before="54"/>
              <w:ind w:left="0" w:right="84"/>
              <w:jc w:val="right"/>
              <w:rPr>
                <w:sz w:val="16"/>
              </w:rPr>
            </w:pPr>
            <w:r>
              <w:rPr>
                <w:w w:val="100"/>
                <w:sz w:val="16"/>
              </w:rPr>
              <w:t>4</w:t>
            </w:r>
          </w:p>
        </w:tc>
      </w:tr>
      <w:tr>
        <w:trPr>
          <w:trHeight w:val="299" w:hRule="atLeast"/>
        </w:trPr>
        <w:tc>
          <w:tcPr>
            <w:tcW w:w="1206" w:type="dxa"/>
            <w:tcBorders>
              <w:right w:val="nil"/>
            </w:tcBorders>
          </w:tcPr>
          <w:p>
            <w:pPr>
              <w:pStyle w:val="TableParagraph"/>
              <w:spacing w:before="54"/>
              <w:rPr>
                <w:sz w:val="16"/>
              </w:rPr>
            </w:pPr>
            <w:r>
              <w:rPr>
                <w:sz w:val="16"/>
              </w:rPr>
              <w:t>AU</w:t>
            </w:r>
          </w:p>
        </w:tc>
        <w:tc>
          <w:tcPr>
            <w:tcW w:w="2722" w:type="dxa"/>
            <w:tcBorders>
              <w:left w:val="nil"/>
              <w:right w:val="nil"/>
            </w:tcBorders>
          </w:tcPr>
          <w:p>
            <w:pPr>
              <w:pStyle w:val="TableParagraph"/>
              <w:spacing w:before="54"/>
              <w:ind w:left="116"/>
              <w:rPr>
                <w:sz w:val="16"/>
              </w:rPr>
            </w:pPr>
            <w:r>
              <w:rPr>
                <w:sz w:val="16"/>
              </w:rPr>
              <w:t>Biomedicin</w:t>
            </w:r>
          </w:p>
        </w:tc>
        <w:tc>
          <w:tcPr>
            <w:tcW w:w="3693" w:type="dxa"/>
            <w:tcBorders>
              <w:left w:val="nil"/>
            </w:tcBorders>
          </w:tcPr>
          <w:p>
            <w:pPr>
              <w:pStyle w:val="TableParagraph"/>
              <w:spacing w:before="54"/>
              <w:ind w:left="0" w:right="84"/>
              <w:jc w:val="right"/>
              <w:rPr>
                <w:sz w:val="16"/>
              </w:rPr>
            </w:pPr>
            <w:r>
              <w:rPr>
                <w:sz w:val="16"/>
              </w:rPr>
              <w:t>5,5</w:t>
            </w:r>
          </w:p>
        </w:tc>
      </w:tr>
      <w:tr>
        <w:trPr>
          <w:trHeight w:val="301" w:hRule="atLeast"/>
        </w:trPr>
        <w:tc>
          <w:tcPr>
            <w:tcW w:w="1206" w:type="dxa"/>
            <w:tcBorders>
              <w:right w:val="nil"/>
            </w:tcBorders>
            <w:shd w:val="clear" w:color="auto" w:fill="E9F4FB"/>
          </w:tcPr>
          <w:p>
            <w:pPr>
              <w:pStyle w:val="TableParagraph"/>
              <w:spacing w:before="54"/>
              <w:rPr>
                <w:sz w:val="16"/>
              </w:rPr>
            </w:pPr>
            <w:r>
              <w:rPr>
                <w:sz w:val="16"/>
              </w:rPr>
              <w:t>AU</w:t>
            </w:r>
          </w:p>
        </w:tc>
        <w:tc>
          <w:tcPr>
            <w:tcW w:w="2722" w:type="dxa"/>
            <w:tcBorders>
              <w:left w:val="nil"/>
              <w:right w:val="nil"/>
            </w:tcBorders>
            <w:shd w:val="clear" w:color="auto" w:fill="E9F4FB"/>
          </w:tcPr>
          <w:p>
            <w:pPr>
              <w:pStyle w:val="TableParagraph"/>
              <w:spacing w:before="54"/>
              <w:ind w:left="116"/>
              <w:rPr>
                <w:sz w:val="16"/>
              </w:rPr>
            </w:pPr>
            <w:r>
              <w:rPr>
                <w:sz w:val="16"/>
              </w:rPr>
              <w:t>Fysik</w:t>
            </w:r>
          </w:p>
        </w:tc>
        <w:tc>
          <w:tcPr>
            <w:tcW w:w="3693" w:type="dxa"/>
            <w:tcBorders>
              <w:left w:val="nil"/>
            </w:tcBorders>
            <w:shd w:val="clear" w:color="auto" w:fill="E9F4FB"/>
          </w:tcPr>
          <w:p>
            <w:pPr>
              <w:pStyle w:val="TableParagraph"/>
              <w:spacing w:before="54"/>
              <w:ind w:left="0" w:right="83"/>
              <w:jc w:val="right"/>
              <w:rPr>
                <w:sz w:val="16"/>
              </w:rPr>
            </w:pPr>
            <w:r>
              <w:rPr>
                <w:sz w:val="16"/>
              </w:rPr>
              <w:t>22</w:t>
            </w:r>
          </w:p>
        </w:tc>
      </w:tr>
      <w:tr>
        <w:trPr>
          <w:trHeight w:val="299" w:hRule="atLeast"/>
        </w:trPr>
        <w:tc>
          <w:tcPr>
            <w:tcW w:w="1206" w:type="dxa"/>
            <w:tcBorders>
              <w:right w:val="nil"/>
            </w:tcBorders>
          </w:tcPr>
          <w:p>
            <w:pPr>
              <w:pStyle w:val="TableParagraph"/>
              <w:spacing w:before="54"/>
              <w:rPr>
                <w:sz w:val="16"/>
              </w:rPr>
            </w:pPr>
            <w:r>
              <w:rPr>
                <w:sz w:val="16"/>
              </w:rPr>
              <w:t>AU</w:t>
            </w:r>
          </w:p>
        </w:tc>
        <w:tc>
          <w:tcPr>
            <w:tcW w:w="2722" w:type="dxa"/>
            <w:tcBorders>
              <w:left w:val="nil"/>
              <w:right w:val="nil"/>
            </w:tcBorders>
          </w:tcPr>
          <w:p>
            <w:pPr>
              <w:pStyle w:val="TableParagraph"/>
              <w:spacing w:before="54"/>
              <w:ind w:left="116"/>
              <w:rPr>
                <w:sz w:val="16"/>
              </w:rPr>
            </w:pPr>
            <w:r>
              <w:rPr>
                <w:sz w:val="16"/>
              </w:rPr>
              <w:t>Geoscience</w:t>
            </w:r>
          </w:p>
        </w:tc>
        <w:tc>
          <w:tcPr>
            <w:tcW w:w="3693" w:type="dxa"/>
            <w:tcBorders>
              <w:left w:val="nil"/>
            </w:tcBorders>
          </w:tcPr>
          <w:p>
            <w:pPr>
              <w:pStyle w:val="TableParagraph"/>
              <w:spacing w:before="54"/>
              <w:ind w:left="0" w:right="83"/>
              <w:jc w:val="right"/>
              <w:rPr>
                <w:i/>
                <w:sz w:val="16"/>
              </w:rPr>
            </w:pPr>
            <w:r>
              <w:rPr>
                <w:i/>
                <w:sz w:val="16"/>
              </w:rPr>
              <w:t>Ikke oplyst</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AU</w:t>
            </w:r>
          </w:p>
        </w:tc>
        <w:tc>
          <w:tcPr>
            <w:tcW w:w="2722" w:type="dxa"/>
            <w:tcBorders>
              <w:left w:val="nil"/>
              <w:right w:val="nil"/>
            </w:tcBorders>
            <w:shd w:val="clear" w:color="auto" w:fill="E9F4FB"/>
          </w:tcPr>
          <w:p>
            <w:pPr>
              <w:pStyle w:val="TableParagraph"/>
              <w:spacing w:before="54"/>
              <w:ind w:left="116"/>
              <w:rPr>
                <w:sz w:val="16"/>
              </w:rPr>
            </w:pPr>
            <w:r>
              <w:rPr>
                <w:sz w:val="16"/>
              </w:rPr>
              <w:t>Kemi</w:t>
            </w:r>
          </w:p>
        </w:tc>
        <w:tc>
          <w:tcPr>
            <w:tcW w:w="3693" w:type="dxa"/>
            <w:tcBorders>
              <w:left w:val="nil"/>
            </w:tcBorders>
            <w:shd w:val="clear" w:color="auto" w:fill="E9F4FB"/>
          </w:tcPr>
          <w:p>
            <w:pPr>
              <w:pStyle w:val="TableParagraph"/>
              <w:spacing w:before="54"/>
              <w:ind w:left="0" w:right="83"/>
              <w:jc w:val="right"/>
              <w:rPr>
                <w:sz w:val="16"/>
              </w:rPr>
            </w:pPr>
            <w:r>
              <w:rPr>
                <w:sz w:val="16"/>
              </w:rPr>
              <w:t>15</w:t>
            </w:r>
          </w:p>
        </w:tc>
      </w:tr>
      <w:tr>
        <w:trPr>
          <w:trHeight w:val="302" w:hRule="atLeast"/>
        </w:trPr>
        <w:tc>
          <w:tcPr>
            <w:tcW w:w="1206" w:type="dxa"/>
            <w:tcBorders>
              <w:right w:val="nil"/>
            </w:tcBorders>
          </w:tcPr>
          <w:p>
            <w:pPr>
              <w:pStyle w:val="TableParagraph"/>
              <w:spacing w:before="54"/>
              <w:rPr>
                <w:sz w:val="16"/>
              </w:rPr>
            </w:pPr>
            <w:r>
              <w:rPr>
                <w:sz w:val="16"/>
              </w:rPr>
              <w:t>DTU</w:t>
            </w:r>
          </w:p>
        </w:tc>
        <w:tc>
          <w:tcPr>
            <w:tcW w:w="2722" w:type="dxa"/>
            <w:tcBorders>
              <w:left w:val="nil"/>
              <w:right w:val="nil"/>
            </w:tcBorders>
          </w:tcPr>
          <w:p>
            <w:pPr>
              <w:pStyle w:val="TableParagraph"/>
              <w:spacing w:before="54"/>
              <w:ind w:left="116"/>
              <w:rPr>
                <w:sz w:val="16"/>
              </w:rPr>
            </w:pPr>
            <w:r>
              <w:rPr>
                <w:sz w:val="16"/>
              </w:rPr>
              <w:t>DTU Compute</w:t>
            </w:r>
          </w:p>
        </w:tc>
        <w:tc>
          <w:tcPr>
            <w:tcW w:w="3693" w:type="dxa"/>
            <w:tcBorders>
              <w:left w:val="nil"/>
            </w:tcBorders>
          </w:tcPr>
          <w:p>
            <w:pPr>
              <w:pStyle w:val="TableParagraph"/>
              <w:spacing w:before="54"/>
              <w:ind w:left="0" w:right="84"/>
              <w:jc w:val="right"/>
              <w:rPr>
                <w:sz w:val="16"/>
              </w:rPr>
            </w:pPr>
            <w:r>
              <w:rPr>
                <w:w w:val="100"/>
                <w:sz w:val="16"/>
              </w:rPr>
              <w:t>2</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DTU</w:t>
            </w:r>
          </w:p>
        </w:tc>
        <w:tc>
          <w:tcPr>
            <w:tcW w:w="2722" w:type="dxa"/>
            <w:tcBorders>
              <w:left w:val="nil"/>
              <w:right w:val="nil"/>
            </w:tcBorders>
            <w:shd w:val="clear" w:color="auto" w:fill="E9F4FB"/>
          </w:tcPr>
          <w:p>
            <w:pPr>
              <w:pStyle w:val="TableParagraph"/>
              <w:spacing w:before="54"/>
              <w:ind w:left="116"/>
              <w:rPr>
                <w:sz w:val="16"/>
              </w:rPr>
            </w:pPr>
            <w:r>
              <w:rPr>
                <w:sz w:val="16"/>
              </w:rPr>
              <w:t>DTU Kemi</w:t>
            </w:r>
          </w:p>
        </w:tc>
        <w:tc>
          <w:tcPr>
            <w:tcW w:w="3693" w:type="dxa"/>
            <w:tcBorders>
              <w:left w:val="nil"/>
            </w:tcBorders>
            <w:shd w:val="clear" w:color="auto" w:fill="E9F4FB"/>
          </w:tcPr>
          <w:p>
            <w:pPr>
              <w:pStyle w:val="TableParagraph"/>
              <w:spacing w:before="54"/>
              <w:ind w:left="0" w:right="84"/>
              <w:jc w:val="right"/>
              <w:rPr>
                <w:sz w:val="16"/>
              </w:rPr>
            </w:pPr>
            <w:r>
              <w:rPr>
                <w:w w:val="100"/>
                <w:sz w:val="16"/>
              </w:rPr>
              <w:t>0</w:t>
            </w:r>
          </w:p>
        </w:tc>
      </w:tr>
      <w:tr>
        <w:trPr>
          <w:trHeight w:val="299" w:hRule="atLeast"/>
        </w:trPr>
        <w:tc>
          <w:tcPr>
            <w:tcW w:w="1206" w:type="dxa"/>
            <w:tcBorders>
              <w:right w:val="nil"/>
            </w:tcBorders>
          </w:tcPr>
          <w:p>
            <w:pPr>
              <w:pStyle w:val="TableParagraph"/>
              <w:spacing w:before="54"/>
              <w:rPr>
                <w:sz w:val="16"/>
              </w:rPr>
            </w:pPr>
            <w:r>
              <w:rPr>
                <w:sz w:val="16"/>
              </w:rPr>
              <w:t>DTU</w:t>
            </w:r>
          </w:p>
        </w:tc>
        <w:tc>
          <w:tcPr>
            <w:tcW w:w="2722" w:type="dxa"/>
            <w:tcBorders>
              <w:left w:val="nil"/>
              <w:right w:val="nil"/>
            </w:tcBorders>
          </w:tcPr>
          <w:p>
            <w:pPr>
              <w:pStyle w:val="TableParagraph"/>
              <w:spacing w:before="54"/>
              <w:ind w:left="116"/>
              <w:rPr>
                <w:sz w:val="16"/>
              </w:rPr>
            </w:pPr>
            <w:r>
              <w:rPr>
                <w:sz w:val="16"/>
              </w:rPr>
              <w:t>DTU Vind</w:t>
            </w:r>
          </w:p>
        </w:tc>
        <w:tc>
          <w:tcPr>
            <w:tcW w:w="3693" w:type="dxa"/>
            <w:tcBorders>
              <w:left w:val="nil"/>
            </w:tcBorders>
          </w:tcPr>
          <w:p>
            <w:pPr>
              <w:pStyle w:val="TableParagraph"/>
              <w:spacing w:before="54"/>
              <w:ind w:left="0" w:right="83"/>
              <w:jc w:val="right"/>
              <w:rPr>
                <w:i/>
                <w:sz w:val="16"/>
              </w:rPr>
            </w:pPr>
            <w:r>
              <w:rPr>
                <w:i/>
                <w:sz w:val="16"/>
              </w:rPr>
              <w:t>Ikke oplyst</w:t>
            </w:r>
          </w:p>
        </w:tc>
      </w:tr>
      <w:tr>
        <w:trPr>
          <w:trHeight w:val="301" w:hRule="atLeast"/>
        </w:trPr>
        <w:tc>
          <w:tcPr>
            <w:tcW w:w="1206" w:type="dxa"/>
            <w:tcBorders>
              <w:right w:val="nil"/>
            </w:tcBorders>
            <w:shd w:val="clear" w:color="auto" w:fill="E9F4FB"/>
          </w:tcPr>
          <w:p>
            <w:pPr>
              <w:pStyle w:val="TableParagraph"/>
              <w:spacing w:before="54"/>
              <w:rPr>
                <w:sz w:val="16"/>
              </w:rPr>
            </w:pPr>
            <w:r>
              <w:rPr>
                <w:sz w:val="16"/>
              </w:rPr>
              <w:t>DTU</w:t>
            </w:r>
          </w:p>
        </w:tc>
        <w:tc>
          <w:tcPr>
            <w:tcW w:w="2722" w:type="dxa"/>
            <w:tcBorders>
              <w:left w:val="nil"/>
              <w:right w:val="nil"/>
            </w:tcBorders>
            <w:shd w:val="clear" w:color="auto" w:fill="E9F4FB"/>
          </w:tcPr>
          <w:p>
            <w:pPr>
              <w:pStyle w:val="TableParagraph"/>
              <w:spacing w:before="54"/>
              <w:ind w:left="116"/>
              <w:rPr>
                <w:sz w:val="16"/>
              </w:rPr>
            </w:pPr>
            <w:r>
              <w:rPr>
                <w:sz w:val="16"/>
              </w:rPr>
              <w:t>DTU Space</w:t>
            </w:r>
          </w:p>
        </w:tc>
        <w:tc>
          <w:tcPr>
            <w:tcW w:w="3693" w:type="dxa"/>
            <w:tcBorders>
              <w:left w:val="nil"/>
            </w:tcBorders>
            <w:shd w:val="clear" w:color="auto" w:fill="E9F4FB"/>
          </w:tcPr>
          <w:p>
            <w:pPr>
              <w:pStyle w:val="TableParagraph"/>
              <w:spacing w:before="54"/>
              <w:ind w:left="0" w:right="83"/>
              <w:jc w:val="right"/>
              <w:rPr>
                <w:sz w:val="16"/>
              </w:rPr>
            </w:pPr>
            <w:r>
              <w:rPr>
                <w:sz w:val="16"/>
              </w:rPr>
              <w:t>80</w:t>
            </w:r>
          </w:p>
        </w:tc>
      </w:tr>
      <w:tr>
        <w:trPr>
          <w:trHeight w:val="299" w:hRule="atLeast"/>
        </w:trPr>
        <w:tc>
          <w:tcPr>
            <w:tcW w:w="1206" w:type="dxa"/>
            <w:tcBorders>
              <w:right w:val="nil"/>
            </w:tcBorders>
          </w:tcPr>
          <w:p>
            <w:pPr>
              <w:pStyle w:val="TableParagraph"/>
              <w:spacing w:before="54"/>
              <w:rPr>
                <w:sz w:val="16"/>
              </w:rPr>
            </w:pPr>
            <w:r>
              <w:rPr>
                <w:sz w:val="16"/>
              </w:rPr>
              <w:t>DTU</w:t>
            </w:r>
          </w:p>
        </w:tc>
        <w:tc>
          <w:tcPr>
            <w:tcW w:w="2722" w:type="dxa"/>
            <w:tcBorders>
              <w:left w:val="nil"/>
              <w:right w:val="nil"/>
            </w:tcBorders>
          </w:tcPr>
          <w:p>
            <w:pPr>
              <w:pStyle w:val="TableParagraph"/>
              <w:spacing w:before="54"/>
              <w:ind w:left="116"/>
              <w:rPr>
                <w:sz w:val="16"/>
              </w:rPr>
            </w:pPr>
            <w:r>
              <w:rPr>
                <w:sz w:val="16"/>
              </w:rPr>
              <w:t>DTU Elektro</w:t>
            </w:r>
          </w:p>
        </w:tc>
        <w:tc>
          <w:tcPr>
            <w:tcW w:w="3693" w:type="dxa"/>
            <w:tcBorders>
              <w:left w:val="nil"/>
            </w:tcBorders>
          </w:tcPr>
          <w:p>
            <w:pPr>
              <w:pStyle w:val="TableParagraph"/>
              <w:spacing w:before="54"/>
              <w:ind w:left="0" w:right="84"/>
              <w:jc w:val="right"/>
              <w:rPr>
                <w:sz w:val="16"/>
              </w:rPr>
            </w:pPr>
            <w:r>
              <w:rPr>
                <w:w w:val="100"/>
                <w:sz w:val="16"/>
              </w:rPr>
              <w:t>5</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DTU</w:t>
            </w:r>
          </w:p>
        </w:tc>
        <w:tc>
          <w:tcPr>
            <w:tcW w:w="2722" w:type="dxa"/>
            <w:tcBorders>
              <w:left w:val="nil"/>
              <w:right w:val="nil"/>
            </w:tcBorders>
            <w:shd w:val="clear" w:color="auto" w:fill="E9F4FB"/>
          </w:tcPr>
          <w:p>
            <w:pPr>
              <w:pStyle w:val="TableParagraph"/>
              <w:spacing w:before="54"/>
              <w:ind w:left="116"/>
              <w:rPr>
                <w:sz w:val="16"/>
              </w:rPr>
            </w:pPr>
            <w:r>
              <w:rPr>
                <w:sz w:val="16"/>
              </w:rPr>
              <w:t>DTU Miljø</w:t>
            </w:r>
          </w:p>
        </w:tc>
        <w:tc>
          <w:tcPr>
            <w:tcW w:w="3693" w:type="dxa"/>
            <w:tcBorders>
              <w:left w:val="nil"/>
            </w:tcBorders>
            <w:shd w:val="clear" w:color="auto" w:fill="E9F4FB"/>
          </w:tcPr>
          <w:p>
            <w:pPr>
              <w:pStyle w:val="TableParagraph"/>
              <w:spacing w:before="54"/>
              <w:ind w:left="0" w:right="84"/>
              <w:jc w:val="right"/>
              <w:rPr>
                <w:sz w:val="16"/>
              </w:rPr>
            </w:pPr>
            <w:r>
              <w:rPr>
                <w:w w:val="100"/>
                <w:sz w:val="16"/>
              </w:rPr>
              <w:t>2</w:t>
            </w:r>
          </w:p>
        </w:tc>
      </w:tr>
      <w:tr>
        <w:trPr>
          <w:trHeight w:val="301" w:hRule="atLeast"/>
        </w:trPr>
        <w:tc>
          <w:tcPr>
            <w:tcW w:w="1206" w:type="dxa"/>
            <w:tcBorders>
              <w:right w:val="nil"/>
            </w:tcBorders>
          </w:tcPr>
          <w:p>
            <w:pPr>
              <w:pStyle w:val="TableParagraph"/>
              <w:spacing w:before="54"/>
              <w:rPr>
                <w:sz w:val="16"/>
              </w:rPr>
            </w:pPr>
            <w:r>
              <w:rPr>
                <w:sz w:val="16"/>
              </w:rPr>
              <w:t>DTU</w:t>
            </w:r>
          </w:p>
        </w:tc>
        <w:tc>
          <w:tcPr>
            <w:tcW w:w="2722" w:type="dxa"/>
            <w:tcBorders>
              <w:left w:val="nil"/>
              <w:right w:val="nil"/>
            </w:tcBorders>
          </w:tcPr>
          <w:p>
            <w:pPr>
              <w:pStyle w:val="TableParagraph"/>
              <w:spacing w:before="54"/>
              <w:ind w:left="116"/>
              <w:rPr>
                <w:sz w:val="16"/>
              </w:rPr>
            </w:pPr>
            <w:r>
              <w:rPr>
                <w:sz w:val="16"/>
              </w:rPr>
              <w:t>DTU Aqua</w:t>
            </w:r>
          </w:p>
        </w:tc>
        <w:tc>
          <w:tcPr>
            <w:tcW w:w="3693" w:type="dxa"/>
            <w:tcBorders>
              <w:left w:val="nil"/>
            </w:tcBorders>
          </w:tcPr>
          <w:p>
            <w:pPr>
              <w:pStyle w:val="TableParagraph"/>
              <w:spacing w:before="54"/>
              <w:ind w:left="0" w:right="84"/>
              <w:jc w:val="right"/>
              <w:rPr>
                <w:sz w:val="16"/>
              </w:rPr>
            </w:pPr>
            <w:r>
              <w:rPr>
                <w:sz w:val="16"/>
              </w:rPr>
              <w:t>0,5</w:t>
            </w:r>
          </w:p>
        </w:tc>
      </w:tr>
    </w:tbl>
    <w:p>
      <w:pPr>
        <w:spacing w:after="0"/>
        <w:jc w:val="right"/>
        <w:rPr>
          <w:sz w:val="16"/>
        </w:rPr>
        <w:sectPr>
          <w:pgSz w:w="11910" w:h="16840"/>
          <w:pgMar w:header="0" w:footer="1056" w:top="1580" w:bottom="1240" w:left="960" w:right="0"/>
        </w:sectPr>
      </w:pPr>
    </w:p>
    <w:p>
      <w:pPr>
        <w:pStyle w:val="BodyText"/>
        <w:spacing w:before="5" w:after="1"/>
        <w:rPr>
          <w:b/>
          <w:sz w:val="8"/>
        </w:rPr>
      </w:pPr>
    </w:p>
    <w:tbl>
      <w:tblPr>
        <w:tblW w:w="0" w:type="auto"/>
        <w:jc w:val="left"/>
        <w:tblInd w:w="752"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1206"/>
        <w:gridCol w:w="3976"/>
        <w:gridCol w:w="2438"/>
      </w:tblGrid>
      <w:tr>
        <w:trPr>
          <w:trHeight w:val="299" w:hRule="atLeast"/>
        </w:trPr>
        <w:tc>
          <w:tcPr>
            <w:tcW w:w="1206" w:type="dxa"/>
            <w:tcBorders>
              <w:right w:val="nil"/>
            </w:tcBorders>
            <w:shd w:val="clear" w:color="auto" w:fill="A7D2F5"/>
          </w:tcPr>
          <w:p>
            <w:pPr>
              <w:pStyle w:val="TableParagraph"/>
              <w:spacing w:before="55"/>
              <w:rPr>
                <w:b/>
                <w:sz w:val="16"/>
              </w:rPr>
            </w:pPr>
            <w:r>
              <w:rPr>
                <w:b/>
                <w:color w:val="FFFFFF"/>
                <w:sz w:val="16"/>
              </w:rPr>
              <w:t>Universitet</w:t>
            </w:r>
          </w:p>
        </w:tc>
        <w:tc>
          <w:tcPr>
            <w:tcW w:w="3976" w:type="dxa"/>
            <w:tcBorders>
              <w:left w:val="nil"/>
              <w:right w:val="nil"/>
            </w:tcBorders>
            <w:shd w:val="clear" w:color="auto" w:fill="A7D2F5"/>
          </w:tcPr>
          <w:p>
            <w:pPr>
              <w:pStyle w:val="TableParagraph"/>
              <w:spacing w:before="55"/>
              <w:ind w:left="116"/>
              <w:rPr>
                <w:b/>
                <w:sz w:val="16"/>
              </w:rPr>
            </w:pPr>
            <w:r>
              <w:rPr>
                <w:b/>
                <w:color w:val="FFFFFF"/>
                <w:sz w:val="16"/>
              </w:rPr>
              <w:t>Institut</w:t>
            </w:r>
          </w:p>
        </w:tc>
        <w:tc>
          <w:tcPr>
            <w:tcW w:w="2438" w:type="dxa"/>
            <w:tcBorders>
              <w:left w:val="nil"/>
            </w:tcBorders>
            <w:shd w:val="clear" w:color="auto" w:fill="A7D2F5"/>
          </w:tcPr>
          <w:p>
            <w:pPr>
              <w:pStyle w:val="TableParagraph"/>
              <w:spacing w:before="55"/>
              <w:ind w:left="0" w:right="83"/>
              <w:jc w:val="right"/>
              <w:rPr>
                <w:b/>
                <w:sz w:val="16"/>
              </w:rPr>
            </w:pPr>
            <w:r>
              <w:rPr>
                <w:b/>
                <w:color w:val="FFFFFF"/>
                <w:sz w:val="16"/>
              </w:rPr>
              <w:t>Videnskabelige årsværk</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DTU</w:t>
            </w:r>
          </w:p>
        </w:tc>
        <w:tc>
          <w:tcPr>
            <w:tcW w:w="3976" w:type="dxa"/>
            <w:tcBorders>
              <w:left w:val="nil"/>
              <w:right w:val="nil"/>
            </w:tcBorders>
            <w:shd w:val="clear" w:color="auto" w:fill="E9F4FB"/>
          </w:tcPr>
          <w:p>
            <w:pPr>
              <w:pStyle w:val="TableParagraph"/>
              <w:spacing w:before="54"/>
              <w:ind w:left="116"/>
              <w:rPr>
                <w:sz w:val="16"/>
              </w:rPr>
            </w:pPr>
            <w:r>
              <w:rPr>
                <w:sz w:val="16"/>
              </w:rPr>
              <w:t>DTU Byg</w:t>
            </w:r>
          </w:p>
        </w:tc>
        <w:tc>
          <w:tcPr>
            <w:tcW w:w="2438" w:type="dxa"/>
            <w:tcBorders>
              <w:left w:val="nil"/>
            </w:tcBorders>
            <w:shd w:val="clear" w:color="auto" w:fill="E9F4FB"/>
          </w:tcPr>
          <w:p>
            <w:pPr>
              <w:pStyle w:val="TableParagraph"/>
              <w:spacing w:before="54"/>
              <w:ind w:left="0" w:right="83"/>
              <w:jc w:val="right"/>
              <w:rPr>
                <w:sz w:val="16"/>
              </w:rPr>
            </w:pPr>
            <w:r>
              <w:rPr>
                <w:sz w:val="16"/>
              </w:rPr>
              <w:t>0,5</w:t>
            </w:r>
          </w:p>
        </w:tc>
      </w:tr>
      <w:tr>
        <w:trPr>
          <w:trHeight w:val="301" w:hRule="atLeast"/>
        </w:trPr>
        <w:tc>
          <w:tcPr>
            <w:tcW w:w="1206" w:type="dxa"/>
            <w:tcBorders>
              <w:right w:val="nil"/>
            </w:tcBorders>
          </w:tcPr>
          <w:p>
            <w:pPr>
              <w:pStyle w:val="TableParagraph"/>
              <w:spacing w:before="57"/>
              <w:rPr>
                <w:sz w:val="16"/>
              </w:rPr>
            </w:pPr>
            <w:r>
              <w:rPr>
                <w:sz w:val="16"/>
              </w:rPr>
              <w:t>DTU</w:t>
            </w:r>
          </w:p>
        </w:tc>
        <w:tc>
          <w:tcPr>
            <w:tcW w:w="3976" w:type="dxa"/>
            <w:tcBorders>
              <w:left w:val="nil"/>
              <w:right w:val="nil"/>
            </w:tcBorders>
          </w:tcPr>
          <w:p>
            <w:pPr>
              <w:pStyle w:val="TableParagraph"/>
              <w:spacing w:before="57"/>
              <w:ind w:left="116"/>
              <w:rPr>
                <w:sz w:val="16"/>
              </w:rPr>
            </w:pPr>
            <w:r>
              <w:rPr>
                <w:sz w:val="16"/>
              </w:rPr>
              <w:t>DTU Fysik</w:t>
            </w:r>
          </w:p>
        </w:tc>
        <w:tc>
          <w:tcPr>
            <w:tcW w:w="2438" w:type="dxa"/>
            <w:tcBorders>
              <w:left w:val="nil"/>
            </w:tcBorders>
          </w:tcPr>
          <w:p>
            <w:pPr>
              <w:pStyle w:val="TableParagraph"/>
              <w:spacing w:before="57"/>
              <w:ind w:left="0" w:right="83"/>
              <w:jc w:val="right"/>
              <w:rPr>
                <w:sz w:val="16"/>
              </w:rPr>
            </w:pPr>
            <w:r>
              <w:rPr>
                <w:w w:val="100"/>
                <w:sz w:val="16"/>
              </w:rPr>
              <w:t>0</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DTU</w:t>
            </w:r>
          </w:p>
        </w:tc>
        <w:tc>
          <w:tcPr>
            <w:tcW w:w="3976" w:type="dxa"/>
            <w:tcBorders>
              <w:left w:val="nil"/>
              <w:right w:val="nil"/>
            </w:tcBorders>
            <w:shd w:val="clear" w:color="auto" w:fill="E9F4FB"/>
          </w:tcPr>
          <w:p>
            <w:pPr>
              <w:pStyle w:val="TableParagraph"/>
              <w:spacing w:before="54"/>
              <w:ind w:left="116"/>
              <w:rPr>
                <w:sz w:val="16"/>
              </w:rPr>
            </w:pPr>
            <w:r>
              <w:rPr>
                <w:sz w:val="16"/>
              </w:rPr>
              <w:t>DTU Management Engineering</w:t>
            </w:r>
          </w:p>
        </w:tc>
        <w:tc>
          <w:tcPr>
            <w:tcW w:w="2438" w:type="dxa"/>
            <w:tcBorders>
              <w:left w:val="nil"/>
            </w:tcBorders>
            <w:shd w:val="clear" w:color="auto" w:fill="E9F4FB"/>
          </w:tcPr>
          <w:p>
            <w:pPr>
              <w:pStyle w:val="TableParagraph"/>
              <w:spacing w:before="54"/>
              <w:ind w:left="0" w:right="83"/>
              <w:jc w:val="right"/>
              <w:rPr>
                <w:sz w:val="16"/>
              </w:rPr>
            </w:pPr>
            <w:r>
              <w:rPr>
                <w:w w:val="100"/>
                <w:sz w:val="16"/>
              </w:rPr>
              <w:t>0</w:t>
            </w:r>
          </w:p>
        </w:tc>
      </w:tr>
      <w:tr>
        <w:trPr>
          <w:trHeight w:val="299" w:hRule="atLeast"/>
        </w:trPr>
        <w:tc>
          <w:tcPr>
            <w:tcW w:w="1206" w:type="dxa"/>
            <w:tcBorders>
              <w:right w:val="nil"/>
            </w:tcBorders>
          </w:tcPr>
          <w:p>
            <w:pPr>
              <w:pStyle w:val="TableParagraph"/>
              <w:spacing w:before="54"/>
              <w:rPr>
                <w:sz w:val="16"/>
              </w:rPr>
            </w:pPr>
            <w:r>
              <w:rPr>
                <w:sz w:val="16"/>
              </w:rPr>
              <w:t>KU</w:t>
            </w:r>
          </w:p>
        </w:tc>
        <w:tc>
          <w:tcPr>
            <w:tcW w:w="3976" w:type="dxa"/>
            <w:tcBorders>
              <w:left w:val="nil"/>
              <w:right w:val="nil"/>
            </w:tcBorders>
          </w:tcPr>
          <w:p>
            <w:pPr>
              <w:pStyle w:val="TableParagraph"/>
              <w:spacing w:before="54"/>
              <w:ind w:left="116"/>
              <w:rPr>
                <w:sz w:val="16"/>
              </w:rPr>
            </w:pPr>
            <w:r>
              <w:rPr>
                <w:sz w:val="16"/>
              </w:rPr>
              <w:t>Datalogisk Institut</w:t>
            </w:r>
          </w:p>
        </w:tc>
        <w:tc>
          <w:tcPr>
            <w:tcW w:w="2438" w:type="dxa"/>
            <w:tcBorders>
              <w:left w:val="nil"/>
            </w:tcBorders>
          </w:tcPr>
          <w:p>
            <w:pPr>
              <w:pStyle w:val="TableParagraph"/>
              <w:spacing w:before="54"/>
              <w:ind w:left="0" w:right="83"/>
              <w:jc w:val="right"/>
              <w:rPr>
                <w:sz w:val="16"/>
              </w:rPr>
            </w:pPr>
            <w:r>
              <w:rPr>
                <w:w w:val="100"/>
                <w:sz w:val="16"/>
              </w:rPr>
              <w:t>2</w:t>
            </w:r>
          </w:p>
        </w:tc>
      </w:tr>
      <w:tr>
        <w:trPr>
          <w:trHeight w:val="301" w:hRule="atLeast"/>
        </w:trPr>
        <w:tc>
          <w:tcPr>
            <w:tcW w:w="1206" w:type="dxa"/>
            <w:tcBorders>
              <w:right w:val="nil"/>
            </w:tcBorders>
            <w:shd w:val="clear" w:color="auto" w:fill="E9F4FB"/>
          </w:tcPr>
          <w:p>
            <w:pPr>
              <w:pStyle w:val="TableParagraph"/>
              <w:spacing w:before="57"/>
              <w:rPr>
                <w:sz w:val="16"/>
              </w:rPr>
            </w:pPr>
            <w:r>
              <w:rPr>
                <w:sz w:val="16"/>
              </w:rPr>
              <w:t>KU</w:t>
            </w:r>
          </w:p>
        </w:tc>
        <w:tc>
          <w:tcPr>
            <w:tcW w:w="3976" w:type="dxa"/>
            <w:tcBorders>
              <w:left w:val="nil"/>
              <w:right w:val="nil"/>
            </w:tcBorders>
            <w:shd w:val="clear" w:color="auto" w:fill="E9F4FB"/>
          </w:tcPr>
          <w:p>
            <w:pPr>
              <w:pStyle w:val="TableParagraph"/>
              <w:spacing w:before="57"/>
              <w:ind w:left="116"/>
              <w:rPr>
                <w:sz w:val="16"/>
              </w:rPr>
            </w:pPr>
            <w:r>
              <w:rPr>
                <w:sz w:val="16"/>
              </w:rPr>
              <w:t>Institut for Geovidenskab og Naturforvaltning</w:t>
            </w:r>
          </w:p>
        </w:tc>
        <w:tc>
          <w:tcPr>
            <w:tcW w:w="2438" w:type="dxa"/>
            <w:tcBorders>
              <w:left w:val="nil"/>
            </w:tcBorders>
            <w:shd w:val="clear" w:color="auto" w:fill="E9F4FB"/>
          </w:tcPr>
          <w:p>
            <w:pPr>
              <w:pStyle w:val="TableParagraph"/>
              <w:spacing w:before="57"/>
              <w:ind w:left="0" w:right="83"/>
              <w:jc w:val="right"/>
              <w:rPr>
                <w:sz w:val="16"/>
              </w:rPr>
            </w:pPr>
            <w:r>
              <w:rPr>
                <w:w w:val="100"/>
                <w:sz w:val="16"/>
              </w:rPr>
              <w:t>2</w:t>
            </w:r>
          </w:p>
        </w:tc>
      </w:tr>
      <w:tr>
        <w:trPr>
          <w:trHeight w:val="299" w:hRule="atLeast"/>
        </w:trPr>
        <w:tc>
          <w:tcPr>
            <w:tcW w:w="1206" w:type="dxa"/>
            <w:tcBorders>
              <w:right w:val="nil"/>
            </w:tcBorders>
          </w:tcPr>
          <w:p>
            <w:pPr>
              <w:pStyle w:val="TableParagraph"/>
              <w:spacing w:before="54"/>
              <w:rPr>
                <w:sz w:val="16"/>
              </w:rPr>
            </w:pPr>
            <w:r>
              <w:rPr>
                <w:sz w:val="16"/>
              </w:rPr>
              <w:t>KU</w:t>
            </w:r>
          </w:p>
        </w:tc>
        <w:tc>
          <w:tcPr>
            <w:tcW w:w="3976" w:type="dxa"/>
            <w:tcBorders>
              <w:left w:val="nil"/>
              <w:right w:val="nil"/>
            </w:tcBorders>
          </w:tcPr>
          <w:p>
            <w:pPr>
              <w:pStyle w:val="TableParagraph"/>
              <w:spacing w:before="54"/>
              <w:ind w:left="116"/>
              <w:rPr>
                <w:sz w:val="16"/>
              </w:rPr>
            </w:pPr>
            <w:r>
              <w:rPr>
                <w:sz w:val="16"/>
              </w:rPr>
              <w:t>Kemisk Institut</w:t>
            </w:r>
          </w:p>
        </w:tc>
        <w:tc>
          <w:tcPr>
            <w:tcW w:w="2438" w:type="dxa"/>
            <w:tcBorders>
              <w:left w:val="nil"/>
            </w:tcBorders>
          </w:tcPr>
          <w:p>
            <w:pPr>
              <w:pStyle w:val="TableParagraph"/>
              <w:spacing w:before="54"/>
              <w:ind w:left="0" w:right="83"/>
              <w:jc w:val="right"/>
              <w:rPr>
                <w:sz w:val="16"/>
              </w:rPr>
            </w:pPr>
            <w:r>
              <w:rPr>
                <w:w w:val="100"/>
                <w:sz w:val="16"/>
              </w:rPr>
              <w:t>6</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KU</w:t>
            </w:r>
          </w:p>
        </w:tc>
        <w:tc>
          <w:tcPr>
            <w:tcW w:w="3976" w:type="dxa"/>
            <w:tcBorders>
              <w:left w:val="nil"/>
              <w:right w:val="nil"/>
            </w:tcBorders>
            <w:shd w:val="clear" w:color="auto" w:fill="E9F4FB"/>
          </w:tcPr>
          <w:p>
            <w:pPr>
              <w:pStyle w:val="TableParagraph"/>
              <w:spacing w:before="54"/>
              <w:ind w:left="116"/>
              <w:rPr>
                <w:sz w:val="16"/>
              </w:rPr>
            </w:pPr>
            <w:r>
              <w:rPr>
                <w:sz w:val="16"/>
              </w:rPr>
              <w:t>Niels Bohr Instituttet</w:t>
            </w:r>
          </w:p>
        </w:tc>
        <w:tc>
          <w:tcPr>
            <w:tcW w:w="2438" w:type="dxa"/>
            <w:tcBorders>
              <w:left w:val="nil"/>
            </w:tcBorders>
            <w:shd w:val="clear" w:color="auto" w:fill="E9F4FB"/>
          </w:tcPr>
          <w:p>
            <w:pPr>
              <w:pStyle w:val="TableParagraph"/>
              <w:spacing w:before="54"/>
              <w:ind w:left="0" w:right="82"/>
              <w:jc w:val="right"/>
              <w:rPr>
                <w:sz w:val="16"/>
              </w:rPr>
            </w:pPr>
            <w:r>
              <w:rPr>
                <w:sz w:val="16"/>
              </w:rPr>
              <w:t>12</w:t>
            </w:r>
          </w:p>
        </w:tc>
      </w:tr>
      <w:tr>
        <w:trPr>
          <w:trHeight w:val="301" w:hRule="atLeast"/>
        </w:trPr>
        <w:tc>
          <w:tcPr>
            <w:tcW w:w="1206" w:type="dxa"/>
            <w:tcBorders>
              <w:right w:val="nil"/>
            </w:tcBorders>
          </w:tcPr>
          <w:p>
            <w:pPr>
              <w:pStyle w:val="TableParagraph"/>
              <w:spacing w:before="57"/>
              <w:rPr>
                <w:sz w:val="16"/>
              </w:rPr>
            </w:pPr>
            <w:r>
              <w:rPr>
                <w:sz w:val="16"/>
              </w:rPr>
              <w:t>KU</w:t>
            </w:r>
          </w:p>
        </w:tc>
        <w:tc>
          <w:tcPr>
            <w:tcW w:w="3976" w:type="dxa"/>
            <w:tcBorders>
              <w:left w:val="nil"/>
              <w:right w:val="nil"/>
            </w:tcBorders>
          </w:tcPr>
          <w:p>
            <w:pPr>
              <w:pStyle w:val="TableParagraph"/>
              <w:spacing w:before="57"/>
              <w:ind w:left="116"/>
              <w:rPr>
                <w:sz w:val="16"/>
              </w:rPr>
            </w:pPr>
            <w:r>
              <w:rPr>
                <w:sz w:val="16"/>
              </w:rPr>
              <w:t>Statens Naturhistoriske Museum</w:t>
            </w:r>
          </w:p>
        </w:tc>
        <w:tc>
          <w:tcPr>
            <w:tcW w:w="2438" w:type="dxa"/>
            <w:tcBorders>
              <w:left w:val="nil"/>
            </w:tcBorders>
          </w:tcPr>
          <w:p>
            <w:pPr>
              <w:pStyle w:val="TableParagraph"/>
              <w:spacing w:before="57"/>
              <w:ind w:left="0" w:right="82"/>
              <w:jc w:val="right"/>
              <w:rPr>
                <w:i/>
                <w:sz w:val="16"/>
              </w:rPr>
            </w:pPr>
            <w:r>
              <w:rPr>
                <w:i/>
                <w:sz w:val="16"/>
              </w:rPr>
              <w:t>Ikke oplyst</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KU</w:t>
            </w:r>
          </w:p>
        </w:tc>
        <w:tc>
          <w:tcPr>
            <w:tcW w:w="3976" w:type="dxa"/>
            <w:tcBorders>
              <w:left w:val="nil"/>
              <w:right w:val="nil"/>
            </w:tcBorders>
            <w:shd w:val="clear" w:color="auto" w:fill="E9F4FB"/>
          </w:tcPr>
          <w:p>
            <w:pPr>
              <w:pStyle w:val="TableParagraph"/>
              <w:spacing w:before="54"/>
              <w:ind w:left="116"/>
              <w:rPr>
                <w:sz w:val="16"/>
              </w:rPr>
            </w:pPr>
            <w:r>
              <w:rPr>
                <w:sz w:val="16"/>
              </w:rPr>
              <w:t>Det Sundhedsvidenskabelige Fakultet (SUND)</w:t>
            </w:r>
          </w:p>
        </w:tc>
        <w:tc>
          <w:tcPr>
            <w:tcW w:w="2438" w:type="dxa"/>
            <w:tcBorders>
              <w:left w:val="nil"/>
            </w:tcBorders>
            <w:shd w:val="clear" w:color="auto" w:fill="E9F4FB"/>
          </w:tcPr>
          <w:p>
            <w:pPr>
              <w:pStyle w:val="TableParagraph"/>
              <w:spacing w:before="54"/>
              <w:ind w:left="0" w:right="83"/>
              <w:jc w:val="right"/>
              <w:rPr>
                <w:sz w:val="16"/>
              </w:rPr>
            </w:pPr>
            <w:r>
              <w:rPr>
                <w:w w:val="100"/>
                <w:sz w:val="16"/>
              </w:rPr>
              <w:t>1</w:t>
            </w:r>
          </w:p>
        </w:tc>
      </w:tr>
      <w:tr>
        <w:trPr>
          <w:trHeight w:val="299" w:hRule="atLeast"/>
        </w:trPr>
        <w:tc>
          <w:tcPr>
            <w:tcW w:w="1206" w:type="dxa"/>
            <w:tcBorders>
              <w:right w:val="nil"/>
            </w:tcBorders>
          </w:tcPr>
          <w:p>
            <w:pPr>
              <w:pStyle w:val="TableParagraph"/>
              <w:spacing w:before="54"/>
              <w:rPr>
                <w:sz w:val="16"/>
              </w:rPr>
            </w:pPr>
            <w:r>
              <w:rPr>
                <w:sz w:val="16"/>
              </w:rPr>
              <w:t>SDU</w:t>
            </w:r>
          </w:p>
        </w:tc>
        <w:tc>
          <w:tcPr>
            <w:tcW w:w="3976" w:type="dxa"/>
            <w:tcBorders>
              <w:left w:val="nil"/>
              <w:right w:val="nil"/>
            </w:tcBorders>
          </w:tcPr>
          <w:p>
            <w:pPr>
              <w:pStyle w:val="TableParagraph"/>
              <w:spacing w:before="54"/>
              <w:ind w:left="116"/>
              <w:rPr>
                <w:sz w:val="16"/>
              </w:rPr>
            </w:pPr>
            <w:r>
              <w:rPr>
                <w:sz w:val="16"/>
              </w:rPr>
              <w:t>Det Tekniske Fakultet</w:t>
            </w:r>
          </w:p>
        </w:tc>
        <w:tc>
          <w:tcPr>
            <w:tcW w:w="2438" w:type="dxa"/>
            <w:tcBorders>
              <w:left w:val="nil"/>
            </w:tcBorders>
          </w:tcPr>
          <w:p>
            <w:pPr>
              <w:pStyle w:val="TableParagraph"/>
              <w:spacing w:before="54"/>
              <w:ind w:left="0" w:right="82"/>
              <w:jc w:val="right"/>
              <w:rPr>
                <w:i/>
                <w:sz w:val="16"/>
              </w:rPr>
            </w:pPr>
            <w:r>
              <w:rPr>
                <w:i/>
                <w:sz w:val="16"/>
              </w:rPr>
              <w:t>Ikke oplyst</w:t>
            </w:r>
          </w:p>
        </w:tc>
      </w:tr>
      <w:tr>
        <w:trPr>
          <w:trHeight w:val="302" w:hRule="atLeast"/>
        </w:trPr>
        <w:tc>
          <w:tcPr>
            <w:tcW w:w="1206" w:type="dxa"/>
            <w:tcBorders>
              <w:right w:val="nil"/>
            </w:tcBorders>
            <w:shd w:val="clear" w:color="auto" w:fill="E9F4FB"/>
          </w:tcPr>
          <w:p>
            <w:pPr>
              <w:pStyle w:val="TableParagraph"/>
              <w:spacing w:before="57"/>
              <w:rPr>
                <w:sz w:val="16"/>
              </w:rPr>
            </w:pPr>
            <w:r>
              <w:rPr>
                <w:sz w:val="16"/>
              </w:rPr>
              <w:t>SDU</w:t>
            </w:r>
          </w:p>
        </w:tc>
        <w:tc>
          <w:tcPr>
            <w:tcW w:w="3976" w:type="dxa"/>
            <w:tcBorders>
              <w:left w:val="nil"/>
              <w:right w:val="nil"/>
            </w:tcBorders>
            <w:shd w:val="clear" w:color="auto" w:fill="E9F4FB"/>
          </w:tcPr>
          <w:p>
            <w:pPr>
              <w:pStyle w:val="TableParagraph"/>
              <w:spacing w:before="57"/>
              <w:ind w:left="116"/>
              <w:rPr>
                <w:sz w:val="16"/>
              </w:rPr>
            </w:pPr>
            <w:r>
              <w:rPr>
                <w:sz w:val="16"/>
              </w:rPr>
              <w:t>Det Naturvidenskabelige Fakultet (CP3)</w:t>
            </w:r>
          </w:p>
        </w:tc>
        <w:tc>
          <w:tcPr>
            <w:tcW w:w="2438" w:type="dxa"/>
            <w:tcBorders>
              <w:left w:val="nil"/>
            </w:tcBorders>
            <w:shd w:val="clear" w:color="auto" w:fill="E9F4FB"/>
          </w:tcPr>
          <w:p>
            <w:pPr>
              <w:pStyle w:val="TableParagraph"/>
              <w:spacing w:before="57"/>
              <w:ind w:left="0" w:right="82"/>
              <w:jc w:val="right"/>
              <w:rPr>
                <w:sz w:val="16"/>
              </w:rPr>
            </w:pPr>
            <w:r>
              <w:rPr>
                <w:sz w:val="16"/>
              </w:rPr>
              <w:t>10</w:t>
            </w:r>
          </w:p>
        </w:tc>
      </w:tr>
      <w:tr>
        <w:trPr>
          <w:trHeight w:val="299" w:hRule="atLeast"/>
        </w:trPr>
        <w:tc>
          <w:tcPr>
            <w:tcW w:w="1206" w:type="dxa"/>
            <w:tcBorders>
              <w:right w:val="nil"/>
            </w:tcBorders>
          </w:tcPr>
          <w:p>
            <w:pPr>
              <w:pStyle w:val="TableParagraph"/>
              <w:spacing w:before="54"/>
              <w:rPr>
                <w:sz w:val="16"/>
              </w:rPr>
            </w:pPr>
            <w:r>
              <w:rPr>
                <w:sz w:val="16"/>
              </w:rPr>
              <w:t>SDU</w:t>
            </w:r>
          </w:p>
        </w:tc>
        <w:tc>
          <w:tcPr>
            <w:tcW w:w="3976" w:type="dxa"/>
            <w:tcBorders>
              <w:left w:val="nil"/>
              <w:right w:val="nil"/>
            </w:tcBorders>
          </w:tcPr>
          <w:p>
            <w:pPr>
              <w:pStyle w:val="TableParagraph"/>
              <w:spacing w:before="54"/>
              <w:ind w:left="116"/>
              <w:rPr>
                <w:sz w:val="16"/>
              </w:rPr>
            </w:pPr>
            <w:r>
              <w:rPr>
                <w:sz w:val="16"/>
              </w:rPr>
              <w:t>Det Sundhedsvidenskabelige Fakultet</w:t>
            </w:r>
          </w:p>
        </w:tc>
        <w:tc>
          <w:tcPr>
            <w:tcW w:w="2438" w:type="dxa"/>
            <w:tcBorders>
              <w:left w:val="nil"/>
            </w:tcBorders>
          </w:tcPr>
          <w:p>
            <w:pPr>
              <w:pStyle w:val="TableParagraph"/>
              <w:spacing w:before="54"/>
              <w:ind w:left="0" w:right="82"/>
              <w:jc w:val="right"/>
              <w:rPr>
                <w:i/>
                <w:sz w:val="16"/>
              </w:rPr>
            </w:pPr>
            <w:r>
              <w:rPr>
                <w:i/>
                <w:sz w:val="16"/>
              </w:rPr>
              <w:t>Ikke oplyst</w:t>
            </w:r>
          </w:p>
        </w:tc>
      </w:tr>
      <w:tr>
        <w:trPr>
          <w:trHeight w:val="299" w:hRule="atLeast"/>
        </w:trPr>
        <w:tc>
          <w:tcPr>
            <w:tcW w:w="1206" w:type="dxa"/>
            <w:tcBorders>
              <w:right w:val="nil"/>
            </w:tcBorders>
            <w:shd w:val="clear" w:color="auto" w:fill="E9F4FB"/>
          </w:tcPr>
          <w:p>
            <w:pPr>
              <w:pStyle w:val="TableParagraph"/>
              <w:spacing w:before="54"/>
              <w:rPr>
                <w:sz w:val="16"/>
              </w:rPr>
            </w:pPr>
            <w:r>
              <w:rPr>
                <w:sz w:val="16"/>
              </w:rPr>
              <w:t>AAU</w:t>
            </w:r>
          </w:p>
        </w:tc>
        <w:tc>
          <w:tcPr>
            <w:tcW w:w="3976" w:type="dxa"/>
            <w:tcBorders>
              <w:left w:val="nil"/>
              <w:right w:val="nil"/>
            </w:tcBorders>
            <w:shd w:val="clear" w:color="auto" w:fill="E9F4FB"/>
          </w:tcPr>
          <w:p>
            <w:pPr>
              <w:pStyle w:val="TableParagraph"/>
              <w:spacing w:before="54"/>
              <w:ind w:left="116"/>
              <w:rPr>
                <w:sz w:val="16"/>
              </w:rPr>
            </w:pPr>
            <w:r>
              <w:rPr>
                <w:sz w:val="16"/>
              </w:rPr>
              <w:t>Aalborg Universitet</w:t>
            </w:r>
          </w:p>
        </w:tc>
        <w:tc>
          <w:tcPr>
            <w:tcW w:w="2438" w:type="dxa"/>
            <w:tcBorders>
              <w:left w:val="nil"/>
            </w:tcBorders>
            <w:shd w:val="clear" w:color="auto" w:fill="E9F4FB"/>
          </w:tcPr>
          <w:p>
            <w:pPr>
              <w:pStyle w:val="TableParagraph"/>
              <w:spacing w:before="54"/>
              <w:ind w:left="0" w:right="83"/>
              <w:jc w:val="right"/>
              <w:rPr>
                <w:sz w:val="16"/>
              </w:rPr>
            </w:pPr>
            <w:r>
              <w:rPr>
                <w:w w:val="100"/>
                <w:sz w:val="16"/>
              </w:rPr>
              <w:t>8</w:t>
            </w:r>
          </w:p>
        </w:tc>
      </w:tr>
      <w:tr>
        <w:trPr>
          <w:trHeight w:val="301" w:hRule="atLeast"/>
        </w:trPr>
        <w:tc>
          <w:tcPr>
            <w:tcW w:w="1206" w:type="dxa"/>
            <w:tcBorders>
              <w:right w:val="nil"/>
            </w:tcBorders>
          </w:tcPr>
          <w:p>
            <w:pPr>
              <w:pStyle w:val="TableParagraph"/>
              <w:spacing w:before="0"/>
              <w:ind w:left="0"/>
              <w:rPr>
                <w:rFonts w:ascii="Times New Roman"/>
                <w:sz w:val="16"/>
              </w:rPr>
            </w:pPr>
          </w:p>
        </w:tc>
        <w:tc>
          <w:tcPr>
            <w:tcW w:w="3976" w:type="dxa"/>
            <w:tcBorders>
              <w:left w:val="nil"/>
              <w:right w:val="nil"/>
            </w:tcBorders>
          </w:tcPr>
          <w:p>
            <w:pPr>
              <w:pStyle w:val="TableParagraph"/>
              <w:spacing w:before="57"/>
              <w:ind w:left="116"/>
              <w:rPr>
                <w:b/>
                <w:sz w:val="16"/>
              </w:rPr>
            </w:pPr>
            <w:r>
              <w:rPr>
                <w:b/>
                <w:sz w:val="16"/>
              </w:rPr>
              <w:t>Videnskabelige årsværk i alt</w:t>
            </w:r>
          </w:p>
        </w:tc>
        <w:tc>
          <w:tcPr>
            <w:tcW w:w="2438" w:type="dxa"/>
            <w:tcBorders>
              <w:left w:val="nil"/>
            </w:tcBorders>
          </w:tcPr>
          <w:p>
            <w:pPr>
              <w:pStyle w:val="TableParagraph"/>
              <w:spacing w:before="57"/>
              <w:ind w:left="0" w:right="83"/>
              <w:jc w:val="right"/>
              <w:rPr>
                <w:b/>
                <w:sz w:val="16"/>
              </w:rPr>
            </w:pPr>
            <w:r>
              <w:rPr>
                <w:b/>
                <w:sz w:val="16"/>
              </w:rPr>
              <w:t>177,5</w:t>
            </w:r>
          </w:p>
        </w:tc>
      </w:tr>
    </w:tbl>
    <w:p>
      <w:pPr>
        <w:spacing w:before="83"/>
        <w:ind w:left="742" w:right="0" w:firstLine="0"/>
        <w:jc w:val="left"/>
        <w:rPr>
          <w:sz w:val="13"/>
        </w:rPr>
      </w:pPr>
      <w:r>
        <w:rPr>
          <w:sz w:val="13"/>
        </w:rPr>
        <w:t>Kilde: Interviews med de enkelte forskningsinstitutioner.</w:t>
      </w:r>
    </w:p>
    <w:p>
      <w:pPr>
        <w:pStyle w:val="BodyText"/>
        <w:spacing w:before="6"/>
        <w:rPr>
          <w:sz w:val="21"/>
        </w:rPr>
      </w:pPr>
    </w:p>
    <w:p>
      <w:pPr>
        <w:pStyle w:val="BodyText"/>
        <w:spacing w:line="264" w:lineRule="auto" w:before="1"/>
        <w:ind w:left="742" w:right="1198"/>
      </w:pPr>
      <w:r>
        <w:rPr/>
        <w:t>En vigtig pointe i forhold til de studerende er desuden rummets unikke styrke som undervisnings- område, hvilket fremhæves fra flere sider. Der peges på, at rummet har en særlig evne til at moti- vere unge i dag til at tage naturvidenskabelige og tekniske uddannelser, og at området fascinerer som få andre undervisningsområder. Der ses derfor uudnyttede potentialer i forbindelse med rum- met som undervisningsområde. Disse bunder ikke blot i Andreas Mogensens nylige mission til rummet, men også det brede spekter af emner og muligheder for tværfaglige forløb, hvor rummet kan indgå, og bidrage til at give indsigt i mere grundlæggende undervisningsemner. Eksempelvis fremhæves et undervisningsområde som bemandet rumfart (rumfysiologi) som en god indgang til læren om kroppens fysiologi.</w:t>
      </w:r>
    </w:p>
    <w:p>
      <w:pPr>
        <w:pStyle w:val="BodyText"/>
        <w:spacing w:before="3"/>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Samarbejde med andre</w:t>
      </w:r>
      <w:r>
        <w:rPr>
          <w:b/>
          <w:spacing w:val="1"/>
          <w:sz w:val="18"/>
        </w:rPr>
        <w:t> </w:t>
      </w:r>
      <w:r>
        <w:rPr>
          <w:b/>
          <w:sz w:val="18"/>
        </w:rPr>
        <w:t>organisationer</w:t>
      </w:r>
    </w:p>
    <w:p>
      <w:pPr>
        <w:pStyle w:val="BodyText"/>
        <w:spacing w:line="264" w:lineRule="auto" w:before="22"/>
        <w:ind w:left="742" w:right="1171"/>
      </w:pPr>
      <w:r>
        <w:rPr/>
        <w:t>Kendetegnende for rumområdet er, at der er tale om et meget forskningstungt område, og både virksomheder og universiteter peger på en unik grad af gensidig afhængighed mellem de to parter. Den danske forskning og den nye viden, den genererer, er således helt essentiel i forhold til den erhvervsmæssige udvikling.</w:t>
      </w:r>
    </w:p>
    <w:p>
      <w:pPr>
        <w:pStyle w:val="BodyText"/>
        <w:spacing w:before="6"/>
        <w:rPr>
          <w:sz w:val="19"/>
        </w:rPr>
      </w:pPr>
    </w:p>
    <w:p>
      <w:pPr>
        <w:pStyle w:val="BodyText"/>
        <w:spacing w:line="264" w:lineRule="auto"/>
        <w:ind w:left="742" w:right="1158"/>
      </w:pPr>
      <w:r>
        <w:rPr/>
        <w:t>Generelt tegner der sig et billede af, at samarbejdet mellem universiteterne og virksomhederne i høj grad allerede er til stede, og at det langt hen ad vejen er utroligt vellykket. Der peges eksem- pelvis på meget vellykkede samarbejder i forhold til instrumentbygning, samt at flere af universite- ternes bidrag til, at nano-satellitter har udviklet sig til et vækstområde i rumøkonomien. Både virk- somheder og universiteter fremhæver at have glæde af hinanden og ser fortsat mange uudnyttede muligheder.</w:t>
      </w:r>
    </w:p>
    <w:p>
      <w:pPr>
        <w:pStyle w:val="BodyText"/>
        <w:spacing w:before="6"/>
        <w:rPr>
          <w:sz w:val="19"/>
        </w:rPr>
      </w:pPr>
    </w:p>
    <w:p>
      <w:pPr>
        <w:pStyle w:val="BodyText"/>
        <w:spacing w:line="264" w:lineRule="auto"/>
        <w:ind w:left="742" w:right="1213"/>
      </w:pPr>
      <w:r>
        <w:rPr/>
        <w:t>Universiteterne spiller også en væsentlig rolle i forhold til myndighederne inden for en række be- stemte områder. Her fremhæves særligt det danske engagement i Arktis og farvandsovervågning i forbindelse med opretholdelse af dansk suverænitet.</w:t>
      </w:r>
    </w:p>
    <w:p>
      <w:pPr>
        <w:pStyle w:val="BodyText"/>
        <w:spacing w:before="7"/>
        <w:rPr>
          <w:sz w:val="19"/>
        </w:rPr>
      </w:pPr>
    </w:p>
    <w:p>
      <w:pPr>
        <w:pStyle w:val="BodyText"/>
        <w:spacing w:line="264" w:lineRule="auto"/>
        <w:ind w:left="742" w:right="1146"/>
      </w:pPr>
      <w:r>
        <w:rPr/>
        <w:t>Også inden for bemandet rumfart peges på, at der på flere projekter ses et relativt kort pay-off, hvor den genererede rumrelaterede viden inden for en begrænset tidshorisont kommer almindelige patienter de på danske sygehus til gavn, da udviklingen af medicinsk udstyr og forskningsforsøg på mennesker i rummet samtidig giver os bedre idé om sygdomme og helbred for resten af de men-</w:t>
      </w:r>
    </w:p>
    <w:p>
      <w:pPr>
        <w:spacing w:after="0" w:line="264" w:lineRule="auto"/>
        <w:sectPr>
          <w:pgSz w:w="11910" w:h="16840"/>
          <w:pgMar w:header="0" w:footer="1056" w:top="1580" w:bottom="1240" w:left="960" w:right="0"/>
        </w:sectPr>
      </w:pPr>
    </w:p>
    <w:p>
      <w:pPr>
        <w:pStyle w:val="BodyText"/>
        <w:spacing w:line="264" w:lineRule="auto" w:before="126"/>
        <w:ind w:left="742" w:right="1169"/>
      </w:pPr>
      <w:r>
        <w:rPr/>
        <w:t>nesker, der befinder sig på jorden. Danske forskere har som eksempel afviklet en stribe vægtløs- hedsflyvninger gennem ESA samt samarbejdet med forskergrupper ved NASA. Formålet med disse eksperimenter er at undersøge blod- og væskeforskydninger i vægtløshed og konsekvenser heraf for hjernens tryk og blodforsyning. Det har givet de danske forskere mulighed for at deltage i de første direkte målinger af hjernens tryk i vægtløshed, og den nye viden vil komme ikke blot astro- nauter, men også en bred gruppe af neurologiske og neurokirurgiske patienter til gode. Samarbej- det er voksende og involverer nu både KU og kliniske afdelinger på Rigshospitalet og Glostrup Hos- pital.</w:t>
      </w:r>
    </w:p>
    <w:p>
      <w:pPr>
        <w:pStyle w:val="BodyText"/>
        <w:spacing w:before="4"/>
        <w:rPr>
          <w:sz w:val="19"/>
        </w:rPr>
      </w:pPr>
    </w:p>
    <w:p>
      <w:pPr>
        <w:pStyle w:val="BodyText"/>
        <w:spacing w:line="264" w:lineRule="auto"/>
        <w:ind w:left="742" w:right="1170"/>
        <w:jc w:val="both"/>
      </w:pPr>
      <w:r>
        <w:rPr/>
        <w:t>Universiteterne ser dog en generel tendens til, at mange myndigheder i dag anvender rumrelatere- de teknologier og viden uden at være bevidste om det og ser herudover mange uudnyttede anven- delsesmuligheder i forbindelse med myndighedsopgaver. Samarbejdet med myndighederne vurde- res på denne baggrund at kunne styrkes væsentligt.</w:t>
      </w:r>
    </w:p>
    <w:p>
      <w:pPr>
        <w:pStyle w:val="BodyText"/>
        <w:spacing w:before="7"/>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Midler og</w:t>
      </w:r>
      <w:r>
        <w:rPr>
          <w:b/>
          <w:spacing w:val="-2"/>
          <w:sz w:val="18"/>
        </w:rPr>
        <w:t> </w:t>
      </w:r>
      <w:r>
        <w:rPr>
          <w:b/>
          <w:sz w:val="18"/>
        </w:rPr>
        <w:t>ressourcer</w:t>
      </w:r>
    </w:p>
    <w:p>
      <w:pPr>
        <w:pStyle w:val="BodyText"/>
        <w:spacing w:line="264" w:lineRule="auto" w:before="22"/>
        <w:ind w:left="742" w:right="1244"/>
      </w:pPr>
      <w:r>
        <w:rPr/>
        <w:t>På trods af en høj grad af specialisering og et forholdsvis højt aktivitetsniveau relativt til den lave kritiske masse på universiteterne vurderes det samlede forskningsmæssige bidrag at være kvanti- tativt begrænset i en international sammenhæng. Dette skyldes blandt andet, at danske forskere grundet relativt få midler samt et begrænset antal topforskere har svært ved at følge med efter- spørgslen på anvendelsesorienteret forskning til både virksomheder og offentlige myndigheder.</w:t>
      </w:r>
    </w:p>
    <w:p>
      <w:pPr>
        <w:pStyle w:val="BodyText"/>
        <w:spacing w:before="5"/>
        <w:rPr>
          <w:sz w:val="19"/>
        </w:rPr>
      </w:pPr>
    </w:p>
    <w:p>
      <w:pPr>
        <w:pStyle w:val="BodyText"/>
        <w:spacing w:line="264" w:lineRule="auto" w:before="1"/>
        <w:ind w:left="742" w:right="1226"/>
      </w:pPr>
      <w:r>
        <w:rPr/>
        <w:t>Det er flere steder kommet til udtryk, at forskergrupper ikke i større omfang søger det nuværende forsknings- og innovationsmæssige bevillingssystem på trods af rumprojekternes brede spændvid- de. Samme tendens kan iagttages ved ansøgninger til Horizon 2020. Dette bunder, ifølge flere udsagn, blandt andet i, at:</w:t>
      </w:r>
    </w:p>
    <w:p>
      <w:pPr>
        <w:pStyle w:val="BodyText"/>
        <w:spacing w:before="6"/>
        <w:rPr>
          <w:sz w:val="19"/>
        </w:rPr>
      </w:pPr>
    </w:p>
    <w:p>
      <w:pPr>
        <w:pStyle w:val="ListParagraph"/>
        <w:numPr>
          <w:ilvl w:val="3"/>
          <w:numId w:val="5"/>
        </w:numPr>
        <w:tabs>
          <w:tab w:pos="1082" w:val="left" w:leader="none"/>
          <w:tab w:pos="1083" w:val="left" w:leader="none"/>
        </w:tabs>
        <w:spacing w:line="261" w:lineRule="auto" w:before="0" w:after="0"/>
        <w:ind w:left="1082" w:right="1166" w:hanging="340"/>
        <w:jc w:val="left"/>
        <w:rPr>
          <w:sz w:val="18"/>
        </w:rPr>
      </w:pPr>
      <w:r>
        <w:rPr>
          <w:sz w:val="18"/>
        </w:rPr>
        <w:t>Det er </w:t>
      </w:r>
      <w:r>
        <w:rPr>
          <w:b/>
          <w:sz w:val="18"/>
        </w:rPr>
        <w:t>en udfordring at komme i betragtning til flere af forskningspuljerne, </w:t>
      </w:r>
      <w:r>
        <w:rPr>
          <w:sz w:val="18"/>
        </w:rPr>
        <w:t>når man som de danske universiteter har studerende med på projekterne, da disse projekter så opfattes som projekter med et undervisningsperspektiv frem for et</w:t>
      </w:r>
      <w:r>
        <w:rPr>
          <w:spacing w:val="-13"/>
          <w:sz w:val="18"/>
        </w:rPr>
        <w:t> </w:t>
      </w:r>
      <w:r>
        <w:rPr>
          <w:sz w:val="18"/>
        </w:rPr>
        <w:t>forskningsperspektiv.</w:t>
      </w:r>
    </w:p>
    <w:p>
      <w:pPr>
        <w:pStyle w:val="ListParagraph"/>
        <w:numPr>
          <w:ilvl w:val="3"/>
          <w:numId w:val="5"/>
        </w:numPr>
        <w:tabs>
          <w:tab w:pos="1083" w:val="left" w:leader="none"/>
        </w:tabs>
        <w:spacing w:line="261" w:lineRule="auto" w:before="3" w:after="0"/>
        <w:ind w:left="1082" w:right="1200" w:hanging="340"/>
        <w:jc w:val="both"/>
        <w:rPr>
          <w:sz w:val="18"/>
        </w:rPr>
      </w:pPr>
      <w:r>
        <w:rPr>
          <w:sz w:val="18"/>
        </w:rPr>
        <w:t>Der er for </w:t>
      </w:r>
      <w:r>
        <w:rPr>
          <w:b/>
          <w:sz w:val="18"/>
        </w:rPr>
        <w:t>få personer til at søge midlerne</w:t>
      </w:r>
      <w:r>
        <w:rPr>
          <w:sz w:val="18"/>
        </w:rPr>
        <w:t>. Det begrænsede antal årsværk beskæftiget med rumrelaterede aktiviteter på de enkelte universiteter gør, at de enkelte forskere er nødsaget til at allokere en relativt stor del af deres tid til at søge</w:t>
      </w:r>
      <w:r>
        <w:rPr>
          <w:spacing w:val="-17"/>
          <w:sz w:val="18"/>
        </w:rPr>
        <w:t> </w:t>
      </w:r>
      <w:r>
        <w:rPr>
          <w:sz w:val="18"/>
        </w:rPr>
        <w:t>midler.</w:t>
      </w:r>
    </w:p>
    <w:p>
      <w:pPr>
        <w:pStyle w:val="ListParagraph"/>
        <w:numPr>
          <w:ilvl w:val="3"/>
          <w:numId w:val="5"/>
        </w:numPr>
        <w:tabs>
          <w:tab w:pos="1082" w:val="left" w:leader="none"/>
          <w:tab w:pos="1083" w:val="left" w:leader="none"/>
        </w:tabs>
        <w:spacing w:line="261" w:lineRule="auto" w:before="3" w:after="0"/>
        <w:ind w:left="1082" w:right="1213" w:hanging="340"/>
        <w:jc w:val="left"/>
        <w:rPr>
          <w:sz w:val="18"/>
        </w:rPr>
      </w:pPr>
      <w:r>
        <w:rPr>
          <w:sz w:val="18"/>
        </w:rPr>
        <w:t>I tråd med ovenstående peges på, at </w:t>
      </w:r>
      <w:r>
        <w:rPr>
          <w:b/>
          <w:sz w:val="18"/>
        </w:rPr>
        <w:t>ansøgningsprocesserne i mange tilfælde er meget omfangsrige og succesraten omvendt er lav</w:t>
      </w:r>
      <w:r>
        <w:rPr>
          <w:sz w:val="18"/>
        </w:rPr>
        <w:t>. Således undlader flere at søge bestemte pul- jer, medmindre de er i samarbejde med NASA eller andre organisationer, der har ressourcerne til at</w:t>
      </w:r>
      <w:r>
        <w:rPr>
          <w:spacing w:val="-1"/>
          <w:sz w:val="18"/>
        </w:rPr>
        <w:t> </w:t>
      </w:r>
      <w:r>
        <w:rPr>
          <w:sz w:val="18"/>
        </w:rPr>
        <w:t>søge.</w:t>
      </w:r>
    </w:p>
    <w:p>
      <w:pPr>
        <w:pStyle w:val="BodyText"/>
        <w:spacing w:before="1"/>
        <w:rPr>
          <w:sz w:val="20"/>
        </w:rPr>
      </w:pPr>
    </w:p>
    <w:p>
      <w:pPr>
        <w:pStyle w:val="BodyText"/>
        <w:spacing w:line="264" w:lineRule="auto"/>
        <w:ind w:left="742" w:right="1204"/>
      </w:pPr>
      <w:r>
        <w:rPr/>
        <w:t>De danske universiteter understreger desuden vigtigheden af det danske bidrag til og engagement i de store europæiske missioner. ESA-satellitter som Euclid og Planck giver dansk forskning unikke muligheder for at generere ny viden, og det danske bidrag til Planck er et godt billede på, hvorfor netop de europæiske missioner er gavnlige for udviklingen af dansk forskning. Planck-satellitten foretager den hidtil mest præcise kortlægning af den kosmiske baggrundsstråling, der stammer helt tilbage fra tiden lige efter Big Bang. Missionens hovedinstrument er et 4 meter langt og 2 tons tungt teleskop, der er forsynet med et delvist dansk udviklet spejl til måling af den kosmiske mi- krobølgebaggrundsstråling. Via baggrundsstrålingen er det muligt at kortlægge universets tidligste strukturer med en hidtil uset nøjagtighed.</w:t>
      </w:r>
    </w:p>
    <w:p>
      <w:pPr>
        <w:pStyle w:val="BodyText"/>
        <w:spacing w:before="4"/>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Andre forskningsmiljøer</w:t>
      </w:r>
    </w:p>
    <w:p>
      <w:pPr>
        <w:pStyle w:val="BodyText"/>
        <w:spacing w:line="264" w:lineRule="auto" w:before="21"/>
        <w:ind w:left="742" w:right="1294"/>
      </w:pPr>
      <w:r>
        <w:rPr/>
        <w:t>Ud over den forskning, der foregår på universiteterne, er det vigtigt at holde sig for øje, at der også foregår forskningsaktiviteter i andre miljøer, samt at en væsentlig mængde af forskning og udvikling finder sted i de private virksomheder. Et eksempel herpå er DMI, der beskæftiger et be- tydeligt antal årsværk inden for forskning og som gennem mere end 30 år har publiceret en lang</w:t>
      </w:r>
    </w:p>
    <w:p>
      <w:pPr>
        <w:spacing w:after="0" w:line="264" w:lineRule="auto"/>
        <w:sectPr>
          <w:pgSz w:w="11910" w:h="16840"/>
          <w:pgMar w:header="0" w:footer="1056" w:top="1580" w:bottom="1240" w:left="960" w:right="0"/>
        </w:sectPr>
      </w:pPr>
    </w:p>
    <w:p>
      <w:pPr>
        <w:pStyle w:val="BodyText"/>
        <w:spacing w:line="264" w:lineRule="auto" w:before="126"/>
        <w:ind w:left="742" w:right="1361"/>
      </w:pPr>
      <w:r>
        <w:rPr/>
        <w:t>række forskningsartikler, både gennem medarbejdere ansat i DMI og i samarbejde med eksterne aktører.</w:t>
      </w:r>
    </w:p>
    <w:p>
      <w:pPr>
        <w:pStyle w:val="BodyText"/>
        <w:spacing w:before="8"/>
        <w:rPr>
          <w:sz w:val="19"/>
        </w:rPr>
      </w:pPr>
    </w:p>
    <w:p>
      <w:pPr>
        <w:pStyle w:val="Heading2"/>
        <w:numPr>
          <w:ilvl w:val="1"/>
          <w:numId w:val="5"/>
        </w:numPr>
        <w:tabs>
          <w:tab w:pos="741" w:val="left" w:leader="none"/>
          <w:tab w:pos="743" w:val="left" w:leader="none"/>
        </w:tabs>
        <w:spacing w:line="240" w:lineRule="auto" w:before="0" w:after="0"/>
        <w:ind w:left="742" w:right="0" w:hanging="624"/>
        <w:jc w:val="left"/>
      </w:pPr>
      <w:bookmarkStart w:name="_bookmark22" w:id="23"/>
      <w:bookmarkEnd w:id="23"/>
      <w:r>
        <w:rPr/>
        <w:t>Off</w:t>
      </w:r>
      <w:r>
        <w:rPr/>
        <w:t>entlige myndigheder</w:t>
      </w:r>
    </w:p>
    <w:p>
      <w:pPr>
        <w:pStyle w:val="BodyText"/>
        <w:spacing w:line="264" w:lineRule="auto" w:before="21"/>
        <w:ind w:left="742" w:right="1150"/>
      </w:pPr>
      <w:r>
        <w:rPr/>
        <w:t>Den 8. maj 2015 fik uddannelses- og forskningsministeren overdraget det ressortmæssige ansvar for 1) sager vedrørende regulering af danske aktiviteter i det ydre rum, 2) for deltagelse i interna- tionalt samarbejde om aktiviteter i det ydre rum samt 3) for koordinering og samarbejde mellem danske myndigheder med rumrelaterede ansvarsområder. I forhold til myndighedsvaretagelsen, og dermed ansvaret for dansk udbytte af rumområdet, er denne fordelt mellem en række ministerier, der hver især bidrager med kompetencer inden for deres respektive fagområder, og som i større eller mindre grad anvender rumbaserede systemer.</w:t>
      </w:r>
    </w:p>
    <w:p>
      <w:pPr>
        <w:pStyle w:val="BodyText"/>
        <w:spacing w:before="5"/>
        <w:rPr>
          <w:sz w:val="19"/>
        </w:rPr>
      </w:pPr>
    </w:p>
    <w:p>
      <w:pPr>
        <w:pStyle w:val="BodyText"/>
        <w:spacing w:line="264" w:lineRule="auto"/>
        <w:ind w:left="742" w:right="1146"/>
      </w:pPr>
      <w:r>
        <w:rPr/>
        <w:t>Som et led i det samlede analyse- og evidensgrundlag er der gennemført en afdækning af de dan- ske myndigheders nuværende og fremtidige behov for anvendelse af rumbaserede data og produk- ter. Afdækningen er dels baseret på eksisterende viden om den aktuelle myndighedsvaretagelse og myndighedernes rumrelaterede aktiviteter, dels på interview med repræsentanter for ressortmini- sterierne, tilknyttede styrelser og statslige aktører.</w:t>
      </w:r>
    </w:p>
    <w:p>
      <w:pPr>
        <w:pStyle w:val="BodyText"/>
        <w:spacing w:before="6"/>
        <w:rPr>
          <w:sz w:val="19"/>
        </w:rPr>
      </w:pPr>
    </w:p>
    <w:p>
      <w:pPr>
        <w:pStyle w:val="BodyText"/>
        <w:spacing w:line="264" w:lineRule="auto" w:before="1"/>
        <w:ind w:left="742" w:right="1356"/>
      </w:pPr>
      <w:r>
        <w:rPr/>
        <w:t>Interviewene med statslige myndigheder og aktører peger på, at myndighedernes nuværende og fremtidige behov for data og produkter fra rumområdet i særlig grad vedrører følgende områder:</w:t>
      </w:r>
    </w:p>
    <w:p>
      <w:pPr>
        <w:pStyle w:val="ListParagraph"/>
        <w:numPr>
          <w:ilvl w:val="0"/>
          <w:numId w:val="6"/>
        </w:numPr>
        <w:tabs>
          <w:tab w:pos="1082" w:val="left" w:leader="none"/>
          <w:tab w:pos="1083" w:val="left" w:leader="none"/>
        </w:tabs>
        <w:spacing w:line="219" w:lineRule="exact" w:before="0" w:after="0"/>
        <w:ind w:left="1082" w:right="0" w:hanging="340"/>
        <w:jc w:val="left"/>
        <w:rPr>
          <w:sz w:val="18"/>
        </w:rPr>
      </w:pPr>
      <w:r>
        <w:rPr>
          <w:sz w:val="18"/>
        </w:rPr>
        <w:t>Jordobservation</w:t>
      </w:r>
    </w:p>
    <w:p>
      <w:pPr>
        <w:pStyle w:val="ListParagraph"/>
        <w:numPr>
          <w:ilvl w:val="0"/>
          <w:numId w:val="6"/>
        </w:numPr>
        <w:tabs>
          <w:tab w:pos="1082" w:val="left" w:leader="none"/>
          <w:tab w:pos="1083" w:val="left" w:leader="none"/>
        </w:tabs>
        <w:spacing w:line="240" w:lineRule="auto" w:before="19" w:after="0"/>
        <w:ind w:left="1082" w:right="0" w:hanging="340"/>
        <w:jc w:val="left"/>
        <w:rPr>
          <w:sz w:val="18"/>
        </w:rPr>
      </w:pPr>
      <w:r>
        <w:rPr>
          <w:sz w:val="18"/>
        </w:rPr>
        <w:t>Satellitnavigation</w:t>
      </w:r>
    </w:p>
    <w:p>
      <w:pPr>
        <w:pStyle w:val="ListParagraph"/>
        <w:numPr>
          <w:ilvl w:val="0"/>
          <w:numId w:val="6"/>
        </w:numPr>
        <w:tabs>
          <w:tab w:pos="1082" w:val="left" w:leader="none"/>
          <w:tab w:pos="1083" w:val="left" w:leader="none"/>
        </w:tabs>
        <w:spacing w:line="240" w:lineRule="auto" w:before="19" w:after="0"/>
        <w:ind w:left="1082" w:right="0" w:hanging="340"/>
        <w:jc w:val="left"/>
        <w:rPr>
          <w:sz w:val="18"/>
        </w:rPr>
      </w:pPr>
      <w:r>
        <w:rPr>
          <w:sz w:val="18"/>
        </w:rPr>
        <w:t>Sikkerhed og</w:t>
      </w:r>
      <w:r>
        <w:rPr>
          <w:spacing w:val="-3"/>
          <w:sz w:val="18"/>
        </w:rPr>
        <w:t> </w:t>
      </w:r>
      <w:r>
        <w:rPr>
          <w:sz w:val="18"/>
        </w:rPr>
        <w:t>beredskab</w:t>
      </w:r>
    </w:p>
    <w:p>
      <w:pPr>
        <w:pStyle w:val="ListParagraph"/>
        <w:numPr>
          <w:ilvl w:val="0"/>
          <w:numId w:val="6"/>
        </w:numPr>
        <w:tabs>
          <w:tab w:pos="1082" w:val="left" w:leader="none"/>
          <w:tab w:pos="1083" w:val="left" w:leader="none"/>
        </w:tabs>
        <w:spacing w:line="240" w:lineRule="auto" w:before="20" w:after="0"/>
        <w:ind w:left="1082" w:right="0" w:hanging="340"/>
        <w:jc w:val="left"/>
        <w:rPr>
          <w:sz w:val="18"/>
        </w:rPr>
      </w:pPr>
      <w:r>
        <w:rPr>
          <w:sz w:val="18"/>
        </w:rPr>
        <w:t>Telekommunikation</w:t>
      </w:r>
    </w:p>
    <w:p>
      <w:pPr>
        <w:pStyle w:val="ListParagraph"/>
        <w:numPr>
          <w:ilvl w:val="0"/>
          <w:numId w:val="6"/>
        </w:numPr>
        <w:tabs>
          <w:tab w:pos="1082" w:val="left" w:leader="none"/>
          <w:tab w:pos="1083" w:val="left" w:leader="none"/>
        </w:tabs>
        <w:spacing w:line="240" w:lineRule="auto" w:before="19" w:after="0"/>
        <w:ind w:left="1082" w:right="0" w:hanging="340"/>
        <w:jc w:val="left"/>
        <w:rPr>
          <w:sz w:val="18"/>
        </w:rPr>
      </w:pPr>
      <w:r>
        <w:rPr>
          <w:sz w:val="18"/>
        </w:rPr>
        <w:t>Arktiske</w:t>
      </w:r>
      <w:r>
        <w:rPr>
          <w:spacing w:val="-2"/>
          <w:sz w:val="18"/>
        </w:rPr>
        <w:t> </w:t>
      </w:r>
      <w:r>
        <w:rPr>
          <w:sz w:val="18"/>
        </w:rPr>
        <w:t>initiativer.</w:t>
      </w:r>
    </w:p>
    <w:p>
      <w:pPr>
        <w:pStyle w:val="BodyText"/>
        <w:spacing w:before="5"/>
        <w:rPr>
          <w:sz w:val="21"/>
        </w:rPr>
      </w:pPr>
    </w:p>
    <w:p>
      <w:pPr>
        <w:pStyle w:val="BodyText"/>
        <w:spacing w:line="264" w:lineRule="auto"/>
        <w:ind w:left="742" w:right="1226"/>
      </w:pPr>
      <w:r>
        <w:rPr/>
        <w:t>En række ministerier og styrelser er aktive brugere af data og produkter fra rumområdet. Det om- fatter bl.a. Danmarks Meteorologiske Institut (under Energi-, Forsynings- og Klimaministeriet), Forsvarsministeriet, NaturErhvervstyrelsen (under Miljø- og Fødevareministeriet), Styrelsen for Dataforsyning og Effektivisering (under Energi-, Forsynings- og Klimaministeriet), Søfartsstyrelsen (under Erhvervs- og Vækstministeriet).</w:t>
      </w:r>
    </w:p>
    <w:p>
      <w:pPr>
        <w:pStyle w:val="BodyText"/>
        <w:spacing w:before="6"/>
        <w:rPr>
          <w:sz w:val="19"/>
        </w:rPr>
      </w:pPr>
    </w:p>
    <w:p>
      <w:pPr>
        <w:pStyle w:val="BodyText"/>
        <w:spacing w:line="264" w:lineRule="auto"/>
        <w:ind w:left="742" w:right="1151"/>
      </w:pPr>
      <w:r>
        <w:rPr/>
        <w:t>Data fra satellitter indgår direkte i DMI's vejrmodeller og er dermed et hovedelement i instituttets kerneforretning. Derudover forsker DMI inden for sattelitområdet og deltager i en lang række internationale forskningssamarbejder. DMI er således blandt de største forskningsmiljøer inden for remote sensing i Danmark. Forsvaret benytter mange former for rumrelaterede ydelser og data. Styrelsen for Dataforsyning og Effektivisering understøtter bl.a. Forsvaret med geodata både natio- nalt og internationalt, ligesom styrelsen repræsenterer Danmark i internationale geodata- samarbejder og i det arktiske samarbejde under Arktisk Råd. NaturErhvervstyrelsen bruger satel- litdata i sagsbehandlingen, når der udbetales støtte til landmænd – samt i kontrolsammenhæng.</w:t>
      </w:r>
    </w:p>
    <w:p>
      <w:pPr>
        <w:pStyle w:val="BodyText"/>
        <w:spacing w:line="264" w:lineRule="auto"/>
        <w:ind w:left="742" w:right="1283"/>
      </w:pPr>
      <w:r>
        <w:rPr/>
        <w:t>Søfartsstyrelsen benytter satellitdata til ruteplanlægning, maritim fysisk planlægning, havnestats- kontrol mv. Som det fremgår, benytter danske myndigheder således i betydeligt omfang data og produkter fra rummet. Derudover eksisterer der et væsentligt samarbejde mellem myndigheder – især på modne ressortområder som søfart, transport og forsvar.</w:t>
      </w:r>
    </w:p>
    <w:p>
      <w:pPr>
        <w:pStyle w:val="BodyText"/>
        <w:spacing w:before="2"/>
        <w:rPr>
          <w:sz w:val="19"/>
        </w:rPr>
      </w:pPr>
    </w:p>
    <w:p>
      <w:pPr>
        <w:pStyle w:val="BodyText"/>
        <w:spacing w:line="264" w:lineRule="auto"/>
        <w:ind w:left="742" w:right="1206"/>
      </w:pPr>
      <w:r>
        <w:rPr/>
        <w:t>Endelig viser analysen på dette punkt, at flere myndigheder arbejder aktivt med at implementere nye anvendelser af data og produkter fra rummet. Det gælder eksempelvis i NaturErhvervstyrel- sen, som er begyndt at benytte satellitdata i deres arbejde med administration og kontrol af areal- støtte til landmænd samt i forbindelse med overvågning af fredet natur. Øget brug af data og pro- dukter fra rummet giver mulighed for at effektivisere interne arbejdsgange, ligesom de åbner for mulighed for at fokusere myndighedsvaretagelsen, eksempelvis i forhold til kontrol i forbindelse med udbetaling af landbrugsstøtten.</w:t>
      </w:r>
    </w:p>
    <w:p>
      <w:pPr>
        <w:spacing w:after="0" w:line="264" w:lineRule="auto"/>
        <w:sectPr>
          <w:pgSz w:w="11910" w:h="16840"/>
          <w:pgMar w:header="0" w:footer="1056" w:top="1580" w:bottom="1240" w:left="960" w:right="0"/>
        </w:sectPr>
      </w:pPr>
    </w:p>
    <w:p>
      <w:pPr>
        <w:pStyle w:val="BodyText"/>
        <w:spacing w:line="264" w:lineRule="auto" w:before="126"/>
        <w:ind w:left="742" w:right="1138"/>
      </w:pPr>
      <w:r>
        <w:rPr/>
        <w:t>I tillæg hertil rummer data og produkter fra rumområdet mulighed for at reducere miljø- og klima- belastningerne. NaturErhvervstyrelsen og landbrugsorganisationen SEGES har i fællesskab købt løsningen ”CropSAT”, som de stiller gratis til rådighed for landbruget. Gennem denne løsning kan man via satellitbilleder beregne et vegetationsindeks, der viser biomassen på marken, og herudfra er det muligt at danne et kvælstoftildelingskort, således at landbruget kan foretage en bedre forde- ling af kvælstofmængden.</w:t>
      </w:r>
    </w:p>
    <w:p>
      <w:pPr>
        <w:pStyle w:val="BodyText"/>
        <w:spacing w:before="5"/>
        <w:rPr>
          <w:sz w:val="19"/>
        </w:rPr>
      </w:pPr>
    </w:p>
    <w:p>
      <w:pPr>
        <w:pStyle w:val="BodyText"/>
        <w:spacing w:line="264" w:lineRule="auto" w:before="1"/>
        <w:ind w:left="742" w:right="1177"/>
      </w:pPr>
      <w:r>
        <w:rPr/>
        <w:t>Også på det kommunale niveau giver data og produkter fra rumområdet nye muligheder, herunder ikke mindst i forhold til byudvikling og eksempelvis klimasikring. I Danmark anvendes JO forsøgs- mæssigt i Thyborøn, hvor målet er at nå frem til en komplet fremskrivning af de næste mange års landhævninger og -sænkninger, hvilket udgør et væsentligt element i planlægningen af den lokale klimatilpasning. Fremskrivningen sker bl.a. i samarbejde med Kystdirektoratet og Styrelsen for Dataforsyning og Effektivisering. En del af undersøgelserne baseres på en 3D-model af undergrun- den og dens relationer til de registrerede sætninger. For at 3D-modellen kan klarlægge årsagen til, at landet synker eller hæver sig, bliver den sammenholdt med viden fra op til 100 år gamle måle- punkter i Thyborøn samt jordobservationsbilleder.</w:t>
      </w:r>
    </w:p>
    <w:p>
      <w:pPr>
        <w:pStyle w:val="BodyText"/>
        <w:spacing w:before="10"/>
        <w:rPr>
          <w:sz w:val="20"/>
        </w:rPr>
      </w:pPr>
    </w:p>
    <w:p>
      <w:pPr>
        <w:pStyle w:val="Heading2"/>
        <w:numPr>
          <w:ilvl w:val="1"/>
          <w:numId w:val="5"/>
        </w:numPr>
        <w:tabs>
          <w:tab w:pos="741" w:val="left" w:leader="none"/>
          <w:tab w:pos="743" w:val="left" w:leader="none"/>
        </w:tabs>
        <w:spacing w:line="240" w:lineRule="auto" w:before="1" w:after="0"/>
        <w:ind w:left="742" w:right="0" w:hanging="624"/>
        <w:jc w:val="left"/>
      </w:pPr>
      <w:bookmarkStart w:name="_bookmark23" w:id="24"/>
      <w:bookmarkEnd w:id="24"/>
      <w:r>
        <w:rPr/>
        <w:t>R</w:t>
      </w:r>
      <w:r>
        <w:rPr/>
        <w:t>umprojekters succesrate i</w:t>
      </w:r>
      <w:r>
        <w:rPr>
          <w:spacing w:val="-2"/>
        </w:rPr>
        <w:t> </w:t>
      </w:r>
      <w:r>
        <w:rPr/>
        <w:t>bevillingssystemerne</w:t>
      </w:r>
    </w:p>
    <w:p>
      <w:pPr>
        <w:pStyle w:val="BodyText"/>
        <w:spacing w:line="264" w:lineRule="auto" w:before="21"/>
        <w:ind w:left="742" w:right="1260"/>
      </w:pPr>
      <w:r>
        <w:rPr/>
        <w:t>Danske rumprojekter kan finansieres gennem det forsknings- og innovationsmæssige bevillings- system nationalt som internationalt. Dette omfatter primært Horizon 2020 og tidligere rammepro- grammer. I det følgende gøres rede for danske rumprojekters bevillinger fra systemet.</w:t>
      </w:r>
    </w:p>
    <w:p>
      <w:pPr>
        <w:pStyle w:val="BodyText"/>
        <w:spacing w:before="7"/>
        <w:rPr>
          <w:sz w:val="19"/>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EU’s</w:t>
      </w:r>
      <w:r>
        <w:rPr>
          <w:b/>
          <w:spacing w:val="-1"/>
          <w:sz w:val="18"/>
        </w:rPr>
        <w:t> </w:t>
      </w:r>
      <w:r>
        <w:rPr>
          <w:b/>
          <w:sz w:val="18"/>
        </w:rPr>
        <w:t>rammeprogrammer</w:t>
      </w:r>
    </w:p>
    <w:p>
      <w:pPr>
        <w:pStyle w:val="BodyText"/>
        <w:spacing w:line="264" w:lineRule="auto" w:before="21"/>
        <w:ind w:left="742" w:right="1429"/>
      </w:pPr>
      <w:r>
        <w:rPr/>
        <w:t>Nedenstående figur viser, at Danmark i alt hentede omtrent 396 mio. euro hjem til forskning fra EU’s 6. rammeprogram, hvilket svarer til omtrent 2,4 % af de samlede midler.</w:t>
      </w:r>
    </w:p>
    <w:p>
      <w:pPr>
        <w:spacing w:before="144"/>
        <w:ind w:left="742" w:right="0" w:firstLine="0"/>
        <w:jc w:val="left"/>
        <w:rPr>
          <w:b/>
          <w:sz w:val="15"/>
        </w:rPr>
      </w:pPr>
      <w:r>
        <w:rPr>
          <w:b/>
          <w:color w:val="009DDF"/>
          <w:sz w:val="15"/>
        </w:rPr>
        <w:t>Figur 11. FP6, samlede bevillinger</w:t>
      </w:r>
    </w:p>
    <w:p>
      <w:pPr>
        <w:pStyle w:val="BodyText"/>
        <w:spacing w:before="6"/>
        <w:rPr>
          <w:b/>
          <w:sz w:val="9"/>
        </w:rPr>
      </w:pPr>
    </w:p>
    <w:p>
      <w:pPr>
        <w:spacing w:after="0"/>
        <w:rPr>
          <w:sz w:val="9"/>
        </w:rPr>
        <w:sectPr>
          <w:pgSz w:w="11910" w:h="16840"/>
          <w:pgMar w:header="0" w:footer="1056" w:top="1580" w:bottom="1240" w:left="960" w:right="0"/>
        </w:sectPr>
      </w:pPr>
    </w:p>
    <w:p>
      <w:pPr>
        <w:spacing w:before="101"/>
        <w:ind w:left="0" w:right="0" w:firstLine="0"/>
        <w:jc w:val="right"/>
        <w:rPr>
          <w:sz w:val="16"/>
        </w:rPr>
      </w:pPr>
      <w:r>
        <w:rPr>
          <w:sz w:val="16"/>
        </w:rPr>
        <w:t>18.000</w:t>
      </w:r>
      <w:r>
        <w:rPr>
          <w:spacing w:val="55"/>
          <w:sz w:val="16"/>
        </w:rPr>
        <w:t> </w:t>
      </w:r>
      <w:r>
        <w:rPr>
          <w:sz w:val="16"/>
        </w:rPr>
        <w:t>€</w:t>
      </w:r>
    </w:p>
    <w:p>
      <w:pPr>
        <w:pStyle w:val="BodyText"/>
        <w:spacing w:before="9"/>
        <w:rPr>
          <w:sz w:val="15"/>
        </w:rPr>
      </w:pPr>
    </w:p>
    <w:p>
      <w:pPr>
        <w:spacing w:before="1"/>
        <w:ind w:left="0" w:right="0" w:firstLine="0"/>
        <w:jc w:val="right"/>
        <w:rPr>
          <w:sz w:val="16"/>
        </w:rPr>
      </w:pPr>
      <w:r>
        <w:rPr>
          <w:sz w:val="16"/>
        </w:rPr>
        <w:t>15.000</w:t>
      </w:r>
      <w:r>
        <w:rPr>
          <w:spacing w:val="55"/>
          <w:sz w:val="16"/>
        </w:rPr>
        <w:t> </w:t>
      </w:r>
      <w:r>
        <w:rPr>
          <w:sz w:val="16"/>
        </w:rPr>
        <w:t>€</w:t>
      </w:r>
    </w:p>
    <w:p>
      <w:pPr>
        <w:pStyle w:val="BodyText"/>
        <w:spacing w:before="9"/>
        <w:rPr>
          <w:sz w:val="15"/>
        </w:rPr>
      </w:pPr>
    </w:p>
    <w:p>
      <w:pPr>
        <w:spacing w:before="0"/>
        <w:ind w:left="0" w:right="0" w:firstLine="0"/>
        <w:jc w:val="right"/>
        <w:rPr>
          <w:sz w:val="16"/>
        </w:rPr>
      </w:pPr>
      <w:r>
        <w:rPr/>
        <w:pict>
          <v:shape style="position:absolute;margin-left:94.406815pt;margin-top:1.696904pt;width:11.8pt;height:44pt;mso-position-horizontal-relative:page;mso-position-vertical-relative:paragraph;z-index:3184" type="#_x0000_t202" filled="false" stroked="false">
            <v:textbox inset="0,0,0,0" style="layout-flow:vertical;mso-layout-flow-alt:bottom-to-top">
              <w:txbxContent>
                <w:p>
                  <w:pPr>
                    <w:spacing w:before="21"/>
                    <w:ind w:left="20" w:right="0" w:firstLine="0"/>
                    <w:jc w:val="left"/>
                    <w:rPr>
                      <w:b/>
                      <w:sz w:val="16"/>
                    </w:rPr>
                  </w:pPr>
                  <w:r>
                    <w:rPr>
                      <w:b/>
                      <w:sz w:val="16"/>
                    </w:rPr>
                    <w:t>Mio. euro</w:t>
                  </w:r>
                </w:p>
              </w:txbxContent>
            </v:textbox>
            <w10:wrap type="none"/>
          </v:shape>
        </w:pict>
      </w:r>
      <w:r>
        <w:rPr>
          <w:sz w:val="16"/>
        </w:rPr>
        <w:t>12.000</w:t>
      </w:r>
      <w:r>
        <w:rPr>
          <w:spacing w:val="55"/>
          <w:sz w:val="16"/>
        </w:rPr>
        <w:t> </w:t>
      </w:r>
      <w:r>
        <w:rPr>
          <w:sz w:val="16"/>
        </w:rPr>
        <w:t>€</w:t>
      </w:r>
    </w:p>
    <w:p>
      <w:pPr>
        <w:pStyle w:val="BodyText"/>
        <w:spacing w:before="10"/>
        <w:rPr>
          <w:sz w:val="15"/>
        </w:rPr>
      </w:pPr>
    </w:p>
    <w:p>
      <w:pPr>
        <w:spacing w:before="0"/>
        <w:ind w:left="0" w:right="0" w:firstLine="0"/>
        <w:jc w:val="right"/>
        <w:rPr>
          <w:sz w:val="16"/>
        </w:rPr>
      </w:pPr>
      <w:r>
        <w:rPr>
          <w:sz w:val="16"/>
        </w:rPr>
        <w:t>9.000  €</w:t>
      </w:r>
    </w:p>
    <w:p>
      <w:pPr>
        <w:pStyle w:val="BodyText"/>
        <w:spacing w:before="10"/>
        <w:rPr>
          <w:sz w:val="15"/>
        </w:rPr>
      </w:pPr>
    </w:p>
    <w:p>
      <w:pPr>
        <w:spacing w:before="0"/>
        <w:ind w:left="0" w:right="0" w:firstLine="0"/>
        <w:jc w:val="right"/>
        <w:rPr>
          <w:sz w:val="16"/>
        </w:rPr>
      </w:pPr>
      <w:r>
        <w:rPr>
          <w:sz w:val="16"/>
        </w:rPr>
        <w:t>6.000  €</w:t>
      </w:r>
    </w:p>
    <w:p>
      <w:pPr>
        <w:pStyle w:val="BodyText"/>
        <w:spacing w:before="10"/>
        <w:rPr>
          <w:sz w:val="15"/>
        </w:rPr>
      </w:pPr>
    </w:p>
    <w:p>
      <w:pPr>
        <w:spacing w:before="0"/>
        <w:ind w:left="0" w:right="0" w:firstLine="0"/>
        <w:jc w:val="right"/>
        <w:rPr>
          <w:sz w:val="16"/>
        </w:rPr>
      </w:pPr>
      <w:r>
        <w:rPr>
          <w:sz w:val="16"/>
        </w:rPr>
        <w:t>3.000  €</w:t>
      </w:r>
    </w:p>
    <w:p>
      <w:pPr>
        <w:pStyle w:val="BodyText"/>
        <w:spacing w:before="9"/>
        <w:rPr>
          <w:sz w:val="15"/>
        </w:rPr>
      </w:pPr>
    </w:p>
    <w:p>
      <w:pPr>
        <w:spacing w:before="1"/>
        <w:ind w:left="0" w:right="0" w:firstLine="0"/>
        <w:jc w:val="right"/>
        <w:rPr>
          <w:sz w:val="16"/>
        </w:rPr>
      </w:pPr>
      <w:r>
        <w:rPr>
          <w:sz w:val="16"/>
        </w:rPr>
        <w:t>- </w:t>
      </w:r>
      <w:r>
        <w:rPr>
          <w:spacing w:val="1"/>
          <w:sz w:val="16"/>
        </w:rPr>
        <w:t> </w:t>
      </w:r>
      <w:r>
        <w:rPr>
          <w:sz w:val="16"/>
        </w:rPr>
        <w: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tabs>
          <w:tab w:pos="1774" w:val="left" w:leader="none"/>
        </w:tabs>
        <w:spacing w:before="0"/>
        <w:ind w:left="276" w:right="0" w:firstLine="0"/>
        <w:jc w:val="left"/>
        <w:rPr>
          <w:sz w:val="16"/>
        </w:rPr>
      </w:pPr>
      <w:r>
        <w:rPr/>
        <w:pict>
          <v:group style="position:absolute;margin-left:159.839996pt;margin-top:-127.070206pt;width:358.6pt;height:124.4pt;mso-position-horizontal-relative:page;mso-position-vertical-relative:paragraph;z-index:3160" coordorigin="3197,-2541" coordsize="7172,2488">
            <v:rect style="position:absolute;left:3554;top:-2255;width:408;height:2148" filled="true" fillcolor="#a7d2f5" stroked="false">
              <v:fill type="solid"/>
            </v:rect>
            <v:line style="position:absolute" from="4978,-132" to="5383,-132" stroked="true" strokeweight="2.52pt" strokecolor="#a7d2f5">
              <v:stroke dashstyle="solid"/>
            </v:line>
            <v:rect style="position:absolute;left:8227;top:-247;width:408;height:140" filled="true" fillcolor="#5ca451" stroked="false">
              <v:fill type="solid"/>
            </v:rect>
            <v:line style="position:absolute" from="9650,-108" to="10056,-108" stroked="true" strokeweight=".12pt" strokecolor="#5ca451">
              <v:stroke dashstyle="solid"/>
            </v:line>
            <v:shape style="position:absolute;left:3196;top:-2426;width:7164;height:2372" coordorigin="3197,-2425" coordsize="7164,2372" path="m3250,-107l3250,-2425m3197,-107l3250,-107m3197,-493l3250,-493m3197,-880l3250,-880m3197,-1266l3250,-1266m3197,-1653l3250,-1653m3197,-2039l3250,-2039m3197,-2425l3250,-2425m3250,-107l10361,-107m3250,-107l3250,-54m4673,-107l4673,-54m6096,-107l6096,-54m7517,-107l7517,-54m8940,-107l8940,-54m10361,-107l10361,-54e" filled="false" stroked="true" strokeweight=".72pt" strokecolor="#858585">
              <v:path arrowok="t"/>
              <v:stroke dashstyle="solid"/>
            </v:shape>
            <v:shape style="position:absolute;left:3338;top:-2542;width:912;height:196" type="#_x0000_t202" filled="false" stroked="false">
              <v:textbox inset="0,0,0,0">
                <w:txbxContent>
                  <w:p>
                    <w:pPr>
                      <w:spacing w:before="1"/>
                      <w:ind w:left="0" w:right="0" w:firstLine="0"/>
                      <w:jc w:val="left"/>
                      <w:rPr>
                        <w:sz w:val="16"/>
                      </w:rPr>
                    </w:pPr>
                    <w:r>
                      <w:rPr>
                        <w:sz w:val="16"/>
                      </w:rPr>
                      <w:t>€ 16.678,6</w:t>
                    </w:r>
                  </w:p>
                </w:txbxContent>
              </v:textbox>
              <w10:wrap type="none"/>
            </v:shape>
            <v:shape style="position:absolute;left:4893;top:-444;width:648;height:196" type="#_x0000_t202" filled="false" stroked="false">
              <v:textbox inset="0,0,0,0">
                <w:txbxContent>
                  <w:p>
                    <w:pPr>
                      <w:spacing w:before="1"/>
                      <w:ind w:left="0" w:right="0" w:firstLine="0"/>
                      <w:jc w:val="left"/>
                      <w:rPr>
                        <w:sz w:val="16"/>
                      </w:rPr>
                    </w:pPr>
                    <w:r>
                      <w:rPr>
                        <w:sz w:val="16"/>
                      </w:rPr>
                      <w:t>€ 396,1</w:t>
                    </w:r>
                  </w:p>
                </w:txbxContent>
              </v:textbox>
              <w10:wrap type="none"/>
            </v:shape>
            <v:shape style="position:absolute;left:8065;top:-531;width:809;height:196" type="#_x0000_t202" filled="false" stroked="false">
              <v:textbox inset="0,0,0,0">
                <w:txbxContent>
                  <w:p>
                    <w:pPr>
                      <w:spacing w:before="1"/>
                      <w:ind w:left="0" w:right="0" w:firstLine="0"/>
                      <w:jc w:val="left"/>
                      <w:rPr>
                        <w:sz w:val="16"/>
                      </w:rPr>
                    </w:pPr>
                    <w:r>
                      <w:rPr>
                        <w:sz w:val="16"/>
                      </w:rPr>
                      <w:t>€ 1.068,6</w:t>
                    </w:r>
                  </w:p>
                </w:txbxContent>
              </v:textbox>
              <w10:wrap type="none"/>
            </v:shape>
            <v:shape style="position:absolute;left:9670;top:-393;width:442;height:196" type="#_x0000_t202" filled="false" stroked="false">
              <v:textbox inset="0,0,0,0">
                <w:txbxContent>
                  <w:p>
                    <w:pPr>
                      <w:spacing w:before="1"/>
                      <w:ind w:left="0" w:right="0" w:firstLine="0"/>
                      <w:jc w:val="left"/>
                      <w:rPr>
                        <w:sz w:val="16"/>
                      </w:rPr>
                    </w:pPr>
                    <w:r>
                      <w:rPr>
                        <w:sz w:val="16"/>
                      </w:rPr>
                      <w:t>€ 4,4</w:t>
                    </w:r>
                  </w:p>
                </w:txbxContent>
              </v:textbox>
              <w10:wrap type="none"/>
            </v:shape>
            <w10:wrap type="none"/>
          </v:group>
        </w:pict>
      </w:r>
      <w:r>
        <w:rPr>
          <w:sz w:val="16"/>
        </w:rPr>
        <w:t>Bevillinger</w:t>
      </w:r>
      <w:r>
        <w:rPr>
          <w:spacing w:val="-4"/>
          <w:sz w:val="16"/>
        </w:rPr>
        <w:t> </w:t>
      </w:r>
      <w:r>
        <w:rPr>
          <w:sz w:val="16"/>
        </w:rPr>
        <w:t>i alt</w:t>
        <w:tab/>
        <w:t>Bevillinger</w:t>
      </w:r>
      <w:r>
        <w:rPr>
          <w:spacing w:val="-3"/>
          <w:sz w:val="16"/>
        </w:rPr>
        <w:t> </w:t>
      </w:r>
      <w:r>
        <w:rPr>
          <w:sz w:val="16"/>
        </w:rPr>
        <w:t>til</w:t>
      </w:r>
    </w:p>
    <w:p>
      <w:pPr>
        <w:spacing w:before="0"/>
        <w:ind w:left="1616" w:right="0" w:firstLine="0"/>
        <w:jc w:val="left"/>
        <w:rPr>
          <w:sz w:val="16"/>
        </w:rPr>
      </w:pPr>
      <w:r>
        <w:rPr>
          <w:sz w:val="16"/>
        </w:rPr>
        <w:t>danske projekter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1745" w:right="-19" w:hanging="444"/>
        <w:jc w:val="left"/>
        <w:rPr>
          <w:sz w:val="16"/>
        </w:rPr>
      </w:pPr>
      <w:r>
        <w:rPr>
          <w:sz w:val="16"/>
        </w:rPr>
        <w:t>Bevillinger i alt, Aero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142" w:right="1629" w:firstLine="189"/>
        <w:jc w:val="left"/>
        <w:rPr>
          <w:sz w:val="16"/>
        </w:rPr>
      </w:pPr>
      <w:r>
        <w:rPr>
          <w:sz w:val="16"/>
        </w:rPr>
        <w:t>Bevillinger Danmark, Aero</w:t>
      </w:r>
    </w:p>
    <w:p>
      <w:pPr>
        <w:spacing w:after="0"/>
        <w:jc w:val="left"/>
        <w:rPr>
          <w:sz w:val="16"/>
        </w:rPr>
        <w:sectPr>
          <w:type w:val="continuous"/>
          <w:pgSz w:w="11910" w:h="16840"/>
          <w:pgMar w:top="1400" w:bottom="280" w:left="960" w:right="0"/>
          <w:cols w:num="4" w:equalWidth="0">
            <w:col w:w="2087" w:space="40"/>
            <w:col w:w="3021" w:space="191"/>
            <w:col w:w="2560" w:space="40"/>
            <w:col w:w="3011"/>
          </w:cols>
        </w:sectPr>
      </w:pPr>
    </w:p>
    <w:p>
      <w:pPr>
        <w:pStyle w:val="BodyText"/>
        <w:spacing w:before="3"/>
        <w:rPr>
          <w:sz w:val="9"/>
        </w:rPr>
      </w:pPr>
    </w:p>
    <w:p>
      <w:pPr>
        <w:spacing w:before="100"/>
        <w:ind w:left="742" w:right="0" w:firstLine="0"/>
        <w:jc w:val="left"/>
        <w:rPr>
          <w:sz w:val="13"/>
        </w:rPr>
      </w:pPr>
      <w:r>
        <w:rPr>
          <w:sz w:val="13"/>
        </w:rPr>
        <w:t>Kilde: Data fra Styrelsen for Forskning og Innovation vedr. projekter med dansk deltagelse i EU’s 6. rammeprogram.</w:t>
      </w:r>
    </w:p>
    <w:p>
      <w:pPr>
        <w:pStyle w:val="BodyText"/>
        <w:spacing w:before="7"/>
        <w:rPr>
          <w:sz w:val="21"/>
        </w:rPr>
      </w:pPr>
    </w:p>
    <w:p>
      <w:pPr>
        <w:pStyle w:val="BodyText"/>
        <w:spacing w:line="264" w:lineRule="auto"/>
        <w:ind w:left="742" w:right="1167"/>
        <w:rPr>
          <w:sz w:val="8"/>
        </w:rPr>
      </w:pPr>
      <w:r>
        <w:rPr/>
        <w:t>På området for luft og rumfart fik Danmark samlet bevilget 4,4 mio. euro for perioden. I forhold til det danske udbytte af FP6, hentede vi derfor relativt færre midler inden for rumforskning sammen- lignet med de øvrige prioritetsområder. Desværre er det ikke muligt at måle succesraten for den danske deltagelse, da tallene fra Europa-Kommissionen udelukkende indeholder oplysninger om bevilgede projekter.</w:t>
      </w:r>
      <w:r>
        <w:rPr>
          <w:w w:val="99"/>
          <w:position w:val="6"/>
          <w:sz w:val="8"/>
        </w:rPr>
        <w:t>22</w:t>
      </w:r>
    </w:p>
    <w:p>
      <w:pPr>
        <w:pStyle w:val="BodyText"/>
        <w:spacing w:before="6"/>
        <w:rPr>
          <w:sz w:val="19"/>
        </w:rPr>
      </w:pPr>
    </w:p>
    <w:p>
      <w:pPr>
        <w:pStyle w:val="BodyText"/>
        <w:spacing w:line="264" w:lineRule="auto"/>
        <w:ind w:left="742" w:right="1138"/>
      </w:pPr>
      <w:r>
        <w:rPr/>
        <w:t>Figuren nedenfor viser, at Danmark sammenlagt modtog 2,4 % (omtrent 978 mio. euro) af midler- ne fra rammeprogrammet FP7. Omtrent 12,8 mio. euro af disse var hentet hjem til rumforskning. Danmarks succesrate for ansøgninger til rumrelaterede projekter lå væsentligt over succesraten for</w:t>
      </w:r>
    </w:p>
    <w:p>
      <w:pPr>
        <w:pStyle w:val="BodyText"/>
        <w:spacing w:before="3"/>
      </w:pPr>
      <w:r>
        <w:rPr/>
        <w:pict>
          <v:line style="position:absolute;mso-position-horizontal-relative:page;mso-position-vertical-relative:paragraph;z-index:992;mso-wrap-distance-left:0;mso-wrap-distance-right:0" from="85.103996pt,13.308887pt" to="229.123996pt,13.308887pt" stroked="true" strokeweight=".48004pt" strokecolor="#000000">
            <v:stroke dashstyle="solid"/>
            <w10:wrap type="topAndBottom"/>
          </v:line>
        </w:pict>
      </w:r>
    </w:p>
    <w:p>
      <w:pPr>
        <w:spacing w:before="99"/>
        <w:ind w:left="742" w:right="0" w:firstLine="0"/>
        <w:jc w:val="left"/>
        <w:rPr>
          <w:sz w:val="13"/>
        </w:rPr>
      </w:pPr>
      <w:r>
        <w:rPr>
          <w:position w:val="6"/>
          <w:sz w:val="8"/>
        </w:rPr>
        <w:t>22 </w:t>
      </w:r>
      <w:r>
        <w:rPr>
          <w:sz w:val="13"/>
        </w:rPr>
        <w:t>Aero-området omfattede ikke kun rummet, men også luftfart.</w:t>
      </w:r>
    </w:p>
    <w:p>
      <w:pPr>
        <w:spacing w:after="0"/>
        <w:jc w:val="left"/>
        <w:rPr>
          <w:sz w:val="13"/>
        </w:rPr>
        <w:sectPr>
          <w:type w:val="continuous"/>
          <w:pgSz w:w="11910" w:h="16840"/>
          <w:pgMar w:top="1400" w:bottom="280" w:left="960" w:right="0"/>
        </w:sectPr>
      </w:pPr>
    </w:p>
    <w:p>
      <w:pPr>
        <w:pStyle w:val="BodyText"/>
        <w:spacing w:line="264" w:lineRule="auto" w:before="126"/>
        <w:ind w:left="742" w:right="1394"/>
        <w:jc w:val="both"/>
      </w:pPr>
      <w:r>
        <w:rPr/>
        <w:t>de øvrige danske ansøgninger, 37 % i henhold til 23 %. Denne tendens var generel for deltager- landene; den gennemsnitlige succesrate på rumområdet var højere end den gennemsnitlige suc- cesrate for alle prioritetsområderne. Succesraten for alle deltagerlandene på rumområdet var 32</w:t>
      </w:r>
    </w:p>
    <w:p>
      <w:pPr>
        <w:pStyle w:val="BodyText"/>
        <w:spacing w:line="264" w:lineRule="auto"/>
        <w:ind w:left="742" w:right="1133"/>
      </w:pPr>
      <w:r>
        <w:rPr/>
        <w:t>%, hvilket var 5 procentpoint lavere end Danmarks. Danmarks succesrate på rumområdet var altså højere end andre deltagerlandes og var højere end Danmarks øvrige succesrater.</w:t>
      </w:r>
    </w:p>
    <w:p>
      <w:pPr>
        <w:spacing w:before="143"/>
        <w:ind w:left="742" w:right="0" w:firstLine="0"/>
        <w:jc w:val="both"/>
        <w:rPr>
          <w:b/>
          <w:sz w:val="15"/>
        </w:rPr>
      </w:pPr>
      <w:r>
        <w:rPr>
          <w:b/>
          <w:color w:val="009DDF"/>
          <w:sz w:val="15"/>
        </w:rPr>
        <w:t>Figur 12. FP7, samlede bevillinger og succesrater</w:t>
      </w:r>
    </w:p>
    <w:p>
      <w:pPr>
        <w:pStyle w:val="BodyText"/>
        <w:rPr>
          <w:b/>
          <w:sz w:val="25"/>
        </w:rPr>
      </w:pPr>
    </w:p>
    <w:p>
      <w:pPr>
        <w:spacing w:after="0"/>
        <w:rPr>
          <w:sz w:val="25"/>
        </w:rPr>
        <w:sectPr>
          <w:pgSz w:w="11910" w:h="16840"/>
          <w:pgMar w:header="0" w:footer="1056" w:top="1580" w:bottom="1240" w:left="960" w:right="0"/>
        </w:sectPr>
      </w:pPr>
    </w:p>
    <w:p>
      <w:pPr>
        <w:spacing w:before="104"/>
        <w:ind w:left="1315" w:right="0" w:firstLine="0"/>
        <w:jc w:val="left"/>
        <w:rPr>
          <w:sz w:val="16"/>
        </w:rPr>
      </w:pPr>
      <w:r>
        <w:rPr/>
        <w:pict>
          <v:group style="position:absolute;margin-left:160.559998pt;margin-top:9.972944pt;width:325.95pt;height:81.5pt;mso-position-horizontal-relative:page;mso-position-vertical-relative:paragraph;z-index:-180496" coordorigin="3211,199" coordsize="6519,1630">
            <v:rect style="position:absolute;left:3439;top:468;width:233;height:1306" filled="true" fillcolor="#a7d2f5" stroked="false">
              <v:fill type="solid"/>
            </v:rect>
            <v:line style="position:absolute" from="4022,1759" to="4255,1759" stroked="true" strokeweight="1.44pt" strokecolor="#a7d2f5">
              <v:stroke dashstyle="solid"/>
            </v:line>
            <v:line style="position:absolute" from="5189,1763" to="5422,1763" stroked="true" strokeweight="1.08pt" strokecolor="#a7d2f5">
              <v:stroke dashstyle="solid"/>
            </v:line>
            <v:line style="position:absolute" from="5772,1773" to="6005,1773" stroked="true" strokeweight=".12pt" strokecolor="#a7d2f5">
              <v:stroke dashstyle="solid"/>
            </v:line>
            <v:shape style="position:absolute;left:6936;top:1200;width:2566;height:574" coordorigin="6936,1200" coordsize="2566,574" path="m7171,1421l6936,1421,6936,1774,7171,1774,7171,1421m7754,1200l7519,1200,7519,1774,7754,1774,7754,1200m8918,1474l8686,1474,8686,1774,8918,1774,8918,1474m9502,1277l9269,1277,9269,1774,9502,1774,9502,1277e" filled="true" fillcolor="#5ca451" stroked="false">
              <v:path arrowok="t"/>
              <v:fill type="solid"/>
            </v:shape>
            <v:shape style="position:absolute;left:3211;top:206;width:6519;height:1623" coordorigin="3211,207" coordsize="6519,1623" path="m9677,1774l9677,207m9677,1774l9730,1774m9677,1462l9730,1462m9677,1147l9730,1147m9677,833l9730,833m9677,521l9730,521m9677,207l9730,207m3264,1774l3264,207m3211,1774l3264,1774m3211,1462l3264,1462m3211,1147l3264,1147m3211,833l3264,833m3211,521l3264,521m3211,207l3264,207m3264,1774l9677,1774m3264,1774l3264,1829m3847,1774l3847,1829m4430,1774l4430,1829m5014,1774l5014,1829m5597,1774l5597,1829m6180,1774l6180,1829m6763,1774l6763,1829m7346,1774l7346,1829m7927,1774l7927,1829m8510,1774l8510,1829m9094,1774l9094,1829m9677,1774l9677,1829e" filled="false" stroked="true" strokeweight=".72pt" strokecolor="#858585">
              <v:path arrowok="t"/>
              <v:stroke dashstyle="solid"/>
            </v:shape>
            <w10:wrap type="none"/>
          </v:group>
        </w:pict>
      </w:r>
      <w:r>
        <w:rPr/>
        <w:pict>
          <v:shape style="position:absolute;margin-left:90.636818pt;margin-top:15.716882pt;width:11.8pt;height:44pt;mso-position-horizontal-relative:page;mso-position-vertical-relative:paragraph;z-index:3424" type="#_x0000_t202" filled="false" stroked="false">
            <v:textbox inset="0,0,0,0" style="layout-flow:vertical;mso-layout-flow-alt:bottom-to-top">
              <w:txbxContent>
                <w:p>
                  <w:pPr>
                    <w:spacing w:before="21"/>
                    <w:ind w:left="20" w:right="0" w:firstLine="0"/>
                    <w:jc w:val="left"/>
                    <w:rPr>
                      <w:b/>
                      <w:sz w:val="16"/>
                    </w:rPr>
                  </w:pPr>
                  <w:r>
                    <w:rPr>
                      <w:b/>
                      <w:sz w:val="16"/>
                    </w:rPr>
                    <w:t>Mio. euro</w:t>
                  </w:r>
                </w:p>
              </w:txbxContent>
            </v:textbox>
            <w10:wrap type="none"/>
          </v:shape>
        </w:pict>
      </w:r>
      <w:r>
        <w:rPr>
          <w:position w:val="8"/>
          <w:sz w:val="16"/>
        </w:rPr>
        <w:t>50.000 € </w:t>
      </w:r>
      <w:r>
        <w:rPr>
          <w:sz w:val="16"/>
        </w:rPr>
        <w:t>€ 41.662,0</w:t>
      </w:r>
    </w:p>
    <w:p>
      <w:pPr>
        <w:spacing w:before="36"/>
        <w:ind w:left="1315" w:right="0" w:firstLine="0"/>
        <w:jc w:val="left"/>
        <w:rPr>
          <w:sz w:val="16"/>
        </w:rPr>
      </w:pPr>
      <w:r>
        <w:rPr>
          <w:sz w:val="16"/>
        </w:rPr>
        <w:t>40.000</w:t>
      </w:r>
      <w:r>
        <w:rPr>
          <w:spacing w:val="55"/>
          <w:sz w:val="16"/>
        </w:rPr>
        <w:t> </w:t>
      </w:r>
      <w:r>
        <w:rPr>
          <w:sz w:val="16"/>
        </w:rPr>
        <w:t>€</w:t>
      </w:r>
    </w:p>
    <w:p>
      <w:pPr>
        <w:spacing w:before="119"/>
        <w:ind w:left="1315" w:right="0" w:firstLine="0"/>
        <w:jc w:val="left"/>
        <w:rPr>
          <w:sz w:val="16"/>
        </w:rPr>
      </w:pPr>
      <w:r>
        <w:rPr>
          <w:sz w:val="16"/>
        </w:rPr>
        <w:t>30.000</w:t>
      </w:r>
      <w:r>
        <w:rPr>
          <w:spacing w:val="55"/>
          <w:sz w:val="16"/>
        </w:rPr>
        <w:t> </w:t>
      </w:r>
      <w:r>
        <w:rPr>
          <w:sz w:val="16"/>
        </w:rPr>
        <w:t>€</w:t>
      </w:r>
    </w:p>
    <w:p>
      <w:pPr>
        <w:spacing w:before="120"/>
        <w:ind w:left="1315" w:right="0" w:firstLine="0"/>
        <w:jc w:val="left"/>
        <w:rPr>
          <w:sz w:val="16"/>
        </w:rPr>
      </w:pPr>
      <w:r>
        <w:rPr>
          <w:sz w:val="16"/>
        </w:rPr>
        <w:t>20.000</w:t>
      </w:r>
      <w:r>
        <w:rPr>
          <w:spacing w:val="55"/>
          <w:sz w:val="16"/>
        </w:rPr>
        <w:t> </w:t>
      </w:r>
      <w:r>
        <w:rPr>
          <w:sz w:val="16"/>
        </w:rPr>
        <w: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spacing w:before="165"/>
        <w:ind w:left="0" w:right="0" w:firstLine="0"/>
        <w:jc w:val="right"/>
        <w:rPr>
          <w:sz w:val="16"/>
        </w:rPr>
      </w:pPr>
      <w:r>
        <w:rPr>
          <w:sz w:val="16"/>
        </w:rPr>
        <w:t>23%</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4"/>
        <w:rPr>
          <w:sz w:val="15"/>
        </w:rPr>
      </w:pPr>
    </w:p>
    <w:p>
      <w:pPr>
        <w:spacing w:before="0"/>
        <w:ind w:left="162" w:right="0" w:firstLine="0"/>
        <w:jc w:val="left"/>
        <w:rPr>
          <w:sz w:val="16"/>
        </w:rPr>
      </w:pPr>
      <w:r>
        <w:rPr>
          <w:sz w:val="16"/>
        </w:rPr>
        <w:t>37%</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1"/>
        <w:rPr>
          <w:sz w:val="17"/>
        </w:rPr>
      </w:pPr>
    </w:p>
    <w:p>
      <w:pPr>
        <w:spacing w:line="164" w:lineRule="exact" w:before="1"/>
        <w:ind w:left="745" w:right="0" w:firstLine="0"/>
        <w:jc w:val="left"/>
        <w:rPr>
          <w:sz w:val="16"/>
        </w:rPr>
      </w:pPr>
      <w:r>
        <w:rPr/>
        <w:pict>
          <v:shape style="position:absolute;margin-left:341.966827pt;margin-top:33.697266pt;width:21.5pt;height:48.85pt;mso-position-horizontal-relative:page;mso-position-vertical-relative:paragraph;z-index:3688" type="#_x0000_t202" filled="false" stroked="false">
            <v:textbox inset="0,0,0,0" style="layout-flow:vertical;mso-layout-flow-alt:bottom-to-top">
              <w:txbxContent>
                <w:p>
                  <w:pPr>
                    <w:spacing w:before="21"/>
                    <w:ind w:left="120" w:right="1" w:hanging="101"/>
                    <w:jc w:val="left"/>
                    <w:rPr>
                      <w:sz w:val="16"/>
                    </w:rPr>
                  </w:pPr>
                  <w:r>
                    <w:rPr>
                      <w:sz w:val="16"/>
                    </w:rPr>
                    <w:t>Succesrate, Danmark</w:t>
                  </w:r>
                </w:p>
              </w:txbxContent>
            </v:textbox>
            <w10:wrap type="none"/>
          </v:shape>
        </w:pict>
      </w:r>
      <w:r>
        <w:rPr>
          <w:sz w:val="16"/>
        </w:rPr>
        <w:t>19%</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8"/>
        <w:rPr>
          <w:sz w:val="21"/>
        </w:rPr>
      </w:pPr>
    </w:p>
    <w:p>
      <w:pPr>
        <w:spacing w:before="1"/>
        <w:ind w:left="162" w:right="0" w:firstLine="0"/>
        <w:jc w:val="left"/>
        <w:rPr>
          <w:sz w:val="16"/>
        </w:rPr>
      </w:pPr>
      <w:r>
        <w:rPr>
          <w:sz w:val="16"/>
        </w:rPr>
        <w:t>32%</w:t>
      </w:r>
    </w:p>
    <w:p>
      <w:pPr>
        <w:spacing w:before="101"/>
        <w:ind w:left="213" w:right="0" w:firstLine="0"/>
        <w:jc w:val="left"/>
        <w:rPr>
          <w:sz w:val="16"/>
        </w:rPr>
      </w:pPr>
      <w:r>
        <w:rPr/>
        <w:br w:type="column"/>
      </w:r>
      <w:r>
        <w:rPr>
          <w:sz w:val="16"/>
        </w:rPr>
        <w:t>100,00%</w:t>
      </w:r>
    </w:p>
    <w:p>
      <w:pPr>
        <w:spacing w:before="119"/>
        <w:ind w:left="213" w:right="0" w:firstLine="0"/>
        <w:jc w:val="left"/>
        <w:rPr>
          <w:sz w:val="16"/>
        </w:rPr>
      </w:pPr>
      <w:r>
        <w:rPr>
          <w:sz w:val="16"/>
        </w:rPr>
        <w:t>80,00%</w:t>
      </w:r>
    </w:p>
    <w:p>
      <w:pPr>
        <w:spacing w:before="119"/>
        <w:ind w:left="213" w:right="0" w:firstLine="0"/>
        <w:jc w:val="left"/>
        <w:rPr>
          <w:sz w:val="16"/>
        </w:rPr>
      </w:pPr>
      <w:r>
        <w:rPr>
          <w:sz w:val="16"/>
        </w:rPr>
        <w:t>60,00%</w:t>
      </w:r>
    </w:p>
    <w:p>
      <w:pPr>
        <w:spacing w:before="120"/>
        <w:ind w:left="213" w:right="0" w:firstLine="0"/>
        <w:jc w:val="left"/>
        <w:rPr>
          <w:sz w:val="16"/>
        </w:rPr>
      </w:pPr>
      <w:r>
        <w:rPr>
          <w:sz w:val="16"/>
        </w:rPr>
        <w:t>40,00%</w:t>
      </w:r>
    </w:p>
    <w:p>
      <w:pPr>
        <w:spacing w:after="0"/>
        <w:jc w:val="left"/>
        <w:rPr>
          <w:sz w:val="16"/>
        </w:rPr>
        <w:sectPr>
          <w:type w:val="continuous"/>
          <w:pgSz w:w="11910" w:h="16840"/>
          <w:pgMar w:top="1400" w:bottom="280" w:left="960" w:right="0"/>
          <w:cols w:num="6" w:equalWidth="0">
            <w:col w:w="3109" w:space="1479"/>
            <w:col w:w="1697" w:space="40"/>
            <w:col w:w="544" w:space="39"/>
            <w:col w:w="1126" w:space="39"/>
            <w:col w:w="544" w:space="40"/>
            <w:col w:w="2293"/>
          </w:cols>
        </w:sectPr>
      </w:pPr>
    </w:p>
    <w:p>
      <w:pPr>
        <w:spacing w:before="0"/>
        <w:ind w:left="0" w:right="0" w:firstLine="0"/>
        <w:jc w:val="right"/>
        <w:rPr>
          <w:sz w:val="16"/>
        </w:rPr>
      </w:pPr>
      <w:r>
        <w:rPr>
          <w:sz w:val="16"/>
        </w:rPr>
        <w:t>10.000</w:t>
      </w:r>
      <w:r>
        <w:rPr>
          <w:spacing w:val="55"/>
          <w:sz w:val="16"/>
        </w:rPr>
        <w:t> </w:t>
      </w:r>
      <w:r>
        <w:rPr>
          <w:sz w:val="16"/>
        </w:rPr>
        <w:t>€</w:t>
      </w:r>
    </w:p>
    <w:p>
      <w:pPr>
        <w:spacing w:before="120"/>
        <w:ind w:left="0" w:right="0" w:firstLine="0"/>
        <w:jc w:val="right"/>
        <w:rPr>
          <w:sz w:val="16"/>
        </w:rPr>
      </w:pPr>
      <w:r>
        <w:rPr/>
        <w:pict>
          <v:shape style="position:absolute;margin-left:171.926819pt;margin-top:15.604262pt;width:11.8pt;height:62.05pt;mso-position-horizontal-relative:page;mso-position-vertical-relative:paragraph;z-index:3496" type="#_x0000_t202" filled="false" stroked="false">
            <v:textbox inset="0,0,0,0" style="layout-flow:vertical;mso-layout-flow-alt:bottom-to-top">
              <w:txbxContent>
                <w:p>
                  <w:pPr>
                    <w:spacing w:before="21"/>
                    <w:ind w:left="20" w:right="0" w:firstLine="0"/>
                    <w:jc w:val="left"/>
                    <w:rPr>
                      <w:sz w:val="16"/>
                    </w:rPr>
                  </w:pPr>
                  <w:r>
                    <w:rPr>
                      <w:sz w:val="16"/>
                    </w:rPr>
                    <w:t>Bevillinger i alt</w:t>
                  </w:r>
                </w:p>
              </w:txbxContent>
            </v:textbox>
            <w10:wrap type="none"/>
          </v:shape>
        </w:pict>
      </w:r>
      <w:r>
        <w:rPr>
          <w:sz w:val="16"/>
        </w:rPr>
        <w:t>- </w:t>
      </w:r>
      <w:r>
        <w:rPr>
          <w:spacing w:val="1"/>
          <w:sz w:val="16"/>
        </w:rPr>
        <w:t> </w:t>
      </w:r>
      <w:r>
        <w:rPr>
          <w:sz w:val="16"/>
        </w:rPr>
        <w:t>€</w:t>
      </w:r>
    </w:p>
    <w:p>
      <w:pPr>
        <w:tabs>
          <w:tab w:pos="1918" w:val="left" w:leader="none"/>
        </w:tabs>
        <w:spacing w:before="104"/>
        <w:ind w:left="752" w:right="0" w:firstLine="0"/>
        <w:jc w:val="left"/>
        <w:rPr>
          <w:sz w:val="16"/>
        </w:rPr>
      </w:pPr>
      <w:r>
        <w:rPr/>
        <w:br w:type="column"/>
      </w:r>
      <w:r>
        <w:rPr>
          <w:position w:val="1"/>
          <w:sz w:val="16"/>
        </w:rPr>
        <w:t>€</w:t>
      </w:r>
      <w:r>
        <w:rPr>
          <w:spacing w:val="-1"/>
          <w:position w:val="1"/>
          <w:sz w:val="16"/>
        </w:rPr>
        <w:t> </w:t>
      </w:r>
      <w:r>
        <w:rPr>
          <w:position w:val="1"/>
          <w:sz w:val="16"/>
        </w:rPr>
        <w:t>978,2</w:t>
        <w:tab/>
      </w:r>
      <w:r>
        <w:rPr>
          <w:sz w:val="16"/>
        </w:rPr>
        <w:t>€ 696,7</w:t>
      </w:r>
      <w:r>
        <w:rPr>
          <w:position w:val="-1"/>
          <w:sz w:val="16"/>
        </w:rPr>
        <w:t>€</w:t>
      </w:r>
      <w:r>
        <w:rPr>
          <w:spacing w:val="5"/>
          <w:position w:val="-1"/>
          <w:sz w:val="16"/>
        </w:rPr>
        <w:t> </w:t>
      </w:r>
      <w:r>
        <w:rPr>
          <w:position w:val="-1"/>
          <w:sz w:val="16"/>
        </w:rPr>
        <w:t>12,8</w:t>
      </w:r>
    </w:p>
    <w:p>
      <w:pPr>
        <w:spacing w:before="0"/>
        <w:ind w:left="1298" w:right="1420" w:firstLine="0"/>
        <w:jc w:val="center"/>
        <w:rPr>
          <w:sz w:val="16"/>
        </w:rPr>
      </w:pPr>
      <w:r>
        <w:rPr/>
        <w:br w:type="column"/>
      </w:r>
      <w:r>
        <w:rPr>
          <w:sz w:val="16"/>
        </w:rPr>
        <w:t>20,00%</w:t>
      </w:r>
    </w:p>
    <w:p>
      <w:pPr>
        <w:spacing w:before="120"/>
        <w:ind w:left="1196" w:right="1420" w:firstLine="0"/>
        <w:jc w:val="center"/>
        <w:rPr>
          <w:sz w:val="16"/>
        </w:rPr>
      </w:pPr>
      <w:r>
        <w:rPr/>
        <w:pict>
          <v:shape style="position:absolute;margin-left:429.416809pt;margin-top:15.635051pt;width:55.55pt;height:76.7pt;mso-position-horizontal-relative:page;mso-position-vertical-relative:paragraph;z-index:3784" type="#_x0000_t202" filled="false" stroked="false">
            <v:textbox inset="0,0,0,0" style="layout-flow:vertical;mso-layout-flow-alt:bottom-to-top">
              <w:txbxContent>
                <w:p>
                  <w:pPr>
                    <w:spacing w:before="21"/>
                    <w:ind w:left="63" w:right="2" w:hanging="44"/>
                    <w:jc w:val="left"/>
                    <w:rPr>
                      <w:sz w:val="16"/>
                    </w:rPr>
                  </w:pPr>
                  <w:r>
                    <w:rPr>
                      <w:sz w:val="16"/>
                    </w:rPr>
                    <w:t>Succesrate for alle prioritetsområder</w:t>
                  </w:r>
                </w:p>
                <w:p>
                  <w:pPr>
                    <w:spacing w:before="96"/>
                    <w:ind w:left="255" w:right="18" w:hanging="1"/>
                    <w:jc w:val="center"/>
                    <w:rPr>
                      <w:sz w:val="16"/>
                    </w:rPr>
                  </w:pPr>
                  <w:r>
                    <w:rPr>
                      <w:sz w:val="16"/>
                    </w:rPr>
                    <w:t>Succesrate alle deltagerlannde, Rummet</w:t>
                  </w:r>
                </w:p>
              </w:txbxContent>
            </v:textbox>
            <w10:wrap type="none"/>
          </v:shape>
        </w:pict>
      </w:r>
      <w:r>
        <w:rPr>
          <w:sz w:val="16"/>
        </w:rPr>
        <w:t>0,00%</w:t>
      </w:r>
    </w:p>
    <w:p>
      <w:pPr>
        <w:spacing w:after="0"/>
        <w:jc w:val="center"/>
        <w:rPr>
          <w:sz w:val="16"/>
        </w:rPr>
        <w:sectPr>
          <w:type w:val="continuous"/>
          <w:pgSz w:w="11910" w:h="16840"/>
          <w:pgMar w:top="1400" w:bottom="280" w:left="960" w:right="0"/>
          <w:cols w:num="3" w:equalWidth="0">
            <w:col w:w="2100" w:space="40"/>
            <w:col w:w="3117" w:space="2296"/>
            <w:col w:w="33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742" w:right="0" w:firstLine="0"/>
        <w:jc w:val="left"/>
        <w:rPr>
          <w:sz w:val="13"/>
        </w:rPr>
      </w:pPr>
      <w:r>
        <w:rPr/>
        <w:pict>
          <v:shape style="position:absolute;margin-left:196.216812pt;margin-top:-84.489265pt;width:21.5pt;height:70.2pt;mso-position-horizontal-relative:page;mso-position-vertical-relative:paragraph;z-index:3544" type="#_x0000_t202" filled="false" stroked="false">
            <v:textbox inset="0,0,0,0" style="layout-flow:vertical;mso-layout-flow-alt:bottom-to-top">
              <w:txbxContent>
                <w:p>
                  <w:pPr>
                    <w:spacing w:before="21"/>
                    <w:ind w:left="20" w:right="0" w:firstLine="158"/>
                    <w:jc w:val="left"/>
                    <w:rPr>
                      <w:sz w:val="16"/>
                    </w:rPr>
                  </w:pPr>
                  <w:r>
                    <w:rPr>
                      <w:sz w:val="16"/>
                    </w:rPr>
                    <w:t>Bevillinger til danske projekter</w:t>
                  </w:r>
                </w:p>
              </w:txbxContent>
            </v:textbox>
            <w10:wrap type="none"/>
          </v:shape>
        </w:pict>
      </w:r>
      <w:r>
        <w:rPr/>
        <w:pict>
          <v:shape style="position:absolute;margin-left:254.506821pt;margin-top:-84.509911pt;width:21.5pt;height:64.95pt;mso-position-horizontal-relative:page;mso-position-vertical-relative:paragraph;z-index:3592" type="#_x0000_t202" filled="false" stroked="false">
            <v:textbox inset="0,0,0,0" style="layout-flow:vertical;mso-layout-flow-alt:bottom-to-top">
              <w:txbxContent>
                <w:p>
                  <w:pPr>
                    <w:spacing w:before="21"/>
                    <w:ind w:left="228" w:right="2" w:hanging="209"/>
                    <w:jc w:val="left"/>
                    <w:rPr>
                      <w:sz w:val="16"/>
                    </w:rPr>
                  </w:pPr>
                  <w:r>
                    <w:rPr>
                      <w:sz w:val="16"/>
                    </w:rPr>
                    <w:t>Bevillinger i alt, Rummmet</w:t>
                  </w:r>
                </w:p>
              </w:txbxContent>
            </v:textbox>
            <w10:wrap type="none"/>
          </v:shape>
        </w:pict>
      </w:r>
      <w:r>
        <w:rPr/>
        <w:pict>
          <v:shape style="position:absolute;margin-left:283.666809pt;margin-top:-84.464714pt;width:21.5pt;height:78.6pt;mso-position-horizontal-relative:page;mso-position-vertical-relative:paragraph;z-index:3640" type="#_x0000_t202" filled="false" stroked="false">
            <v:textbox inset="0,0,0,0" style="layout-flow:vertical;mso-layout-flow-alt:bottom-to-top">
              <w:txbxContent>
                <w:p>
                  <w:pPr>
                    <w:spacing w:before="21"/>
                    <w:ind w:left="20" w:right="0" w:firstLine="345"/>
                    <w:jc w:val="left"/>
                    <w:rPr>
                      <w:sz w:val="16"/>
                    </w:rPr>
                  </w:pPr>
                  <w:r>
                    <w:rPr>
                      <w:sz w:val="16"/>
                    </w:rPr>
                    <w:t>Bevillinger Danmark, Rummet</w:t>
                  </w:r>
                </w:p>
              </w:txbxContent>
            </v:textbox>
            <w10:wrap type="none"/>
          </v:shape>
        </w:pict>
      </w:r>
      <w:r>
        <w:rPr/>
        <w:pict>
          <v:shape style="position:absolute;margin-left:371.126831pt;margin-top:-84.50248pt;width:21.5pt;height:75.7pt;mso-position-horizontal-relative:page;mso-position-vertical-relative:paragraph;z-index:3736" type="#_x0000_t202" filled="false" stroked="false">
            <v:textbox inset="0,0,0,0" style="layout-flow:vertical;mso-layout-flow-alt:bottom-to-top">
              <w:txbxContent>
                <w:p>
                  <w:pPr>
                    <w:spacing w:before="21"/>
                    <w:ind w:left="20" w:right="0" w:firstLine="268"/>
                    <w:jc w:val="left"/>
                    <w:rPr>
                      <w:sz w:val="16"/>
                    </w:rPr>
                  </w:pPr>
                  <w:r>
                    <w:rPr>
                      <w:sz w:val="16"/>
                    </w:rPr>
                    <w:t>Succesrate, Danmark Rummet</w:t>
                  </w:r>
                </w:p>
              </w:txbxContent>
            </v:textbox>
            <w10:wrap type="none"/>
          </v:shape>
        </w:pict>
      </w:r>
      <w:r>
        <w:rPr>
          <w:sz w:val="13"/>
        </w:rPr>
        <w:t>Kilde: Data fra Styrelsen for Forskning og Innovation vedr. projekter med dansk deltagelse i EU’s 7. rammeprogram.</w:t>
      </w:r>
    </w:p>
    <w:p>
      <w:pPr>
        <w:pStyle w:val="BodyText"/>
        <w:spacing w:before="4"/>
        <w:rPr>
          <w:sz w:val="23"/>
        </w:rPr>
      </w:pPr>
    </w:p>
    <w:p>
      <w:pPr>
        <w:pStyle w:val="ListParagraph"/>
        <w:numPr>
          <w:ilvl w:val="2"/>
          <w:numId w:val="5"/>
        </w:numPr>
        <w:tabs>
          <w:tab w:pos="743" w:val="left" w:leader="none"/>
        </w:tabs>
        <w:spacing w:line="240" w:lineRule="auto" w:before="0" w:after="0"/>
        <w:ind w:left="742" w:right="0" w:hanging="624"/>
        <w:jc w:val="left"/>
        <w:rPr>
          <w:b/>
          <w:sz w:val="18"/>
        </w:rPr>
      </w:pPr>
      <w:r>
        <w:rPr>
          <w:b/>
          <w:sz w:val="18"/>
        </w:rPr>
        <w:t>Horizon</w:t>
      </w:r>
      <w:r>
        <w:rPr>
          <w:b/>
          <w:spacing w:val="-1"/>
          <w:sz w:val="18"/>
        </w:rPr>
        <w:t> </w:t>
      </w:r>
      <w:r>
        <w:rPr>
          <w:b/>
          <w:sz w:val="18"/>
        </w:rPr>
        <w:t>2020</w:t>
      </w:r>
    </w:p>
    <w:p>
      <w:pPr>
        <w:pStyle w:val="BodyText"/>
        <w:spacing w:line="264" w:lineRule="auto" w:before="21"/>
        <w:ind w:left="742" w:right="1117"/>
      </w:pPr>
      <w:r>
        <w:rPr/>
        <w:t>Danmark havde ved udgangen af 2015 hentet 299,6 mio. euro fra Horizon 2020, hvilket svarer til 2,57 % af de uddelte midler fra programmet. Det danske hjemtag fra Horizon 2020 på rumområdet udgjorde ved udgangen af 2015 i alt 2,2, mio. euro, svarende til 0,98 % af de, på rumområdet, samlede uddelte midler fra programmet. Hjemtaget på rumområdet ligger således relativt lavere.</w:t>
      </w:r>
    </w:p>
    <w:p>
      <w:pPr>
        <w:pStyle w:val="BodyText"/>
        <w:spacing w:line="264" w:lineRule="auto"/>
        <w:ind w:left="742" w:right="1148"/>
      </w:pPr>
      <w:r>
        <w:rPr/>
        <w:t>Ser vi nærmere på succesraten, lå denne ved udgangen af 2015 samlet set på 13,51 %, mens succesraten på rumfartsområdet udgjorde 16,34 %. Succesraten er dermed relativt højere på rum- området.</w:t>
      </w:r>
    </w:p>
    <w:p>
      <w:pPr>
        <w:spacing w:before="141"/>
        <w:ind w:left="742" w:right="0" w:firstLine="0"/>
        <w:jc w:val="left"/>
        <w:rPr>
          <w:b/>
          <w:sz w:val="15"/>
        </w:rPr>
      </w:pPr>
      <w:r>
        <w:rPr>
          <w:b/>
          <w:color w:val="009DDF"/>
          <w:sz w:val="15"/>
        </w:rPr>
        <w:t>Figur 13. Horizon 2020, samlede bevillinger og succesrater</w:t>
      </w:r>
    </w:p>
    <w:p>
      <w:pPr>
        <w:pStyle w:val="BodyText"/>
        <w:spacing w:before="2"/>
        <w:rPr>
          <w:b/>
          <w:sz w:val="10"/>
        </w:rPr>
      </w:pPr>
    </w:p>
    <w:p>
      <w:pPr>
        <w:spacing w:after="0"/>
        <w:rPr>
          <w:sz w:val="10"/>
        </w:rPr>
        <w:sectPr>
          <w:type w:val="continuous"/>
          <w:pgSz w:w="11910" w:h="16840"/>
          <w:pgMar w:top="1400" w:bottom="280" w:left="960" w:right="0"/>
        </w:sectPr>
      </w:pPr>
    </w:p>
    <w:p>
      <w:pPr>
        <w:spacing w:before="100"/>
        <w:ind w:left="0" w:right="39" w:firstLine="0"/>
        <w:jc w:val="right"/>
        <w:rPr>
          <w:sz w:val="14"/>
        </w:rPr>
      </w:pPr>
      <w:r>
        <w:rPr>
          <w:sz w:val="14"/>
        </w:rPr>
        <w:t>14.000</w:t>
      </w:r>
      <w:r>
        <w:rPr>
          <w:spacing w:val="48"/>
          <w:sz w:val="14"/>
        </w:rPr>
        <w:t> </w:t>
      </w:r>
      <w:r>
        <w:rPr>
          <w:sz w:val="14"/>
        </w:rPr>
        <w:t>€</w:t>
      </w:r>
    </w:p>
    <w:p>
      <w:pPr>
        <w:spacing w:before="105"/>
        <w:ind w:left="0" w:right="39" w:firstLine="0"/>
        <w:jc w:val="right"/>
        <w:rPr>
          <w:sz w:val="14"/>
        </w:rPr>
      </w:pPr>
      <w:r>
        <w:rPr>
          <w:sz w:val="14"/>
        </w:rPr>
        <w:t>12.000</w:t>
      </w:r>
      <w:r>
        <w:rPr>
          <w:spacing w:val="48"/>
          <w:sz w:val="14"/>
        </w:rPr>
        <w:t> </w:t>
      </w:r>
      <w:r>
        <w:rPr>
          <w:sz w:val="14"/>
        </w:rPr>
        <w:t>€</w:t>
      </w:r>
    </w:p>
    <w:p>
      <w:pPr>
        <w:spacing w:before="105"/>
        <w:ind w:left="0" w:right="39" w:firstLine="0"/>
        <w:jc w:val="right"/>
        <w:rPr>
          <w:sz w:val="14"/>
        </w:rPr>
      </w:pPr>
      <w:r>
        <w:rPr/>
        <w:pict>
          <v:shape style="position:absolute;margin-left:91.286819pt;margin-top:12.223633pt;width:11.8pt;height:43.95pt;mso-position-horizontal-relative:page;mso-position-vertical-relative:paragraph;z-index:3448" type="#_x0000_t202" filled="false" stroked="false">
            <v:textbox inset="0,0,0,0" style="layout-flow:vertical;mso-layout-flow-alt:bottom-to-top">
              <w:txbxContent>
                <w:p>
                  <w:pPr>
                    <w:spacing w:before="21"/>
                    <w:ind w:left="20" w:right="0" w:firstLine="0"/>
                    <w:jc w:val="left"/>
                    <w:rPr>
                      <w:b/>
                      <w:sz w:val="16"/>
                    </w:rPr>
                  </w:pPr>
                  <w:r>
                    <w:rPr>
                      <w:b/>
                      <w:sz w:val="16"/>
                    </w:rPr>
                    <w:t>Mio euro.</w:t>
                  </w:r>
                </w:p>
              </w:txbxContent>
            </v:textbox>
            <w10:wrap type="none"/>
          </v:shape>
        </w:pict>
      </w:r>
      <w:r>
        <w:rPr>
          <w:sz w:val="14"/>
        </w:rPr>
        <w:t>10.000</w:t>
      </w:r>
      <w:r>
        <w:rPr>
          <w:spacing w:val="48"/>
          <w:sz w:val="14"/>
        </w:rPr>
        <w:t> </w:t>
      </w:r>
      <w:r>
        <w:rPr>
          <w:sz w:val="14"/>
        </w:rPr>
        <w:t>€</w:t>
      </w:r>
    </w:p>
    <w:p>
      <w:pPr>
        <w:spacing w:before="106"/>
        <w:ind w:left="0" w:right="38" w:firstLine="0"/>
        <w:jc w:val="right"/>
        <w:rPr>
          <w:sz w:val="14"/>
        </w:rPr>
      </w:pPr>
      <w:r>
        <w:rPr>
          <w:sz w:val="14"/>
        </w:rPr>
        <w:t>8.000</w:t>
      </w:r>
      <w:r>
        <w:rPr>
          <w:spacing w:val="48"/>
          <w:sz w:val="14"/>
        </w:rPr>
        <w:t> </w:t>
      </w:r>
      <w:r>
        <w:rPr>
          <w:sz w:val="14"/>
        </w:rPr>
        <w:t>€</w:t>
      </w:r>
    </w:p>
    <w:p>
      <w:pPr>
        <w:spacing w:before="105"/>
        <w:ind w:left="0" w:right="38" w:firstLine="0"/>
        <w:jc w:val="right"/>
        <w:rPr>
          <w:sz w:val="14"/>
        </w:rPr>
      </w:pPr>
      <w:r>
        <w:rPr>
          <w:sz w:val="14"/>
        </w:rPr>
        <w:t>6.000</w:t>
      </w:r>
      <w:r>
        <w:rPr>
          <w:spacing w:val="48"/>
          <w:sz w:val="14"/>
        </w:rPr>
        <w:t> </w:t>
      </w:r>
      <w:r>
        <w:rPr>
          <w:sz w:val="14"/>
        </w:rPr>
        <w:t>€</w:t>
      </w:r>
    </w:p>
    <w:p>
      <w:pPr>
        <w:spacing w:before="106"/>
        <w:ind w:left="0" w:right="38" w:firstLine="0"/>
        <w:jc w:val="right"/>
        <w:rPr>
          <w:sz w:val="14"/>
        </w:rPr>
      </w:pPr>
      <w:r>
        <w:rPr>
          <w:sz w:val="14"/>
        </w:rPr>
        <w:t>4.000</w:t>
      </w:r>
      <w:r>
        <w:rPr>
          <w:spacing w:val="48"/>
          <w:sz w:val="14"/>
        </w:rPr>
        <w:t> </w:t>
      </w:r>
      <w:r>
        <w:rPr>
          <w:sz w:val="14"/>
        </w:rPr>
        <w:t>€</w:t>
      </w:r>
    </w:p>
    <w:p>
      <w:pPr>
        <w:spacing w:before="105"/>
        <w:ind w:left="0" w:right="38" w:firstLine="0"/>
        <w:jc w:val="right"/>
        <w:rPr>
          <w:sz w:val="14"/>
        </w:rPr>
      </w:pPr>
      <w:r>
        <w:rPr>
          <w:sz w:val="14"/>
        </w:rPr>
        <w:t>2.000</w:t>
      </w:r>
      <w:r>
        <w:rPr>
          <w:spacing w:val="48"/>
          <w:sz w:val="14"/>
        </w:rPr>
        <w:t> </w:t>
      </w:r>
      <w:r>
        <w:rPr>
          <w:sz w:val="14"/>
        </w:rPr>
        <w:t>€</w:t>
      </w:r>
    </w:p>
    <w:p>
      <w:pPr>
        <w:spacing w:before="106"/>
        <w:ind w:left="0" w:right="40" w:firstLine="0"/>
        <w:jc w:val="right"/>
        <w:rPr>
          <w:sz w:val="14"/>
        </w:rPr>
      </w:pPr>
      <w:r>
        <w:rPr/>
        <w:pict>
          <v:shape style="position:absolute;margin-left:161.22261pt;margin-top:13.69434pt;width:10.5pt;height:54.4pt;mso-position-horizontal-relative:page;mso-position-vertical-relative:paragraph;z-index:3472" type="#_x0000_t202" filled="false" stroked="false">
            <v:textbox inset="0,0,0,0" style="layout-flow:vertical;mso-layout-flow-alt:bottom-to-top">
              <w:txbxContent>
                <w:p>
                  <w:pPr>
                    <w:spacing w:before="19"/>
                    <w:ind w:left="20" w:right="0" w:firstLine="0"/>
                    <w:jc w:val="left"/>
                    <w:rPr>
                      <w:sz w:val="14"/>
                    </w:rPr>
                  </w:pPr>
                  <w:r>
                    <w:rPr>
                      <w:sz w:val="14"/>
                    </w:rPr>
                    <w:t>Bevillinger i alt</w:t>
                  </w:r>
                </w:p>
              </w:txbxContent>
            </v:textbox>
            <w10:wrap type="none"/>
          </v:shape>
        </w:pict>
      </w:r>
      <w:r>
        <w:rPr>
          <w:sz w:val="14"/>
        </w:rPr>
        <w:t>-  €</w:t>
      </w:r>
    </w:p>
    <w:p>
      <w:pPr>
        <w:spacing w:before="100"/>
        <w:ind w:left="1184" w:right="1520" w:firstLine="0"/>
        <w:jc w:val="center"/>
        <w:rPr>
          <w:sz w:val="14"/>
        </w:rPr>
      </w:pPr>
      <w:r>
        <w:rPr/>
        <w:br w:type="column"/>
      </w:r>
      <w:r>
        <w:rPr>
          <w:sz w:val="14"/>
        </w:rPr>
        <w:t>100,00%</w:t>
      </w:r>
    </w:p>
    <w:p>
      <w:pPr>
        <w:pStyle w:val="BodyText"/>
        <w:spacing w:before="9"/>
        <w:rPr>
          <w:sz w:val="17"/>
        </w:rPr>
      </w:pPr>
    </w:p>
    <w:p>
      <w:pPr>
        <w:spacing w:before="0"/>
        <w:ind w:left="1096" w:right="1521" w:firstLine="0"/>
        <w:jc w:val="center"/>
        <w:rPr>
          <w:sz w:val="14"/>
        </w:rPr>
      </w:pPr>
      <w:r>
        <w:rPr/>
        <w:pict>
          <v:group style="position:absolute;margin-left:148.25pt;margin-top:-15.162409pt;width:333.35pt;height:99.15pt;mso-position-horizontal-relative:page;mso-position-vertical-relative:paragraph;z-index:3400" coordorigin="2965,-303" coordsize="6667,1983">
            <v:rect style="position:absolute;left:3208;top:27;width:238;height:1606" filled="true" fillcolor="#009ddf" stroked="false">
              <v:fill type="solid"/>
            </v:rect>
            <v:line style="position:absolute" from="3804,1612" to="4044,1612" stroked="true" strokeweight="2.16pt" strokecolor="#009ddf">
              <v:stroke dashstyle="solid"/>
            </v:line>
            <v:line style="position:absolute" from="4997,1618" to="5234,1618" stroked="true" strokeweight="1.56pt" strokecolor="#009ddf">
              <v:stroke dashstyle="solid"/>
            </v:line>
            <v:line style="position:absolute" from="5592,1632" to="5830,1632" stroked="true" strokeweight=".12pt" strokecolor="#009ddf">
              <v:stroke dashstyle="solid"/>
            </v:line>
            <v:shape style="position:absolute;left:6784;top:1297;width:2621;height:336" coordorigin="6785,1298" coordsize="2621,336" path="m7022,1372l6785,1372,6785,1634,7022,1634,7022,1372m7618,1317l7380,1317,7380,1634,7618,1634,7618,1317m8810,1377l8573,1377,8573,1634,8810,1634,8810,1377m9406,1298l9168,1298,9168,1634,9406,1634,9406,1298e" filled="true" fillcolor="#797766" stroked="false">
              <v:path arrowok="t"/>
              <v:fill type="solid"/>
            </v:shape>
            <v:shape style="position:absolute;left:2983;top:-297;width:6648;height:1976" coordorigin="2983,-296" coordsize="6648,1976" path="m9586,1634l9586,-296m9586,1634l9631,1634m9586,1247l9631,1247m9586,861l9631,861m9586,474l9631,474m9586,90l9631,90m9586,-296l9631,-296m3029,1634l3029,-296m2983,1634l3029,1634m2983,1358l3029,1358m2983,1082l3029,1082m2983,806l3029,806m2983,530l3029,530m2983,256l3029,256m2983,-20l3029,-20m2983,-296l3029,-296m3029,1634l9586,1634m3029,1634l3029,1679m3626,1634l3626,1679m4222,1634l4222,1679m4817,1634l4817,1679m5414,1634l5414,1679m6010,1634l6010,1679m6605,1634l6605,1679m7202,1634l7202,1679m7798,1634l7798,1679m8393,1634l8393,1679m8988,1634l8988,1679m9586,1634l9586,1679e" filled="false" stroked="true" strokeweight=".72pt" strokecolor="#858585">
              <v:path arrowok="t"/>
              <v:stroke dashstyle="solid"/>
            </v:shape>
            <v:shape style="position:absolute;left:2965;top:-228;width:793;height:170" type="#_x0000_t202" filled="false" stroked="false">
              <v:textbox inset="0,0,0,0">
                <w:txbxContent>
                  <w:p>
                    <w:pPr>
                      <w:spacing w:line="169" w:lineRule="exact" w:before="0"/>
                      <w:ind w:left="0" w:right="0" w:firstLine="0"/>
                      <w:jc w:val="left"/>
                      <w:rPr>
                        <w:sz w:val="14"/>
                      </w:rPr>
                    </w:pPr>
                    <w:r>
                      <w:rPr>
                        <w:sz w:val="14"/>
                      </w:rPr>
                      <w:t>€ 11.639,9</w:t>
                    </w:r>
                  </w:p>
                </w:txbxContent>
              </v:textbox>
              <w10:wrap type="none"/>
            </v:shape>
            <v:shape style="position:absolute;left:6740;top:1115;width:348;height:170" type="#_x0000_t202" filled="false" stroked="false">
              <v:textbox inset="0,0,0,0">
                <w:txbxContent>
                  <w:p>
                    <w:pPr>
                      <w:spacing w:line="169" w:lineRule="exact" w:before="0"/>
                      <w:ind w:left="0" w:right="0" w:firstLine="0"/>
                      <w:jc w:val="left"/>
                      <w:rPr>
                        <w:sz w:val="14"/>
                      </w:rPr>
                    </w:pPr>
                    <w:r>
                      <w:rPr>
                        <w:sz w:val="14"/>
                      </w:rPr>
                      <w:t>14%</w:t>
                    </w:r>
                  </w:p>
                </w:txbxContent>
              </v:textbox>
              <w10:wrap type="none"/>
            </v:shape>
            <v:shape style="position:absolute;left:7336;top:1061;width:348;height:170" type="#_x0000_t202" filled="false" stroked="false">
              <v:textbox inset="0,0,0,0">
                <w:txbxContent>
                  <w:p>
                    <w:pPr>
                      <w:spacing w:line="169" w:lineRule="exact" w:before="0"/>
                      <w:ind w:left="0" w:right="0" w:firstLine="0"/>
                      <w:jc w:val="left"/>
                      <w:rPr>
                        <w:sz w:val="14"/>
                      </w:rPr>
                    </w:pPr>
                    <w:r>
                      <w:rPr>
                        <w:sz w:val="14"/>
                      </w:rPr>
                      <w:t>16%</w:t>
                    </w:r>
                  </w:p>
                </w:txbxContent>
              </v:textbox>
              <w10:wrap type="none"/>
            </v:shape>
            <v:shape style="position:absolute;left:8528;top:1119;width:348;height:170" type="#_x0000_t202" filled="false" stroked="false">
              <v:textbox inset="0,0,0,0">
                <w:txbxContent>
                  <w:p>
                    <w:pPr>
                      <w:spacing w:line="169" w:lineRule="exact" w:before="0"/>
                      <w:ind w:left="0" w:right="0" w:firstLine="0"/>
                      <w:jc w:val="left"/>
                      <w:rPr>
                        <w:sz w:val="14"/>
                      </w:rPr>
                    </w:pPr>
                    <w:r>
                      <w:rPr>
                        <w:sz w:val="14"/>
                      </w:rPr>
                      <w:t>13%</w:t>
                    </w:r>
                  </w:p>
                </w:txbxContent>
              </v:textbox>
              <w10:wrap type="none"/>
            </v:shape>
            <v:shape style="position:absolute;left:9124;top:1042;width:348;height:170" type="#_x0000_t202" filled="false" stroked="false">
              <v:textbox inset="0,0,0,0">
                <w:txbxContent>
                  <w:p>
                    <w:pPr>
                      <w:spacing w:line="169" w:lineRule="exact" w:before="0"/>
                      <w:ind w:left="0" w:right="0" w:firstLine="0"/>
                      <w:jc w:val="left"/>
                      <w:rPr>
                        <w:sz w:val="14"/>
                      </w:rPr>
                    </w:pPr>
                    <w:r>
                      <w:rPr>
                        <w:sz w:val="14"/>
                      </w:rPr>
                      <w:t>17%</w:t>
                    </w:r>
                  </w:p>
                </w:txbxContent>
              </v:textbox>
              <w10:wrap type="none"/>
            </v:shape>
            <v:shape style="position:absolute;left:3676;top:1335;width:565;height:170" type="#_x0000_t202" filled="false" stroked="false">
              <v:textbox inset="0,0,0,0">
                <w:txbxContent>
                  <w:p>
                    <w:pPr>
                      <w:spacing w:line="169" w:lineRule="exact" w:before="0"/>
                      <w:ind w:left="0" w:right="0" w:firstLine="0"/>
                      <w:jc w:val="left"/>
                      <w:rPr>
                        <w:sz w:val="14"/>
                      </w:rPr>
                    </w:pPr>
                    <w:r>
                      <w:rPr>
                        <w:sz w:val="14"/>
                      </w:rPr>
                      <w:t>€ 299,6</w:t>
                    </w:r>
                  </w:p>
                </w:txbxContent>
              </v:textbox>
              <w10:wrap type="none"/>
            </v:shape>
            <v:shape style="position:absolute;left:4868;top:1344;width:1073;height:201" type="#_x0000_t202" filled="false" stroked="false">
              <v:textbox inset="0,0,0,0">
                <w:txbxContent>
                  <w:p>
                    <w:pPr>
                      <w:spacing w:line="199" w:lineRule="exact" w:before="0"/>
                      <w:ind w:left="0" w:right="0" w:firstLine="0"/>
                      <w:jc w:val="left"/>
                      <w:rPr>
                        <w:sz w:val="14"/>
                      </w:rPr>
                    </w:pPr>
                    <w:r>
                      <w:rPr>
                        <w:sz w:val="14"/>
                      </w:rPr>
                      <w:t>€ 227,8 </w:t>
                    </w:r>
                    <w:r>
                      <w:rPr>
                        <w:position w:val="-2"/>
                        <w:sz w:val="14"/>
                      </w:rPr>
                      <w:t>€ 2,2</w:t>
                    </w:r>
                  </w:p>
                </w:txbxContent>
              </v:textbox>
              <w10:wrap type="none"/>
            </v:shape>
            <w10:wrap type="none"/>
          </v:group>
        </w:pict>
      </w:r>
      <w:r>
        <w:rPr>
          <w:sz w:val="14"/>
        </w:rPr>
        <w:t>80,00%</w:t>
      </w:r>
    </w:p>
    <w:p>
      <w:pPr>
        <w:pStyle w:val="BodyText"/>
        <w:spacing w:before="8"/>
        <w:rPr>
          <w:sz w:val="17"/>
        </w:rPr>
      </w:pPr>
    </w:p>
    <w:p>
      <w:pPr>
        <w:spacing w:before="0"/>
        <w:ind w:left="1096" w:right="1521" w:firstLine="0"/>
        <w:jc w:val="center"/>
        <w:rPr>
          <w:sz w:val="14"/>
        </w:rPr>
      </w:pPr>
      <w:r>
        <w:rPr>
          <w:sz w:val="14"/>
        </w:rPr>
        <w:t>60,00%</w:t>
      </w:r>
    </w:p>
    <w:p>
      <w:pPr>
        <w:pStyle w:val="BodyText"/>
        <w:spacing w:before="10"/>
        <w:rPr>
          <w:sz w:val="17"/>
        </w:rPr>
      </w:pPr>
    </w:p>
    <w:p>
      <w:pPr>
        <w:spacing w:before="0"/>
        <w:ind w:left="1096" w:right="1521" w:firstLine="0"/>
        <w:jc w:val="center"/>
        <w:rPr>
          <w:sz w:val="14"/>
        </w:rPr>
      </w:pPr>
      <w:r>
        <w:rPr>
          <w:sz w:val="14"/>
        </w:rPr>
        <w:t>40,00%</w:t>
      </w:r>
    </w:p>
    <w:p>
      <w:pPr>
        <w:pStyle w:val="BodyText"/>
        <w:spacing w:before="9"/>
        <w:rPr>
          <w:sz w:val="17"/>
        </w:rPr>
      </w:pPr>
    </w:p>
    <w:p>
      <w:pPr>
        <w:spacing w:before="0"/>
        <w:ind w:left="1096" w:right="1521" w:firstLine="0"/>
        <w:jc w:val="center"/>
        <w:rPr>
          <w:sz w:val="14"/>
        </w:rPr>
      </w:pPr>
      <w:r>
        <w:rPr>
          <w:sz w:val="14"/>
        </w:rPr>
        <w:t>20,00%</w:t>
      </w:r>
    </w:p>
    <w:p>
      <w:pPr>
        <w:pStyle w:val="BodyText"/>
        <w:spacing w:before="9"/>
        <w:rPr>
          <w:sz w:val="17"/>
        </w:rPr>
      </w:pPr>
    </w:p>
    <w:p>
      <w:pPr>
        <w:spacing w:before="0"/>
        <w:ind w:left="1005" w:right="1521" w:firstLine="0"/>
        <w:jc w:val="center"/>
        <w:rPr>
          <w:sz w:val="14"/>
        </w:rPr>
      </w:pPr>
      <w:r>
        <w:rPr/>
        <w:pict>
          <v:shape style="position:absolute;margin-left:425.182617pt;margin-top:8.404963pt;width:19pt;height:67.150pt;mso-position-horizontal-relative:page;mso-position-vertical-relative:paragraph;z-index:3760" type="#_x0000_t202" filled="false" stroked="false">
            <v:textbox inset="0,0,0,0" style="layout-flow:vertical;mso-layout-flow-alt:bottom-to-top">
              <w:txbxContent>
                <w:p>
                  <w:pPr>
                    <w:spacing w:before="19"/>
                    <w:ind w:left="58" w:right="-2" w:hanging="39"/>
                    <w:jc w:val="left"/>
                    <w:rPr>
                      <w:sz w:val="14"/>
                    </w:rPr>
                  </w:pPr>
                  <w:r>
                    <w:rPr>
                      <w:sz w:val="14"/>
                    </w:rPr>
                    <w:t>Succesrate for alle prioritetsområder</w:t>
                  </w:r>
                </w:p>
              </w:txbxContent>
            </v:textbox>
            <w10:wrap type="none"/>
          </v:shape>
        </w:pict>
      </w:r>
      <w:r>
        <w:rPr/>
        <w:pict>
          <v:shape style="position:absolute;margin-left:450.742615pt;margin-top:8.375364pt;width:27.5pt;height:55.05pt;mso-position-horizontal-relative:page;mso-position-vertical-relative:paragraph;z-index:3808" type="#_x0000_t202" filled="false" stroked="false">
            <v:textbox inset="0,0,0,0" style="layout-flow:vertical;mso-layout-flow-alt:bottom-to-top">
              <w:txbxContent>
                <w:p>
                  <w:pPr>
                    <w:spacing w:before="19"/>
                    <w:ind w:left="20" w:right="18" w:firstLine="0"/>
                    <w:jc w:val="center"/>
                    <w:rPr>
                      <w:sz w:val="14"/>
                    </w:rPr>
                  </w:pPr>
                  <w:r>
                    <w:rPr>
                      <w:sz w:val="14"/>
                    </w:rPr>
                    <w:t>Succesrate alle deltagerlande, Rumfart</w:t>
                  </w:r>
                </w:p>
              </w:txbxContent>
            </v:textbox>
            <w10:wrap type="none"/>
          </v:shape>
        </w:pict>
      </w:r>
      <w:r>
        <w:rPr>
          <w:sz w:val="14"/>
        </w:rPr>
        <w:t>0,00%</w:t>
      </w:r>
    </w:p>
    <w:p>
      <w:pPr>
        <w:spacing w:after="0"/>
        <w:jc w:val="center"/>
        <w:rPr>
          <w:sz w:val="14"/>
        </w:rPr>
        <w:sectPr>
          <w:type w:val="continuous"/>
          <w:pgSz w:w="11910" w:h="16840"/>
          <w:pgMar w:top="1400" w:bottom="280" w:left="960" w:right="0"/>
          <w:cols w:num="2" w:equalWidth="0">
            <w:col w:w="1929" w:space="5627"/>
            <w:col w:w="33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742" w:right="0" w:firstLine="0"/>
        <w:jc w:val="left"/>
        <w:rPr>
          <w:sz w:val="13"/>
        </w:rPr>
      </w:pPr>
      <w:r>
        <w:rPr/>
        <w:pict>
          <v:shape style="position:absolute;margin-left:186.762619pt;margin-top:-85.170387pt;width:19pt;height:75.1pt;mso-position-horizontal-relative:page;mso-position-vertical-relative:paragraph;z-index:3520" type="#_x0000_t202" filled="false" stroked="false">
            <v:textbox inset="0,0,0,0" style="layout-flow:vertical;mso-layout-flow-alt:bottom-to-top">
              <w:txbxContent>
                <w:p>
                  <w:pPr>
                    <w:spacing w:before="19"/>
                    <w:ind w:left="430" w:right="-2" w:hanging="411"/>
                    <w:jc w:val="left"/>
                    <w:rPr>
                      <w:sz w:val="14"/>
                    </w:rPr>
                  </w:pPr>
                  <w:r>
                    <w:rPr>
                      <w:sz w:val="14"/>
                    </w:rPr>
                    <w:t>Bevillinger til danske projekter</w:t>
                  </w:r>
                </w:p>
              </w:txbxContent>
            </v:textbox>
            <w10:wrap type="none"/>
          </v:shape>
        </w:pict>
      </w:r>
      <w:r>
        <w:rPr/>
        <w:pict>
          <v:shape style="position:absolute;margin-left:246.382614pt;margin-top:-85.199593pt;width:19pt;height:56.9pt;mso-position-horizontal-relative:page;mso-position-vertical-relative:paragraph;z-index:3568" type="#_x0000_t202" filled="false" stroked="false">
            <v:textbox inset="0,0,0,0" style="layout-flow:vertical;mso-layout-flow-alt:bottom-to-top">
              <w:txbxContent>
                <w:p>
                  <w:pPr>
                    <w:spacing w:before="19"/>
                    <w:ind w:left="284" w:right="-3" w:hanging="264"/>
                    <w:jc w:val="left"/>
                    <w:rPr>
                      <w:sz w:val="14"/>
                    </w:rPr>
                  </w:pPr>
                  <w:r>
                    <w:rPr>
                      <w:sz w:val="14"/>
                    </w:rPr>
                    <w:t>Bevillinger i alt, Rumfart</w:t>
                  </w:r>
                </w:p>
              </w:txbxContent>
            </v:textbox>
            <w10:wrap type="none"/>
          </v:shape>
        </w:pict>
      </w:r>
      <w:r>
        <w:rPr/>
        <w:pict>
          <v:shape style="position:absolute;margin-left:276.182617pt;margin-top:-85.231865pt;width:19pt;height:75.850pt;mso-position-horizontal-relative:page;mso-position-vertical-relative:paragraph;z-index:3616" type="#_x0000_t202" filled="false" stroked="false">
            <v:textbox inset="0,0,0,0" style="layout-flow:vertical;mso-layout-flow-alt:bottom-to-top">
              <w:txbxContent>
                <w:p>
                  <w:pPr>
                    <w:spacing w:before="19"/>
                    <w:ind w:left="473" w:right="-1" w:hanging="454"/>
                    <w:jc w:val="left"/>
                    <w:rPr>
                      <w:sz w:val="14"/>
                    </w:rPr>
                  </w:pPr>
                  <w:r>
                    <w:rPr>
                      <w:sz w:val="14"/>
                    </w:rPr>
                    <w:t>Bevillinger Danmark, Rumfart</w:t>
                  </w:r>
                </w:p>
              </w:txbxContent>
            </v:textbox>
            <w10:wrap type="none"/>
          </v:shape>
        </w:pict>
      </w:r>
      <w:r>
        <w:rPr/>
        <w:pict>
          <v:shape style="position:absolute;margin-left:340.028473pt;margin-top:-85.274643pt;width:10.5pt;height:77.6pt;mso-position-horizontal-relative:page;mso-position-vertical-relative:paragraph;z-index:3664" type="#_x0000_t202" filled="false" stroked="false">
            <v:textbox inset="0,0,0,0" style="layout-flow:vertical;mso-layout-flow-alt:bottom-to-top">
              <w:txbxContent>
                <w:p>
                  <w:pPr>
                    <w:spacing w:before="19"/>
                    <w:ind w:left="20" w:right="0" w:firstLine="0"/>
                    <w:jc w:val="left"/>
                    <w:rPr>
                      <w:sz w:val="14"/>
                    </w:rPr>
                  </w:pPr>
                  <w:r>
                    <w:rPr>
                      <w:sz w:val="14"/>
                    </w:rPr>
                    <w:t>Succesrate, Danmark</w:t>
                  </w:r>
                </w:p>
              </w:txbxContent>
            </v:textbox>
            <w10:wrap type="none"/>
          </v:shape>
        </w:pict>
      </w:r>
      <w:r>
        <w:rPr/>
        <w:pict>
          <v:shape style="position:absolute;margin-left:365.582611pt;margin-top:-85.240433pt;width:19pt;height:77.6pt;mso-position-horizontal-relative:page;mso-position-vertical-relative:paragraph;z-index:3712" type="#_x0000_t202" filled="false" stroked="false">
            <v:textbox inset="0,0,0,0" style="layout-flow:vertical;mso-layout-flow-alt:bottom-to-top">
              <w:txbxContent>
                <w:p>
                  <w:pPr>
                    <w:spacing w:before="19"/>
                    <w:ind w:left="490" w:right="0" w:hanging="471"/>
                    <w:jc w:val="left"/>
                    <w:rPr>
                      <w:sz w:val="14"/>
                    </w:rPr>
                  </w:pPr>
                  <w:r>
                    <w:rPr>
                      <w:sz w:val="14"/>
                    </w:rPr>
                    <w:t>Succesrate, Danmark Rumfart</w:t>
                  </w:r>
                </w:p>
              </w:txbxContent>
            </v:textbox>
            <w10:wrap type="none"/>
          </v:shape>
        </w:pict>
      </w:r>
      <w:r>
        <w:rPr>
          <w:sz w:val="13"/>
        </w:rPr>
        <w:t>Kilde: Data fra Styrelsen for Forskning og Innovation vedr. danske ansøgninger til Horizon 2020.</w:t>
      </w:r>
    </w:p>
    <w:p>
      <w:pPr>
        <w:spacing w:after="0"/>
        <w:jc w:val="left"/>
        <w:rPr>
          <w:sz w:val="13"/>
        </w:rPr>
        <w:sectPr>
          <w:type w:val="continuous"/>
          <w:pgSz w:w="11910" w:h="16840"/>
          <w:pgMar w:top="1400" w:bottom="280" w:left="960" w:right="0"/>
        </w:sectPr>
      </w:pPr>
    </w:p>
    <w:p>
      <w:pPr>
        <w:pStyle w:val="Heading1"/>
        <w:numPr>
          <w:ilvl w:val="0"/>
          <w:numId w:val="2"/>
        </w:numPr>
        <w:tabs>
          <w:tab w:pos="741" w:val="left" w:leader="none"/>
          <w:tab w:pos="743" w:val="left" w:leader="none"/>
        </w:tabs>
        <w:spacing w:line="240" w:lineRule="auto" w:before="110" w:after="0"/>
        <w:ind w:left="742" w:right="0" w:hanging="624"/>
        <w:jc w:val="left"/>
      </w:pPr>
      <w:bookmarkStart w:name="_bookmark24" w:id="25"/>
      <w:bookmarkEnd w:id="25"/>
      <w:r>
        <w:rPr>
          <w:color w:val="009DDF"/>
        </w:rPr>
        <w:t>SAMF</w:t>
      </w:r>
      <w:r>
        <w:rPr>
          <w:color w:val="009DDF"/>
        </w:rPr>
        <w:t>UNDSØKONOMISKE</w:t>
      </w:r>
      <w:r>
        <w:rPr>
          <w:color w:val="009DDF"/>
          <w:spacing w:val="-3"/>
        </w:rPr>
        <w:t> </w:t>
      </w:r>
      <w:r>
        <w:rPr>
          <w:color w:val="009DDF"/>
        </w:rPr>
        <w:t>GEVINSTER</w:t>
      </w:r>
    </w:p>
    <w:p>
      <w:pPr>
        <w:pStyle w:val="BodyText"/>
        <w:spacing w:line="264" w:lineRule="auto" w:before="276"/>
        <w:ind w:left="742" w:right="4519"/>
      </w:pPr>
      <w:r>
        <w:rPr/>
        <w:pict>
          <v:group style="position:absolute;margin-left:380.649994pt;margin-top:12.998335pt;width:196.95pt;height:130.75pt;mso-position-horizontal-relative:page;mso-position-vertical-relative:paragraph;z-index:3880" coordorigin="7613,260" coordsize="3939,2615">
            <v:shape style="position:absolute;left:7618;top:264;width:3929;height:2605" coordorigin="7618,265" coordsize="3929,2605" path="m7971,2384l7900,2377,7834,2356,7774,2324,7721,2280,7678,2228,7646,2168,7625,2102,7618,2031,7618,1501,7618,618,7625,547,7646,481,7678,421,7721,368,7774,325,7834,293,7900,272,7971,265,8273,265,9255,265,11194,265,11265,272,11331,293,11391,325,11444,368,11487,421,11519,481,11540,547,11547,618,11547,1501,11547,2031,11540,2102,11519,2168,11487,2228,11444,2280,11391,2324,11331,2356,11265,2377,11194,2384,9255,2384,9459,2870,8273,2384,7971,2384xe" filled="false" stroked="true" strokeweight=".5pt" strokecolor="#009ddf">
              <v:path arrowok="t"/>
              <v:stroke dashstyle="solid"/>
            </v:shape>
            <v:shape style="position:absolute;left:7784;top:373;width:3598;height:1904" type="#_x0000_t75" stroked="false">
              <v:imagedata r:id="rId58" o:title=""/>
            </v:shape>
            <v:shape style="position:absolute;left:7613;top:259;width:3939;height:2615" type="#_x0000_t202" filled="false" stroked="false">
              <v:textbox inset="0,0,0,0">
                <w:txbxContent>
                  <w:p>
                    <w:pPr>
                      <w:spacing w:line="240" w:lineRule="auto" w:before="2"/>
                      <w:rPr>
                        <w:sz w:val="26"/>
                      </w:rPr>
                    </w:pPr>
                  </w:p>
                  <w:p>
                    <w:pPr>
                      <w:spacing w:line="237" w:lineRule="auto" w:before="1"/>
                      <w:ind w:left="173" w:right="188" w:firstLine="0"/>
                      <w:jc w:val="left"/>
                      <w:rPr>
                        <w:b/>
                        <w:sz w:val="18"/>
                      </w:rPr>
                    </w:pPr>
                    <w:r>
                      <w:rPr>
                        <w:b/>
                        <w:sz w:val="18"/>
                      </w:rPr>
                      <w:t>Der er få samfundsudfordringer, der kan løses af rummet alene, men samtidig få der kan løses godt og effektivt uden.</w:t>
                    </w:r>
                  </w:p>
                  <w:p>
                    <w:pPr>
                      <w:spacing w:line="240" w:lineRule="auto" w:before="7"/>
                      <w:rPr>
                        <w:sz w:val="17"/>
                      </w:rPr>
                    </w:pPr>
                  </w:p>
                  <w:p>
                    <w:pPr>
                      <w:spacing w:before="0"/>
                      <w:ind w:left="173" w:right="0" w:firstLine="0"/>
                      <w:jc w:val="left"/>
                      <w:rPr>
                        <w:i/>
                        <w:sz w:val="14"/>
                      </w:rPr>
                    </w:pPr>
                    <w:r>
                      <w:rPr>
                        <w:i/>
                        <w:sz w:val="14"/>
                      </w:rPr>
                      <w:t>- Norsk langtidsplan for rummet 2010-2013</w:t>
                    </w:r>
                  </w:p>
                </w:txbxContent>
              </v:textbox>
              <w10:wrap type="none"/>
            </v:shape>
            <w10:wrap type="none"/>
          </v:group>
        </w:pict>
      </w:r>
      <w:r>
        <w:rPr/>
        <w:t>Rummet gennemsyrer den moderne verden, og data fra satel- litter anvendes i dag i mange af samfundets sektorer, uden at de fleste tænker over det. Fra vejrudsigter til søredning, fra præcisionslandbrug til direkte tv og fra olieudvinding til navi- gation i bil og til fods er disse rumbaserede data bærende og ofte uundværlige.</w:t>
      </w:r>
    </w:p>
    <w:p>
      <w:pPr>
        <w:pStyle w:val="BodyText"/>
        <w:spacing w:before="5"/>
        <w:rPr>
          <w:sz w:val="19"/>
        </w:rPr>
      </w:pPr>
    </w:p>
    <w:p>
      <w:pPr>
        <w:pStyle w:val="BodyText"/>
        <w:spacing w:line="264" w:lineRule="auto"/>
        <w:ind w:left="742" w:right="4510"/>
      </w:pPr>
      <w:r>
        <w:rPr/>
        <w:t>Grundet den udbredte anvendelse af rummet, og den rolle rumbaserede data og produkter ofte spiller, er det meget van- skeligt at indsamle tilstrækkelig information til en fyldestgø- rende analyse af de samfundsøkonomiske gevinster ved rum- met. I mange tilfælde er gevinsterne af en sådan karakter, at</w:t>
      </w:r>
    </w:p>
    <w:p>
      <w:pPr>
        <w:pStyle w:val="BodyText"/>
        <w:spacing w:line="264" w:lineRule="auto"/>
        <w:ind w:left="742" w:right="1151"/>
      </w:pPr>
      <w:r>
        <w:rPr/>
        <w:t>kvantificering er vanskelig, og monitesering umulig baseret på eksisterende viden. Som den norske langtidsplan for rummet anskueliggør, er der endvidere udfordringer forbundet med at værdian- sætte bidraget fra rummet til løsning af opgaver. Værdiansættelser af samfundets gevinster ved rummet er derfor ofte præget af mangel på data og følgelig risiko for at rummets reelle værdi un- derestimeres. Især de tilfælde, hvor livstidsgevinster ved rumprojekter søges beregnet før projek- tets afslutning, er udsatte for denne risiko, da mange anvendelser af rumdata og -produkter ligger uden for den ved projektets definition forventede anvendelsesmængde. I dette kapitel belyser vi samfundets gevinster ved rummet gennem forskellige perspektiver for at opnå den bredest mulige dækning.</w:t>
      </w:r>
    </w:p>
    <w:p>
      <w:pPr>
        <w:pStyle w:val="BodyText"/>
        <w:spacing w:before="1"/>
        <w:rPr>
          <w:sz w:val="19"/>
        </w:rPr>
      </w:pPr>
    </w:p>
    <w:p>
      <w:pPr>
        <w:pStyle w:val="BodyText"/>
        <w:spacing w:line="264" w:lineRule="auto"/>
        <w:ind w:left="742" w:right="1164"/>
      </w:pPr>
      <w:r>
        <w:rPr/>
        <w:t>Først placeres brug af rummet i de almindelige statistiske sektorer for at illustrere bredde, og der- næst rapporteres resultater fra internationale studier af jordobservation, meteorologi og navigation med konvertering til danske forhold baseret på indikative fordelingsnøgler. Afsnittet afsluttes med et mere detaljeret billede af brug af rummet i enkelte, væsentlige dele af samfundet.</w:t>
      </w:r>
    </w:p>
    <w:p>
      <w:pPr>
        <w:pStyle w:val="BodyText"/>
        <w:spacing w:before="7"/>
        <w:rPr>
          <w:sz w:val="19"/>
        </w:rPr>
      </w:pPr>
    </w:p>
    <w:p>
      <w:pPr>
        <w:pStyle w:val="Heading2"/>
        <w:numPr>
          <w:ilvl w:val="1"/>
          <w:numId w:val="7"/>
        </w:numPr>
        <w:tabs>
          <w:tab w:pos="741" w:val="left" w:leader="none"/>
          <w:tab w:pos="743" w:val="left" w:leader="none"/>
        </w:tabs>
        <w:spacing w:line="240" w:lineRule="auto" w:before="0" w:after="0"/>
        <w:ind w:left="742" w:right="0" w:hanging="624"/>
        <w:jc w:val="left"/>
      </w:pPr>
      <w:bookmarkStart w:name="_bookmark25" w:id="26"/>
      <w:bookmarkEnd w:id="26"/>
      <w:r>
        <w:rPr/>
        <w:t>R</w:t>
      </w:r>
      <w:r>
        <w:rPr/>
        <w:t>ummets indflydelse på andre</w:t>
      </w:r>
      <w:r>
        <w:rPr>
          <w:spacing w:val="2"/>
        </w:rPr>
        <w:t> </w:t>
      </w:r>
      <w:r>
        <w:rPr/>
        <w:t>brancher</w:t>
      </w:r>
    </w:p>
    <w:p>
      <w:pPr>
        <w:spacing w:line="264" w:lineRule="auto" w:before="21"/>
        <w:ind w:left="742" w:right="1130" w:firstLine="0"/>
        <w:jc w:val="left"/>
        <w:rPr>
          <w:sz w:val="8"/>
        </w:rPr>
      </w:pPr>
      <w:r>
        <w:rPr>
          <w:sz w:val="18"/>
        </w:rPr>
        <w:t>I 2010 udtalte Georgette Lalis, direktør for forbrugervarer og EU’s satellitnavigationsprogrammer i Kommissionens Generaldirektorat for Enterprise og Industri, at ”</w:t>
      </w:r>
      <w:r>
        <w:rPr>
          <w:i/>
          <w:sz w:val="18"/>
        </w:rPr>
        <w:t>Værdien af økonomiske aktiviteter </w:t>
      </w:r>
      <w:r>
        <w:rPr>
          <w:i/>
          <w:sz w:val="18"/>
        </w:rPr>
        <w:t>der støttes af GNSS, er estimeret til 6 % til 7 % af EU’s samlede BNP – ca. 800 mia. euro. Og dette er et konservativt estimat.</w:t>
      </w:r>
      <w:r>
        <w:rPr>
          <w:sz w:val="18"/>
        </w:rPr>
        <w:t>”</w:t>
      </w:r>
      <w:r>
        <w:rPr>
          <w:w w:val="99"/>
          <w:position w:val="6"/>
          <w:sz w:val="8"/>
        </w:rPr>
        <w:t>23</w:t>
      </w:r>
    </w:p>
    <w:p>
      <w:pPr>
        <w:pStyle w:val="BodyText"/>
        <w:spacing w:before="7"/>
        <w:rPr>
          <w:sz w:val="19"/>
        </w:rPr>
      </w:pPr>
    </w:p>
    <w:p>
      <w:pPr>
        <w:pStyle w:val="BodyText"/>
        <w:spacing w:line="264" w:lineRule="auto"/>
        <w:ind w:left="742" w:right="1170"/>
      </w:pPr>
      <w:r>
        <w:rPr/>
        <w:t>Som udtalelsen illustrerer, er værdien af rummets samfundsmæssige bidrag tidligere forsøgt esti- meret. Satellitnavigation (GNSS) tilskrives således betydning for mindst 6 % af EU’s samlede BNP i 2010. Dertil kan lægges de økonomiske aktiviteter, der støttes af jordobservation og satellitkom- munikation samt afsmittende virkninger af teknologi, der blev udviklet til rummet, men fandt an- vendelse på jorden.</w:t>
      </w:r>
    </w:p>
    <w:p>
      <w:pPr>
        <w:pStyle w:val="BodyText"/>
        <w:spacing w:before="6"/>
        <w:rPr>
          <w:sz w:val="19"/>
        </w:rPr>
      </w:pPr>
    </w:p>
    <w:p>
      <w:pPr>
        <w:pStyle w:val="BodyText"/>
        <w:spacing w:line="264" w:lineRule="auto"/>
        <w:ind w:left="742" w:right="1195"/>
      </w:pPr>
      <w:r>
        <w:rPr/>
        <w:t>Problemet med denne type udsagn er imidlertid, at analysen nemt kommer til at virke utroværdigt optimistisk. En gennemgang af bruttoværditilvæksten i 117 danske brancher i 2012 viser således, at de 28 brancher, der med meget stor sandsynlighed anvender GNSS i et vist omfang, producerer 23 % af Danmarks bruttonationalprodukt. Skønt GNSS er et (væsentligt) input i disse brancher, kan man ikke argumentere for, at GNSS alene har genereret i nærheden af denne værdi.</w:t>
      </w:r>
    </w:p>
    <w:p>
      <w:pPr>
        <w:pStyle w:val="BodyText"/>
        <w:spacing w:before="6"/>
        <w:rPr>
          <w:sz w:val="19"/>
        </w:rPr>
      </w:pPr>
    </w:p>
    <w:p>
      <w:pPr>
        <w:pStyle w:val="BodyText"/>
        <w:spacing w:line="264" w:lineRule="auto"/>
        <w:ind w:left="742" w:right="1210"/>
      </w:pPr>
      <w:r>
        <w:rPr/>
        <w:t>I stedet er det nyttigt at betragte de forskellige brancher i den danske økonomi og bringe eksem- pler på, hvordan rummet anvendes i de forskellige brancher. Tabellen nedenfor viser 22 statistiske sektorer med bruttoværditilvækst og korte eksempler på, hvordan rumdata og -produkter kan an- vendes.</w:t>
      </w:r>
    </w:p>
    <w:p>
      <w:pPr>
        <w:pStyle w:val="BodyText"/>
        <w:spacing w:before="3"/>
        <w:rPr>
          <w:sz w:val="11"/>
        </w:rPr>
      </w:pPr>
      <w:r>
        <w:rPr/>
        <w:pict>
          <v:line style="position:absolute;mso-position-horizontal-relative:page;mso-position-vertical-relative:paragraph;z-index:1784;mso-wrap-distance-left:0;mso-wrap-distance-right:0" from="85.103996pt,9.068359pt" to="229.123996pt,9.068359pt" stroked="true" strokeweight=".48004pt" strokecolor="#000000">
            <v:stroke dashstyle="solid"/>
            <w10:wrap type="topAndBottom"/>
          </v:line>
        </w:pict>
      </w:r>
    </w:p>
    <w:p>
      <w:pPr>
        <w:spacing w:before="99"/>
        <w:ind w:left="742" w:right="0" w:firstLine="0"/>
        <w:jc w:val="left"/>
        <w:rPr>
          <w:sz w:val="13"/>
        </w:rPr>
      </w:pPr>
      <w:r>
        <w:rPr>
          <w:position w:val="6"/>
          <w:sz w:val="8"/>
        </w:rPr>
        <w:t>23 </w:t>
      </w:r>
      <w:r>
        <w:rPr>
          <w:sz w:val="13"/>
        </w:rPr>
        <w:t>Se </w:t>
      </w:r>
      <w:hyperlink r:id="rId59">
        <w:r>
          <w:rPr>
            <w:color w:val="009DDF"/>
            <w:sz w:val="13"/>
          </w:rPr>
          <w:t>http://www.gsa.europa.eu/news/support-egnos-and-galileo-crucial-europes-citizens </w:t>
        </w:r>
      </w:hyperlink>
      <w:r>
        <w:rPr>
          <w:sz w:val="13"/>
        </w:rPr>
        <w:t>for mere information (tilgået 6. maj 2016).</w:t>
      </w:r>
    </w:p>
    <w:p>
      <w:pPr>
        <w:spacing w:after="0"/>
        <w:jc w:val="left"/>
        <w:rPr>
          <w:sz w:val="13"/>
        </w:rPr>
        <w:sectPr>
          <w:pgSz w:w="11910" w:h="16840"/>
          <w:pgMar w:header="0" w:footer="1056" w:top="1580" w:bottom="1240" w:left="960" w:right="0"/>
        </w:sectPr>
      </w:pPr>
    </w:p>
    <w:p>
      <w:pPr>
        <w:spacing w:before="101"/>
        <w:ind w:left="600" w:right="0" w:firstLine="0"/>
        <w:jc w:val="left"/>
        <w:rPr>
          <w:b/>
          <w:sz w:val="15"/>
        </w:rPr>
      </w:pPr>
      <w:r>
        <w:rPr>
          <w:b/>
          <w:color w:val="009DDF"/>
          <w:sz w:val="15"/>
        </w:rPr>
        <w:t>Tabel 6. Brug af rummet i statistiske sektorer</w:t>
      </w:r>
    </w:p>
    <w:p>
      <w:pPr>
        <w:pStyle w:val="BodyText"/>
        <w:spacing w:before="1"/>
        <w:rPr>
          <w:b/>
          <w:sz w:val="9"/>
        </w:rPr>
      </w:pPr>
    </w:p>
    <w:tbl>
      <w:tblPr>
        <w:tblW w:w="0" w:type="auto"/>
        <w:jc w:val="left"/>
        <w:tblInd w:w="644"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277"/>
        <w:gridCol w:w="1829"/>
        <w:gridCol w:w="5534"/>
      </w:tblGrid>
      <w:tr>
        <w:trPr>
          <w:trHeight w:val="652" w:hRule="atLeast"/>
        </w:trPr>
        <w:tc>
          <w:tcPr>
            <w:tcW w:w="2277" w:type="dxa"/>
            <w:tcBorders>
              <w:top w:val="nil"/>
              <w:left w:val="nil"/>
              <w:bottom w:val="nil"/>
              <w:right w:val="nil"/>
            </w:tcBorders>
            <w:shd w:val="clear" w:color="auto" w:fill="A7D2F5"/>
          </w:tcPr>
          <w:p>
            <w:pPr>
              <w:pStyle w:val="TableParagraph"/>
              <w:spacing w:before="51"/>
              <w:ind w:left="799" w:right="793"/>
              <w:jc w:val="center"/>
              <w:rPr>
                <w:b/>
                <w:sz w:val="14"/>
              </w:rPr>
            </w:pPr>
            <w:r>
              <w:rPr>
                <w:b/>
                <w:color w:val="FFFFFF"/>
                <w:sz w:val="14"/>
              </w:rPr>
              <w:t>Branche</w:t>
            </w:r>
          </w:p>
        </w:tc>
        <w:tc>
          <w:tcPr>
            <w:tcW w:w="1829" w:type="dxa"/>
            <w:tcBorders>
              <w:top w:val="nil"/>
              <w:left w:val="nil"/>
              <w:bottom w:val="nil"/>
              <w:right w:val="nil"/>
            </w:tcBorders>
            <w:shd w:val="clear" w:color="auto" w:fill="A7D2F5"/>
          </w:tcPr>
          <w:p>
            <w:pPr>
              <w:pStyle w:val="TableParagraph"/>
              <w:spacing w:line="261" w:lineRule="auto" w:before="51"/>
              <w:ind w:left="156" w:right="128"/>
              <w:jc w:val="center"/>
              <w:rPr>
                <w:b/>
                <w:sz w:val="14"/>
              </w:rPr>
            </w:pPr>
            <w:r>
              <w:rPr>
                <w:b/>
                <w:color w:val="FFFFFF"/>
                <w:w w:val="95"/>
                <w:sz w:val="14"/>
              </w:rPr>
              <w:t>Bruttoværditilvækst </w:t>
            </w:r>
            <w:r>
              <w:rPr>
                <w:b/>
                <w:color w:val="FFFFFF"/>
                <w:sz w:val="14"/>
              </w:rPr>
              <w:t>(mio. 2010-kr - 2014)</w:t>
            </w:r>
          </w:p>
        </w:tc>
        <w:tc>
          <w:tcPr>
            <w:tcW w:w="5534" w:type="dxa"/>
            <w:tcBorders>
              <w:top w:val="nil"/>
              <w:left w:val="nil"/>
              <w:bottom w:val="nil"/>
              <w:right w:val="nil"/>
            </w:tcBorders>
            <w:shd w:val="clear" w:color="auto" w:fill="A7D2F5"/>
          </w:tcPr>
          <w:p>
            <w:pPr>
              <w:pStyle w:val="TableParagraph"/>
              <w:spacing w:before="51"/>
              <w:ind w:left="1623"/>
              <w:rPr>
                <w:b/>
                <w:sz w:val="14"/>
              </w:rPr>
            </w:pPr>
            <w:r>
              <w:rPr>
                <w:b/>
                <w:color w:val="FFFFFF"/>
                <w:sz w:val="14"/>
              </w:rPr>
              <w:t>Eksempler på rumanvendelse</w:t>
            </w:r>
          </w:p>
        </w:tc>
      </w:tr>
      <w:tr>
        <w:trPr>
          <w:trHeight w:val="455" w:hRule="atLeast"/>
        </w:trPr>
        <w:tc>
          <w:tcPr>
            <w:tcW w:w="2277" w:type="dxa"/>
            <w:tcBorders>
              <w:right w:val="nil"/>
            </w:tcBorders>
          </w:tcPr>
          <w:p>
            <w:pPr>
              <w:pStyle w:val="TableParagraph"/>
              <w:spacing w:line="264" w:lineRule="auto" w:before="39"/>
              <w:ind w:right="325"/>
              <w:rPr>
                <w:b/>
                <w:sz w:val="14"/>
              </w:rPr>
            </w:pPr>
            <w:r>
              <w:rPr>
                <w:b/>
                <w:sz w:val="14"/>
              </w:rPr>
              <w:t>Landbrug, skovbrug og fiskeri</w:t>
            </w:r>
          </w:p>
        </w:tc>
        <w:tc>
          <w:tcPr>
            <w:tcW w:w="1829" w:type="dxa"/>
            <w:tcBorders>
              <w:left w:val="nil"/>
              <w:right w:val="nil"/>
            </w:tcBorders>
          </w:tcPr>
          <w:p>
            <w:pPr>
              <w:pStyle w:val="TableParagraph"/>
              <w:spacing w:before="39"/>
              <w:ind w:left="148" w:right="128"/>
              <w:jc w:val="center"/>
              <w:rPr>
                <w:sz w:val="14"/>
              </w:rPr>
            </w:pPr>
            <w:r>
              <w:rPr>
                <w:sz w:val="14"/>
              </w:rPr>
              <w:t>20,849</w:t>
            </w:r>
          </w:p>
        </w:tc>
        <w:tc>
          <w:tcPr>
            <w:tcW w:w="5534" w:type="dxa"/>
            <w:tcBorders>
              <w:left w:val="nil"/>
            </w:tcBorders>
          </w:tcPr>
          <w:p>
            <w:pPr>
              <w:pStyle w:val="TableParagraph"/>
              <w:spacing w:line="264" w:lineRule="auto" w:before="39"/>
              <w:ind w:left="130" w:right="251"/>
              <w:rPr>
                <w:sz w:val="14"/>
              </w:rPr>
            </w:pPr>
            <w:r>
              <w:rPr>
                <w:sz w:val="14"/>
              </w:rPr>
              <w:t>Præcisionslandbrug anvender </w:t>
            </w:r>
            <w:r>
              <w:rPr>
                <w:b/>
                <w:sz w:val="14"/>
              </w:rPr>
              <w:t>JO </w:t>
            </w:r>
            <w:r>
              <w:rPr>
                <w:sz w:val="14"/>
              </w:rPr>
              <w:t>og </w:t>
            </w:r>
            <w:r>
              <w:rPr>
                <w:b/>
                <w:sz w:val="14"/>
              </w:rPr>
              <w:t>GNSS</w:t>
            </w:r>
            <w:r>
              <w:rPr>
                <w:sz w:val="14"/>
              </w:rPr>
              <w:t>, fiskere anvender GNSS til at finde tilbage til steder.</w:t>
            </w:r>
          </w:p>
        </w:tc>
      </w:tr>
      <w:tr>
        <w:trPr>
          <w:trHeight w:val="640" w:hRule="atLeast"/>
        </w:trPr>
        <w:tc>
          <w:tcPr>
            <w:tcW w:w="2277" w:type="dxa"/>
            <w:tcBorders>
              <w:right w:val="nil"/>
            </w:tcBorders>
          </w:tcPr>
          <w:p>
            <w:pPr>
              <w:pStyle w:val="TableParagraph"/>
              <w:spacing w:before="39"/>
              <w:rPr>
                <w:b/>
                <w:sz w:val="14"/>
              </w:rPr>
            </w:pPr>
            <w:r>
              <w:rPr>
                <w:b/>
                <w:sz w:val="14"/>
              </w:rPr>
              <w:t>Råstofindvinding</w:t>
            </w:r>
          </w:p>
        </w:tc>
        <w:tc>
          <w:tcPr>
            <w:tcW w:w="1829" w:type="dxa"/>
            <w:tcBorders>
              <w:left w:val="nil"/>
              <w:right w:val="nil"/>
            </w:tcBorders>
          </w:tcPr>
          <w:p>
            <w:pPr>
              <w:pStyle w:val="TableParagraph"/>
              <w:spacing w:before="39"/>
              <w:ind w:left="148" w:right="128"/>
              <w:jc w:val="center"/>
              <w:rPr>
                <w:sz w:val="14"/>
              </w:rPr>
            </w:pPr>
            <w:r>
              <w:rPr>
                <w:sz w:val="14"/>
              </w:rPr>
              <w:t>36,450</w:t>
            </w:r>
          </w:p>
        </w:tc>
        <w:tc>
          <w:tcPr>
            <w:tcW w:w="5534" w:type="dxa"/>
            <w:tcBorders>
              <w:left w:val="nil"/>
            </w:tcBorders>
          </w:tcPr>
          <w:p>
            <w:pPr>
              <w:pStyle w:val="TableParagraph"/>
              <w:spacing w:line="264" w:lineRule="auto" w:before="39"/>
              <w:ind w:left="130" w:right="31"/>
              <w:rPr>
                <w:sz w:val="14"/>
              </w:rPr>
            </w:pPr>
            <w:r>
              <w:rPr>
                <w:b/>
                <w:sz w:val="14"/>
              </w:rPr>
              <w:t>JO </w:t>
            </w:r>
            <w:r>
              <w:rPr>
                <w:sz w:val="14"/>
              </w:rPr>
              <w:t>til identifikation af naturligt olieudslip; </w:t>
            </w:r>
            <w:r>
              <w:rPr>
                <w:b/>
                <w:sz w:val="14"/>
              </w:rPr>
              <w:t>GNSS </w:t>
            </w:r>
            <w:r>
              <w:rPr>
                <w:sz w:val="14"/>
              </w:rPr>
              <w:t>til detaljerede undersø- gelse, forboringer og placering af boreplatforme; </w:t>
            </w:r>
            <w:r>
              <w:rPr>
                <w:b/>
                <w:sz w:val="14"/>
              </w:rPr>
              <w:t>satellitkommunikation </w:t>
            </w:r>
            <w:r>
              <w:rPr>
                <w:sz w:val="14"/>
              </w:rPr>
              <w:t>til undersøgelsesstadiet og til brug på platforme.</w:t>
            </w:r>
          </w:p>
        </w:tc>
      </w:tr>
      <w:tr>
        <w:trPr>
          <w:trHeight w:val="268" w:hRule="atLeast"/>
        </w:trPr>
        <w:tc>
          <w:tcPr>
            <w:tcW w:w="2277" w:type="dxa"/>
            <w:tcBorders>
              <w:right w:val="nil"/>
            </w:tcBorders>
          </w:tcPr>
          <w:p>
            <w:pPr>
              <w:pStyle w:val="TableParagraph"/>
              <w:spacing w:before="41"/>
              <w:rPr>
                <w:b/>
                <w:sz w:val="14"/>
              </w:rPr>
            </w:pPr>
            <w:r>
              <w:rPr>
                <w:b/>
                <w:sz w:val="14"/>
              </w:rPr>
              <w:t>Fremstilling</w:t>
            </w:r>
          </w:p>
        </w:tc>
        <w:tc>
          <w:tcPr>
            <w:tcW w:w="1829" w:type="dxa"/>
            <w:tcBorders>
              <w:left w:val="nil"/>
              <w:right w:val="nil"/>
            </w:tcBorders>
          </w:tcPr>
          <w:p>
            <w:pPr>
              <w:pStyle w:val="TableParagraph"/>
              <w:spacing w:before="41"/>
              <w:ind w:left="151" w:right="128"/>
              <w:jc w:val="center"/>
              <w:rPr>
                <w:sz w:val="14"/>
              </w:rPr>
            </w:pPr>
            <w:r>
              <w:rPr>
                <w:sz w:val="14"/>
              </w:rPr>
              <w:t>161,286</w:t>
            </w:r>
          </w:p>
        </w:tc>
        <w:tc>
          <w:tcPr>
            <w:tcW w:w="5534" w:type="dxa"/>
            <w:tcBorders>
              <w:left w:val="nil"/>
            </w:tcBorders>
          </w:tcPr>
          <w:p>
            <w:pPr>
              <w:pStyle w:val="TableParagraph"/>
              <w:spacing w:before="41"/>
              <w:ind w:left="130"/>
              <w:rPr>
                <w:sz w:val="14"/>
              </w:rPr>
            </w:pPr>
            <w:r>
              <w:rPr>
                <w:i/>
                <w:sz w:val="14"/>
              </w:rPr>
              <w:t>Begrænset anvendelse</w:t>
            </w:r>
            <w:r>
              <w:rPr>
                <w:sz w:val="14"/>
              </w:rPr>
              <w:t>, nogle virksomheder er en del af rumøkonomien</w:t>
            </w:r>
          </w:p>
        </w:tc>
      </w:tr>
      <w:tr>
        <w:trPr>
          <w:trHeight w:val="642" w:hRule="atLeast"/>
        </w:trPr>
        <w:tc>
          <w:tcPr>
            <w:tcW w:w="2277" w:type="dxa"/>
            <w:tcBorders>
              <w:right w:val="nil"/>
            </w:tcBorders>
          </w:tcPr>
          <w:p>
            <w:pPr>
              <w:pStyle w:val="TableParagraph"/>
              <w:spacing w:before="39"/>
              <w:rPr>
                <w:b/>
                <w:sz w:val="14"/>
              </w:rPr>
            </w:pPr>
            <w:r>
              <w:rPr>
                <w:b/>
                <w:sz w:val="14"/>
              </w:rPr>
              <w:t>Energiforsyning</w:t>
            </w:r>
          </w:p>
        </w:tc>
        <w:tc>
          <w:tcPr>
            <w:tcW w:w="1829" w:type="dxa"/>
            <w:tcBorders>
              <w:left w:val="nil"/>
              <w:right w:val="nil"/>
            </w:tcBorders>
          </w:tcPr>
          <w:p>
            <w:pPr>
              <w:pStyle w:val="TableParagraph"/>
              <w:spacing w:before="39"/>
              <w:ind w:left="148" w:right="128"/>
              <w:jc w:val="center"/>
              <w:rPr>
                <w:sz w:val="14"/>
              </w:rPr>
            </w:pPr>
            <w:r>
              <w:rPr>
                <w:sz w:val="14"/>
              </w:rPr>
              <w:t>25,383</w:t>
            </w:r>
          </w:p>
        </w:tc>
        <w:tc>
          <w:tcPr>
            <w:tcW w:w="5534" w:type="dxa"/>
            <w:tcBorders>
              <w:left w:val="nil"/>
            </w:tcBorders>
          </w:tcPr>
          <w:p>
            <w:pPr>
              <w:pStyle w:val="TableParagraph"/>
              <w:spacing w:line="264" w:lineRule="auto" w:before="39"/>
              <w:ind w:left="130" w:right="31"/>
              <w:rPr>
                <w:sz w:val="14"/>
              </w:rPr>
            </w:pPr>
            <w:r>
              <w:rPr>
                <w:sz w:val="14"/>
              </w:rPr>
              <w:t>Gas- og elektricitetsnet synkroniseres vha. såkaldte Phasor Measurement Units (PMU), som kan bruge </w:t>
            </w:r>
            <w:r>
              <w:rPr>
                <w:b/>
                <w:sz w:val="14"/>
              </w:rPr>
              <w:t>GNSS </w:t>
            </w:r>
            <w:r>
              <w:rPr>
                <w:sz w:val="14"/>
              </w:rPr>
              <w:t>til at opnå præcis tidinformation fra satellitter. Denne viden bruges til at identificere kilden til ustabilitet.</w:t>
            </w:r>
          </w:p>
        </w:tc>
      </w:tr>
      <w:tr>
        <w:trPr>
          <w:trHeight w:val="452" w:hRule="atLeast"/>
        </w:trPr>
        <w:tc>
          <w:tcPr>
            <w:tcW w:w="2277" w:type="dxa"/>
            <w:tcBorders>
              <w:right w:val="nil"/>
            </w:tcBorders>
          </w:tcPr>
          <w:p>
            <w:pPr>
              <w:pStyle w:val="TableParagraph"/>
              <w:spacing w:line="264" w:lineRule="auto" w:before="39"/>
              <w:ind w:right="97"/>
              <w:rPr>
                <w:b/>
                <w:sz w:val="14"/>
              </w:rPr>
            </w:pPr>
            <w:r>
              <w:rPr>
                <w:b/>
                <w:sz w:val="14"/>
              </w:rPr>
              <w:t>Vandforsyning og renova- tion</w:t>
            </w:r>
          </w:p>
        </w:tc>
        <w:tc>
          <w:tcPr>
            <w:tcW w:w="1829" w:type="dxa"/>
            <w:tcBorders>
              <w:left w:val="nil"/>
              <w:right w:val="nil"/>
            </w:tcBorders>
          </w:tcPr>
          <w:p>
            <w:pPr>
              <w:pStyle w:val="TableParagraph"/>
              <w:spacing w:before="39"/>
              <w:ind w:left="148" w:right="128"/>
              <w:jc w:val="center"/>
              <w:rPr>
                <w:sz w:val="14"/>
              </w:rPr>
            </w:pPr>
            <w:r>
              <w:rPr>
                <w:sz w:val="14"/>
              </w:rPr>
              <w:t>12,388</w:t>
            </w:r>
          </w:p>
        </w:tc>
        <w:tc>
          <w:tcPr>
            <w:tcW w:w="5534" w:type="dxa"/>
            <w:tcBorders>
              <w:left w:val="nil"/>
            </w:tcBorders>
          </w:tcPr>
          <w:p>
            <w:pPr>
              <w:pStyle w:val="TableParagraph"/>
              <w:spacing w:line="264" w:lineRule="auto" w:before="39"/>
              <w:ind w:left="130" w:right="310"/>
              <w:rPr>
                <w:sz w:val="14"/>
              </w:rPr>
            </w:pPr>
            <w:r>
              <w:rPr>
                <w:sz w:val="14"/>
              </w:rPr>
              <w:t>Noiseloggers med </w:t>
            </w:r>
            <w:r>
              <w:rPr>
                <w:b/>
                <w:sz w:val="14"/>
              </w:rPr>
              <w:t>GNSS </w:t>
            </w:r>
            <w:r>
              <w:rPr>
                <w:sz w:val="14"/>
              </w:rPr>
              <w:t>anvendes på visse netværk. Kunne anvendes i Danmark.</w:t>
            </w:r>
          </w:p>
        </w:tc>
      </w:tr>
      <w:tr>
        <w:trPr>
          <w:trHeight w:val="830" w:hRule="atLeast"/>
        </w:trPr>
        <w:tc>
          <w:tcPr>
            <w:tcW w:w="2277" w:type="dxa"/>
            <w:tcBorders>
              <w:right w:val="nil"/>
            </w:tcBorders>
          </w:tcPr>
          <w:p>
            <w:pPr>
              <w:pStyle w:val="TableParagraph"/>
              <w:spacing w:before="39"/>
              <w:rPr>
                <w:b/>
                <w:sz w:val="14"/>
              </w:rPr>
            </w:pPr>
            <w:r>
              <w:rPr>
                <w:b/>
                <w:sz w:val="14"/>
              </w:rPr>
              <w:t>Bygge og anlæg</w:t>
            </w:r>
          </w:p>
        </w:tc>
        <w:tc>
          <w:tcPr>
            <w:tcW w:w="1829" w:type="dxa"/>
            <w:tcBorders>
              <w:left w:val="nil"/>
              <w:right w:val="nil"/>
            </w:tcBorders>
          </w:tcPr>
          <w:p>
            <w:pPr>
              <w:pStyle w:val="TableParagraph"/>
              <w:spacing w:before="39"/>
              <w:ind w:left="148" w:right="128"/>
              <w:jc w:val="center"/>
              <w:rPr>
                <w:sz w:val="14"/>
              </w:rPr>
            </w:pPr>
            <w:r>
              <w:rPr>
                <w:sz w:val="14"/>
              </w:rPr>
              <w:t>76,015</w:t>
            </w:r>
          </w:p>
        </w:tc>
        <w:tc>
          <w:tcPr>
            <w:tcW w:w="5534" w:type="dxa"/>
            <w:tcBorders>
              <w:left w:val="nil"/>
            </w:tcBorders>
          </w:tcPr>
          <w:p>
            <w:pPr>
              <w:pStyle w:val="TableParagraph"/>
              <w:spacing w:line="264" w:lineRule="auto" w:before="39"/>
              <w:ind w:left="130" w:right="31"/>
              <w:rPr>
                <w:sz w:val="14"/>
              </w:rPr>
            </w:pPr>
            <w:r>
              <w:rPr>
                <w:b/>
                <w:sz w:val="14"/>
              </w:rPr>
              <w:t>JO </w:t>
            </w:r>
            <w:r>
              <w:rPr>
                <w:sz w:val="14"/>
              </w:rPr>
              <w:t>kan anvendes til tidlig inspektion af byggegrunde eller bygninger der skal nedrives. </w:t>
            </w:r>
            <w:r>
              <w:rPr>
                <w:b/>
                <w:sz w:val="14"/>
              </w:rPr>
              <w:t>GNSS </w:t>
            </w:r>
            <w:r>
              <w:rPr>
                <w:sz w:val="14"/>
              </w:rPr>
              <w:t>bruges til at sikre, at bygninger placeres korrekt og </w:t>
            </w:r>
            <w:r>
              <w:rPr>
                <w:b/>
                <w:sz w:val="14"/>
              </w:rPr>
              <w:t>satellitkommunikation </w:t>
            </w:r>
            <w:r>
              <w:rPr>
                <w:sz w:val="14"/>
              </w:rPr>
              <w:t>kan bruges hvor bredbånds- og mobilnet ikke dækker endnu.</w:t>
            </w:r>
          </w:p>
        </w:tc>
      </w:tr>
      <w:tr>
        <w:trPr>
          <w:trHeight w:val="452" w:hRule="atLeast"/>
        </w:trPr>
        <w:tc>
          <w:tcPr>
            <w:tcW w:w="2277" w:type="dxa"/>
            <w:tcBorders>
              <w:right w:val="nil"/>
            </w:tcBorders>
          </w:tcPr>
          <w:p>
            <w:pPr>
              <w:pStyle w:val="TableParagraph"/>
              <w:spacing w:before="39"/>
              <w:rPr>
                <w:b/>
                <w:sz w:val="14"/>
              </w:rPr>
            </w:pPr>
            <w:r>
              <w:rPr>
                <w:b/>
                <w:sz w:val="14"/>
              </w:rPr>
              <w:t>Handel</w:t>
            </w:r>
          </w:p>
        </w:tc>
        <w:tc>
          <w:tcPr>
            <w:tcW w:w="1829" w:type="dxa"/>
            <w:tcBorders>
              <w:left w:val="nil"/>
              <w:right w:val="nil"/>
            </w:tcBorders>
          </w:tcPr>
          <w:p>
            <w:pPr>
              <w:pStyle w:val="TableParagraph"/>
              <w:spacing w:before="39"/>
              <w:ind w:left="151" w:right="128"/>
              <w:jc w:val="center"/>
              <w:rPr>
                <w:sz w:val="14"/>
              </w:rPr>
            </w:pPr>
            <w:r>
              <w:rPr>
                <w:sz w:val="14"/>
              </w:rPr>
              <w:t>177,450</w:t>
            </w:r>
          </w:p>
        </w:tc>
        <w:tc>
          <w:tcPr>
            <w:tcW w:w="5534" w:type="dxa"/>
            <w:tcBorders>
              <w:left w:val="nil"/>
            </w:tcBorders>
          </w:tcPr>
          <w:p>
            <w:pPr>
              <w:pStyle w:val="TableParagraph"/>
              <w:spacing w:line="264" w:lineRule="auto" w:before="39"/>
              <w:ind w:left="130" w:right="366"/>
              <w:rPr>
                <w:i/>
                <w:sz w:val="14"/>
              </w:rPr>
            </w:pPr>
            <w:r>
              <w:rPr>
                <w:i/>
                <w:sz w:val="14"/>
              </w:rPr>
              <w:t>Ingen anvendelse for en gros. For detailhandel begrænset til at kunder </w:t>
            </w:r>
            <w:r>
              <w:rPr>
                <w:i/>
                <w:sz w:val="14"/>
              </w:rPr>
              <w:t>finder butikken (GNSS).</w:t>
            </w:r>
          </w:p>
        </w:tc>
      </w:tr>
      <w:tr>
        <w:trPr>
          <w:trHeight w:val="455" w:hRule="atLeast"/>
        </w:trPr>
        <w:tc>
          <w:tcPr>
            <w:tcW w:w="2277" w:type="dxa"/>
            <w:tcBorders>
              <w:right w:val="nil"/>
            </w:tcBorders>
          </w:tcPr>
          <w:p>
            <w:pPr>
              <w:pStyle w:val="TableParagraph"/>
              <w:spacing w:before="41"/>
              <w:rPr>
                <w:b/>
                <w:sz w:val="14"/>
              </w:rPr>
            </w:pPr>
            <w:r>
              <w:rPr>
                <w:b/>
                <w:sz w:val="14"/>
              </w:rPr>
              <w:t>Transport</w:t>
            </w:r>
          </w:p>
        </w:tc>
        <w:tc>
          <w:tcPr>
            <w:tcW w:w="1829" w:type="dxa"/>
            <w:tcBorders>
              <w:left w:val="nil"/>
              <w:right w:val="nil"/>
            </w:tcBorders>
          </w:tcPr>
          <w:p>
            <w:pPr>
              <w:pStyle w:val="TableParagraph"/>
              <w:spacing w:before="41"/>
              <w:ind w:left="151" w:right="128"/>
              <w:jc w:val="center"/>
              <w:rPr>
                <w:sz w:val="14"/>
              </w:rPr>
            </w:pPr>
            <w:r>
              <w:rPr>
                <w:sz w:val="14"/>
              </w:rPr>
              <w:t>109,145</w:t>
            </w:r>
          </w:p>
        </w:tc>
        <w:tc>
          <w:tcPr>
            <w:tcW w:w="5534" w:type="dxa"/>
            <w:tcBorders>
              <w:left w:val="nil"/>
            </w:tcBorders>
          </w:tcPr>
          <w:p>
            <w:pPr>
              <w:pStyle w:val="TableParagraph"/>
              <w:spacing w:line="261" w:lineRule="auto" w:before="41"/>
              <w:ind w:left="130" w:right="308"/>
              <w:rPr>
                <w:sz w:val="14"/>
              </w:rPr>
            </w:pPr>
            <w:r>
              <w:rPr>
                <w:b/>
                <w:sz w:val="14"/>
              </w:rPr>
              <w:t>GNSS </w:t>
            </w:r>
            <w:r>
              <w:rPr>
                <w:sz w:val="14"/>
              </w:rPr>
              <w:t>til navigation, </w:t>
            </w:r>
            <w:r>
              <w:rPr>
                <w:b/>
                <w:sz w:val="14"/>
              </w:rPr>
              <w:t>JO </w:t>
            </w:r>
            <w:r>
              <w:rPr>
                <w:sz w:val="14"/>
              </w:rPr>
              <w:t>(via DMI) til planlægning og satellitter til </w:t>
            </w:r>
            <w:r>
              <w:rPr>
                <w:b/>
                <w:sz w:val="14"/>
              </w:rPr>
              <w:t>kom- munikation </w:t>
            </w:r>
            <w:r>
              <w:rPr>
                <w:sz w:val="14"/>
              </w:rPr>
              <w:t>på havene.</w:t>
            </w:r>
          </w:p>
        </w:tc>
      </w:tr>
      <w:tr>
        <w:trPr>
          <w:trHeight w:val="267" w:hRule="atLeast"/>
        </w:trPr>
        <w:tc>
          <w:tcPr>
            <w:tcW w:w="2277" w:type="dxa"/>
            <w:tcBorders>
              <w:right w:val="nil"/>
            </w:tcBorders>
          </w:tcPr>
          <w:p>
            <w:pPr>
              <w:pStyle w:val="TableParagraph"/>
              <w:spacing w:before="39"/>
              <w:rPr>
                <w:b/>
                <w:sz w:val="14"/>
              </w:rPr>
            </w:pPr>
            <w:r>
              <w:rPr>
                <w:b/>
                <w:sz w:val="14"/>
              </w:rPr>
              <w:t>Hoteller og restauranter</w:t>
            </w:r>
          </w:p>
        </w:tc>
        <w:tc>
          <w:tcPr>
            <w:tcW w:w="1829" w:type="dxa"/>
            <w:tcBorders>
              <w:left w:val="nil"/>
              <w:right w:val="nil"/>
            </w:tcBorders>
          </w:tcPr>
          <w:p>
            <w:pPr>
              <w:pStyle w:val="TableParagraph"/>
              <w:spacing w:before="39"/>
              <w:ind w:left="148" w:right="128"/>
              <w:jc w:val="center"/>
              <w:rPr>
                <w:sz w:val="14"/>
              </w:rPr>
            </w:pPr>
            <w:r>
              <w:rPr>
                <w:sz w:val="14"/>
              </w:rPr>
              <w:t>23,272</w:t>
            </w:r>
          </w:p>
        </w:tc>
        <w:tc>
          <w:tcPr>
            <w:tcW w:w="5534" w:type="dxa"/>
            <w:tcBorders>
              <w:left w:val="nil"/>
            </w:tcBorders>
          </w:tcPr>
          <w:p>
            <w:pPr>
              <w:pStyle w:val="TableParagraph"/>
              <w:spacing w:before="39"/>
              <w:ind w:left="130"/>
              <w:rPr>
                <w:i/>
                <w:sz w:val="14"/>
              </w:rPr>
            </w:pPr>
            <w:r>
              <w:rPr>
                <w:i/>
                <w:sz w:val="14"/>
              </w:rPr>
              <w:t>Begrænset til at gæster finder vej til stedet.</w:t>
            </w:r>
          </w:p>
        </w:tc>
      </w:tr>
      <w:tr>
        <w:trPr>
          <w:trHeight w:val="452" w:hRule="atLeast"/>
        </w:trPr>
        <w:tc>
          <w:tcPr>
            <w:tcW w:w="2277" w:type="dxa"/>
            <w:tcBorders>
              <w:right w:val="nil"/>
            </w:tcBorders>
          </w:tcPr>
          <w:p>
            <w:pPr>
              <w:pStyle w:val="TableParagraph"/>
              <w:spacing w:before="39"/>
              <w:rPr>
                <w:b/>
                <w:sz w:val="14"/>
              </w:rPr>
            </w:pPr>
            <w:r>
              <w:rPr>
                <w:b/>
                <w:sz w:val="14"/>
              </w:rPr>
              <w:t>Forlag, tv og radio</w:t>
            </w:r>
          </w:p>
        </w:tc>
        <w:tc>
          <w:tcPr>
            <w:tcW w:w="1829" w:type="dxa"/>
            <w:tcBorders>
              <w:left w:val="nil"/>
              <w:right w:val="nil"/>
            </w:tcBorders>
          </w:tcPr>
          <w:p>
            <w:pPr>
              <w:pStyle w:val="TableParagraph"/>
              <w:spacing w:before="39"/>
              <w:ind w:left="148" w:right="128"/>
              <w:jc w:val="center"/>
              <w:rPr>
                <w:sz w:val="14"/>
              </w:rPr>
            </w:pPr>
            <w:r>
              <w:rPr>
                <w:sz w:val="14"/>
              </w:rPr>
              <w:t>22,634</w:t>
            </w:r>
          </w:p>
        </w:tc>
        <w:tc>
          <w:tcPr>
            <w:tcW w:w="5534" w:type="dxa"/>
            <w:tcBorders>
              <w:left w:val="nil"/>
            </w:tcBorders>
          </w:tcPr>
          <w:p>
            <w:pPr>
              <w:pStyle w:val="TableParagraph"/>
              <w:spacing w:line="264" w:lineRule="auto" w:before="39"/>
              <w:ind w:left="130" w:right="177"/>
              <w:rPr>
                <w:sz w:val="14"/>
              </w:rPr>
            </w:pPr>
            <w:r>
              <w:rPr>
                <w:sz w:val="14"/>
              </w:rPr>
              <w:t>Direkte tv-transmission gennem </w:t>
            </w:r>
            <w:r>
              <w:rPr>
                <w:b/>
                <w:sz w:val="14"/>
              </w:rPr>
              <w:t>kommunikationssatellitter </w:t>
            </w:r>
            <w:r>
              <w:rPr>
                <w:sz w:val="14"/>
              </w:rPr>
              <w:t>samt leve- ring af satellit-tv.</w:t>
            </w:r>
          </w:p>
        </w:tc>
      </w:tr>
      <w:tr>
        <w:trPr>
          <w:trHeight w:val="455" w:hRule="atLeast"/>
        </w:trPr>
        <w:tc>
          <w:tcPr>
            <w:tcW w:w="2277" w:type="dxa"/>
            <w:tcBorders>
              <w:right w:val="nil"/>
            </w:tcBorders>
          </w:tcPr>
          <w:p>
            <w:pPr>
              <w:pStyle w:val="TableParagraph"/>
              <w:spacing w:before="41"/>
              <w:rPr>
                <w:b/>
                <w:sz w:val="14"/>
              </w:rPr>
            </w:pPr>
            <w:r>
              <w:rPr>
                <w:b/>
                <w:sz w:val="14"/>
              </w:rPr>
              <w:t>Telekommunikation</w:t>
            </w:r>
          </w:p>
        </w:tc>
        <w:tc>
          <w:tcPr>
            <w:tcW w:w="1829" w:type="dxa"/>
            <w:tcBorders>
              <w:left w:val="nil"/>
              <w:right w:val="nil"/>
            </w:tcBorders>
          </w:tcPr>
          <w:p>
            <w:pPr>
              <w:pStyle w:val="TableParagraph"/>
              <w:spacing w:before="41"/>
              <w:ind w:left="148" w:right="128"/>
              <w:jc w:val="center"/>
              <w:rPr>
                <w:sz w:val="14"/>
              </w:rPr>
            </w:pPr>
            <w:r>
              <w:rPr>
                <w:sz w:val="14"/>
              </w:rPr>
              <w:t>29,582</w:t>
            </w:r>
          </w:p>
        </w:tc>
        <w:tc>
          <w:tcPr>
            <w:tcW w:w="5534" w:type="dxa"/>
            <w:tcBorders>
              <w:left w:val="nil"/>
            </w:tcBorders>
          </w:tcPr>
          <w:p>
            <w:pPr>
              <w:pStyle w:val="TableParagraph"/>
              <w:spacing w:before="41"/>
              <w:ind w:left="130"/>
              <w:rPr>
                <w:sz w:val="14"/>
              </w:rPr>
            </w:pPr>
            <w:r>
              <w:rPr>
                <w:b/>
                <w:sz w:val="14"/>
              </w:rPr>
              <w:t>GNSS </w:t>
            </w:r>
            <w:r>
              <w:rPr>
                <w:sz w:val="14"/>
              </w:rPr>
              <w:t>til synkronisering af netværk (mobil, kobber, fiber) samt potentielt</w:t>
            </w:r>
          </w:p>
          <w:p>
            <w:pPr>
              <w:pStyle w:val="TableParagraph"/>
              <w:spacing w:before="15"/>
              <w:ind w:left="130"/>
              <w:rPr>
                <w:sz w:val="14"/>
              </w:rPr>
            </w:pPr>
            <w:r>
              <w:rPr>
                <w:b/>
                <w:sz w:val="14"/>
              </w:rPr>
              <w:t>kommunikationssatellitter </w:t>
            </w:r>
            <w:r>
              <w:rPr>
                <w:sz w:val="14"/>
              </w:rPr>
              <w:t>til backhaul.</w:t>
            </w:r>
          </w:p>
        </w:tc>
      </w:tr>
      <w:tr>
        <w:trPr>
          <w:trHeight w:val="455" w:hRule="atLeast"/>
        </w:trPr>
        <w:tc>
          <w:tcPr>
            <w:tcW w:w="2277" w:type="dxa"/>
            <w:tcBorders>
              <w:right w:val="nil"/>
            </w:tcBorders>
          </w:tcPr>
          <w:p>
            <w:pPr>
              <w:pStyle w:val="TableParagraph"/>
              <w:spacing w:line="264" w:lineRule="auto" w:before="39"/>
              <w:ind w:right="165"/>
              <w:rPr>
                <w:b/>
                <w:sz w:val="14"/>
              </w:rPr>
            </w:pPr>
            <w:r>
              <w:rPr>
                <w:b/>
                <w:sz w:val="14"/>
              </w:rPr>
              <w:t>It- og informationstjene- ster</w:t>
            </w:r>
          </w:p>
        </w:tc>
        <w:tc>
          <w:tcPr>
            <w:tcW w:w="1829" w:type="dxa"/>
            <w:tcBorders>
              <w:left w:val="nil"/>
              <w:right w:val="nil"/>
            </w:tcBorders>
          </w:tcPr>
          <w:p>
            <w:pPr>
              <w:pStyle w:val="TableParagraph"/>
              <w:spacing w:before="39"/>
              <w:ind w:left="148" w:right="128"/>
              <w:jc w:val="center"/>
              <w:rPr>
                <w:sz w:val="14"/>
              </w:rPr>
            </w:pPr>
            <w:r>
              <w:rPr>
                <w:sz w:val="14"/>
              </w:rPr>
              <w:t>33,840</w:t>
            </w:r>
          </w:p>
        </w:tc>
        <w:tc>
          <w:tcPr>
            <w:tcW w:w="5534" w:type="dxa"/>
            <w:tcBorders>
              <w:left w:val="nil"/>
            </w:tcBorders>
          </w:tcPr>
          <w:p>
            <w:pPr>
              <w:pStyle w:val="TableParagraph"/>
              <w:spacing w:before="39"/>
              <w:ind w:left="130"/>
              <w:rPr>
                <w:i/>
                <w:sz w:val="14"/>
              </w:rPr>
            </w:pPr>
            <w:r>
              <w:rPr>
                <w:i/>
                <w:sz w:val="14"/>
              </w:rPr>
              <w:t>Begrænset anvendelse, </w:t>
            </w:r>
            <w:r>
              <w:rPr>
                <w:b/>
                <w:i/>
                <w:sz w:val="14"/>
              </w:rPr>
              <w:t>GNSS </w:t>
            </w:r>
            <w:r>
              <w:rPr>
                <w:i/>
                <w:sz w:val="14"/>
              </w:rPr>
              <w:t>i apps.</w:t>
            </w:r>
          </w:p>
        </w:tc>
      </w:tr>
      <w:tr>
        <w:trPr>
          <w:trHeight w:val="640" w:hRule="atLeast"/>
        </w:trPr>
        <w:tc>
          <w:tcPr>
            <w:tcW w:w="2277" w:type="dxa"/>
            <w:tcBorders>
              <w:right w:val="nil"/>
            </w:tcBorders>
          </w:tcPr>
          <w:p>
            <w:pPr>
              <w:pStyle w:val="TableParagraph"/>
              <w:spacing w:before="39"/>
              <w:rPr>
                <w:b/>
                <w:sz w:val="14"/>
              </w:rPr>
            </w:pPr>
            <w:r>
              <w:rPr>
                <w:b/>
                <w:sz w:val="14"/>
              </w:rPr>
              <w:t>Finansiering og forsikring</w:t>
            </w:r>
          </w:p>
        </w:tc>
        <w:tc>
          <w:tcPr>
            <w:tcW w:w="1829" w:type="dxa"/>
            <w:tcBorders>
              <w:left w:val="nil"/>
              <w:right w:val="nil"/>
            </w:tcBorders>
          </w:tcPr>
          <w:p>
            <w:pPr>
              <w:pStyle w:val="TableParagraph"/>
              <w:spacing w:before="39"/>
              <w:ind w:left="148" w:right="128"/>
              <w:jc w:val="center"/>
              <w:rPr>
                <w:sz w:val="14"/>
              </w:rPr>
            </w:pPr>
            <w:r>
              <w:rPr>
                <w:sz w:val="14"/>
              </w:rPr>
              <w:t>90,726</w:t>
            </w:r>
          </w:p>
        </w:tc>
        <w:tc>
          <w:tcPr>
            <w:tcW w:w="5534" w:type="dxa"/>
            <w:tcBorders>
              <w:left w:val="nil"/>
            </w:tcBorders>
          </w:tcPr>
          <w:p>
            <w:pPr>
              <w:pStyle w:val="TableParagraph"/>
              <w:spacing w:line="264" w:lineRule="auto" w:before="39"/>
              <w:ind w:left="130" w:right="165"/>
              <w:rPr>
                <w:sz w:val="14"/>
              </w:rPr>
            </w:pPr>
            <w:r>
              <w:rPr>
                <w:b/>
                <w:sz w:val="14"/>
              </w:rPr>
              <w:t>GNSS </w:t>
            </w:r>
            <w:r>
              <w:rPr>
                <w:sz w:val="14"/>
              </w:rPr>
              <w:t>tid anvendes til at registrere det præcise transaktionstidspunkt. Bruges af banker, investeringsfirmaer, børser samt i pengeautomater. </w:t>
            </w:r>
            <w:r>
              <w:rPr>
                <w:b/>
                <w:sz w:val="14"/>
              </w:rPr>
              <w:t>JO </w:t>
            </w:r>
            <w:r>
              <w:rPr>
                <w:sz w:val="14"/>
              </w:rPr>
              <w:t>til evaluering af skader, og GNSS forebyggelse ved tracking.</w:t>
            </w:r>
          </w:p>
        </w:tc>
      </w:tr>
      <w:tr>
        <w:trPr>
          <w:trHeight w:val="268" w:hRule="atLeast"/>
        </w:trPr>
        <w:tc>
          <w:tcPr>
            <w:tcW w:w="2277" w:type="dxa"/>
            <w:tcBorders>
              <w:right w:val="nil"/>
            </w:tcBorders>
          </w:tcPr>
          <w:p>
            <w:pPr>
              <w:pStyle w:val="TableParagraph"/>
              <w:spacing w:before="41"/>
              <w:rPr>
                <w:b/>
                <w:sz w:val="14"/>
              </w:rPr>
            </w:pPr>
            <w:r>
              <w:rPr>
                <w:b/>
                <w:sz w:val="14"/>
              </w:rPr>
              <w:t>Fast ejendom</w:t>
            </w:r>
          </w:p>
        </w:tc>
        <w:tc>
          <w:tcPr>
            <w:tcW w:w="1829" w:type="dxa"/>
            <w:tcBorders>
              <w:left w:val="nil"/>
              <w:right w:val="nil"/>
            </w:tcBorders>
          </w:tcPr>
          <w:p>
            <w:pPr>
              <w:pStyle w:val="TableParagraph"/>
              <w:spacing w:before="41"/>
              <w:ind w:left="151" w:right="128"/>
              <w:jc w:val="center"/>
              <w:rPr>
                <w:sz w:val="14"/>
              </w:rPr>
            </w:pPr>
            <w:r>
              <w:rPr>
                <w:sz w:val="14"/>
              </w:rPr>
              <w:t>155,376</w:t>
            </w:r>
          </w:p>
        </w:tc>
        <w:tc>
          <w:tcPr>
            <w:tcW w:w="5534" w:type="dxa"/>
            <w:tcBorders>
              <w:left w:val="nil"/>
            </w:tcBorders>
          </w:tcPr>
          <w:p>
            <w:pPr>
              <w:pStyle w:val="TableParagraph"/>
              <w:spacing w:before="41"/>
              <w:ind w:left="130"/>
              <w:rPr>
                <w:i/>
                <w:sz w:val="14"/>
              </w:rPr>
            </w:pPr>
            <w:r>
              <w:rPr>
                <w:i/>
                <w:sz w:val="14"/>
              </w:rPr>
              <w:t>GNSS anvendes til fastlæggelse af ejendomsgrænser</w:t>
            </w:r>
          </w:p>
        </w:tc>
      </w:tr>
      <w:tr>
        <w:trPr>
          <w:trHeight w:val="640" w:hRule="atLeast"/>
        </w:trPr>
        <w:tc>
          <w:tcPr>
            <w:tcW w:w="2277" w:type="dxa"/>
            <w:tcBorders>
              <w:right w:val="nil"/>
            </w:tcBorders>
          </w:tcPr>
          <w:p>
            <w:pPr>
              <w:pStyle w:val="TableParagraph"/>
              <w:spacing w:line="264" w:lineRule="auto" w:before="39"/>
              <w:ind w:right="139"/>
              <w:rPr>
                <w:b/>
                <w:sz w:val="14"/>
              </w:rPr>
            </w:pPr>
            <w:r>
              <w:rPr>
                <w:b/>
                <w:sz w:val="14"/>
              </w:rPr>
              <w:t>Liberale, videnskabelige og tekniske tjenesteydel- ser</w:t>
            </w:r>
          </w:p>
        </w:tc>
        <w:tc>
          <w:tcPr>
            <w:tcW w:w="1829" w:type="dxa"/>
            <w:tcBorders>
              <w:left w:val="nil"/>
              <w:right w:val="nil"/>
            </w:tcBorders>
          </w:tcPr>
          <w:p>
            <w:pPr>
              <w:pStyle w:val="TableParagraph"/>
              <w:spacing w:before="39"/>
              <w:ind w:left="148" w:right="128"/>
              <w:jc w:val="center"/>
              <w:rPr>
                <w:sz w:val="14"/>
              </w:rPr>
            </w:pPr>
            <w:r>
              <w:rPr>
                <w:sz w:val="14"/>
              </w:rPr>
              <w:t>84,511</w:t>
            </w:r>
          </w:p>
        </w:tc>
        <w:tc>
          <w:tcPr>
            <w:tcW w:w="5534" w:type="dxa"/>
            <w:tcBorders>
              <w:left w:val="nil"/>
            </w:tcBorders>
          </w:tcPr>
          <w:p>
            <w:pPr>
              <w:pStyle w:val="TableParagraph"/>
              <w:spacing w:before="39"/>
              <w:ind w:left="130"/>
              <w:rPr>
                <w:i/>
                <w:sz w:val="14"/>
              </w:rPr>
            </w:pPr>
            <w:r>
              <w:rPr>
                <w:i/>
                <w:sz w:val="14"/>
              </w:rPr>
              <w:t>Begrænset anvendelse</w:t>
            </w:r>
          </w:p>
        </w:tc>
      </w:tr>
      <w:tr>
        <w:trPr>
          <w:trHeight w:val="642" w:hRule="atLeast"/>
        </w:trPr>
        <w:tc>
          <w:tcPr>
            <w:tcW w:w="2277" w:type="dxa"/>
            <w:tcBorders>
              <w:right w:val="nil"/>
            </w:tcBorders>
          </w:tcPr>
          <w:p>
            <w:pPr>
              <w:pStyle w:val="TableParagraph"/>
              <w:spacing w:line="261" w:lineRule="auto" w:before="41"/>
              <w:rPr>
                <w:b/>
                <w:sz w:val="14"/>
              </w:rPr>
            </w:pPr>
            <w:r>
              <w:rPr>
                <w:b/>
                <w:sz w:val="14"/>
              </w:rPr>
              <w:t>Rejsebureauer, rengøring og anden operationel service</w:t>
            </w:r>
          </w:p>
        </w:tc>
        <w:tc>
          <w:tcPr>
            <w:tcW w:w="1829" w:type="dxa"/>
            <w:tcBorders>
              <w:left w:val="nil"/>
              <w:right w:val="nil"/>
            </w:tcBorders>
          </w:tcPr>
          <w:p>
            <w:pPr>
              <w:pStyle w:val="TableParagraph"/>
              <w:spacing w:before="41"/>
              <w:ind w:left="148" w:right="128"/>
              <w:jc w:val="center"/>
              <w:rPr>
                <w:sz w:val="14"/>
              </w:rPr>
            </w:pPr>
            <w:r>
              <w:rPr>
                <w:sz w:val="14"/>
              </w:rPr>
              <w:t>50,617</w:t>
            </w:r>
          </w:p>
        </w:tc>
        <w:tc>
          <w:tcPr>
            <w:tcW w:w="5534" w:type="dxa"/>
            <w:tcBorders>
              <w:left w:val="nil"/>
            </w:tcBorders>
          </w:tcPr>
          <w:p>
            <w:pPr>
              <w:pStyle w:val="TableParagraph"/>
              <w:spacing w:line="261" w:lineRule="auto" w:before="41"/>
              <w:ind w:left="130" w:right="270"/>
              <w:rPr>
                <w:i/>
                <w:sz w:val="14"/>
              </w:rPr>
            </w:pPr>
            <w:r>
              <w:rPr>
                <w:i/>
                <w:sz w:val="14"/>
              </w:rPr>
              <w:t>Anvendelse begrænset til medarbejdernavigation og -monitorering samt </w:t>
            </w:r>
            <w:r>
              <w:rPr>
                <w:i/>
                <w:sz w:val="14"/>
              </w:rPr>
              <w:t>tracking af udlejet materiel.</w:t>
            </w:r>
          </w:p>
        </w:tc>
      </w:tr>
      <w:tr>
        <w:trPr>
          <w:trHeight w:val="642" w:hRule="atLeast"/>
        </w:trPr>
        <w:tc>
          <w:tcPr>
            <w:tcW w:w="2277" w:type="dxa"/>
            <w:tcBorders>
              <w:right w:val="nil"/>
            </w:tcBorders>
          </w:tcPr>
          <w:p>
            <w:pPr>
              <w:pStyle w:val="TableParagraph"/>
              <w:spacing w:line="264" w:lineRule="auto" w:before="39"/>
              <w:rPr>
                <w:b/>
                <w:sz w:val="14"/>
              </w:rPr>
            </w:pPr>
            <w:r>
              <w:rPr>
                <w:b/>
                <w:sz w:val="14"/>
              </w:rPr>
              <w:t>Offentlig administration, forsvar og politi</w:t>
            </w:r>
          </w:p>
        </w:tc>
        <w:tc>
          <w:tcPr>
            <w:tcW w:w="1829" w:type="dxa"/>
            <w:tcBorders>
              <w:left w:val="nil"/>
              <w:right w:val="nil"/>
            </w:tcBorders>
          </w:tcPr>
          <w:p>
            <w:pPr>
              <w:pStyle w:val="TableParagraph"/>
              <w:spacing w:before="39"/>
              <w:ind w:left="148" w:right="128"/>
              <w:jc w:val="center"/>
              <w:rPr>
                <w:sz w:val="14"/>
              </w:rPr>
            </w:pPr>
            <w:r>
              <w:rPr>
                <w:sz w:val="14"/>
              </w:rPr>
              <w:t>91,332</w:t>
            </w:r>
          </w:p>
        </w:tc>
        <w:tc>
          <w:tcPr>
            <w:tcW w:w="5534" w:type="dxa"/>
            <w:tcBorders>
              <w:left w:val="nil"/>
            </w:tcBorders>
          </w:tcPr>
          <w:p>
            <w:pPr>
              <w:pStyle w:val="TableParagraph"/>
              <w:spacing w:line="264" w:lineRule="auto" w:before="39"/>
              <w:ind w:left="130" w:right="31"/>
              <w:rPr>
                <w:sz w:val="14"/>
              </w:rPr>
            </w:pPr>
            <w:r>
              <w:rPr>
                <w:sz w:val="14"/>
              </w:rPr>
              <w:t>Forsvaret anvender </w:t>
            </w:r>
            <w:r>
              <w:rPr>
                <w:b/>
                <w:sz w:val="14"/>
              </w:rPr>
              <w:t>JO </w:t>
            </w:r>
            <w:r>
              <w:rPr>
                <w:sz w:val="14"/>
              </w:rPr>
              <w:t>blandt andet til suverænitetshævdelse. </w:t>
            </w:r>
            <w:r>
              <w:rPr>
                <w:b/>
                <w:sz w:val="14"/>
              </w:rPr>
              <w:t>GNSS </w:t>
            </w:r>
            <w:r>
              <w:rPr>
                <w:sz w:val="14"/>
              </w:rPr>
              <w:t>anvendes af beredskabet. Galileos PRS er evidens for nødvendigheden af GNSS for det offentlige.</w:t>
            </w:r>
          </w:p>
        </w:tc>
      </w:tr>
      <w:tr>
        <w:trPr>
          <w:trHeight w:val="265" w:hRule="atLeast"/>
        </w:trPr>
        <w:tc>
          <w:tcPr>
            <w:tcW w:w="2277" w:type="dxa"/>
            <w:tcBorders>
              <w:right w:val="nil"/>
            </w:tcBorders>
          </w:tcPr>
          <w:p>
            <w:pPr>
              <w:pStyle w:val="TableParagraph"/>
              <w:spacing w:before="39"/>
              <w:rPr>
                <w:b/>
                <w:sz w:val="14"/>
              </w:rPr>
            </w:pPr>
            <w:r>
              <w:rPr>
                <w:b/>
                <w:sz w:val="14"/>
              </w:rPr>
              <w:t>Undervisning</w:t>
            </w:r>
          </w:p>
        </w:tc>
        <w:tc>
          <w:tcPr>
            <w:tcW w:w="1829" w:type="dxa"/>
            <w:tcBorders>
              <w:left w:val="nil"/>
              <w:right w:val="nil"/>
            </w:tcBorders>
          </w:tcPr>
          <w:p>
            <w:pPr>
              <w:pStyle w:val="TableParagraph"/>
              <w:spacing w:before="39"/>
              <w:ind w:left="151" w:right="128"/>
              <w:jc w:val="center"/>
              <w:rPr>
                <w:sz w:val="14"/>
              </w:rPr>
            </w:pPr>
            <w:r>
              <w:rPr>
                <w:sz w:val="14"/>
              </w:rPr>
              <w:t>102,874</w:t>
            </w:r>
          </w:p>
        </w:tc>
        <w:tc>
          <w:tcPr>
            <w:tcW w:w="5534" w:type="dxa"/>
            <w:tcBorders>
              <w:left w:val="nil"/>
            </w:tcBorders>
          </w:tcPr>
          <w:p>
            <w:pPr>
              <w:pStyle w:val="TableParagraph"/>
              <w:spacing w:before="39"/>
              <w:ind w:left="130"/>
              <w:rPr>
                <w:i/>
                <w:sz w:val="14"/>
              </w:rPr>
            </w:pPr>
            <w:r>
              <w:rPr>
                <w:i/>
                <w:sz w:val="14"/>
              </w:rPr>
              <w:t>Begrænset brug uden for fysik/astronomi</w:t>
            </w:r>
          </w:p>
        </w:tc>
      </w:tr>
      <w:tr>
        <w:trPr>
          <w:trHeight w:val="268" w:hRule="atLeast"/>
        </w:trPr>
        <w:tc>
          <w:tcPr>
            <w:tcW w:w="2277" w:type="dxa"/>
            <w:tcBorders>
              <w:right w:val="nil"/>
            </w:tcBorders>
          </w:tcPr>
          <w:p>
            <w:pPr>
              <w:pStyle w:val="TableParagraph"/>
              <w:spacing w:before="41"/>
              <w:rPr>
                <w:b/>
                <w:sz w:val="14"/>
              </w:rPr>
            </w:pPr>
            <w:r>
              <w:rPr>
                <w:b/>
                <w:sz w:val="14"/>
              </w:rPr>
              <w:t>Sundhedsvæsen</w:t>
            </w:r>
          </w:p>
        </w:tc>
        <w:tc>
          <w:tcPr>
            <w:tcW w:w="1829" w:type="dxa"/>
            <w:tcBorders>
              <w:left w:val="nil"/>
              <w:right w:val="nil"/>
            </w:tcBorders>
          </w:tcPr>
          <w:p>
            <w:pPr>
              <w:pStyle w:val="TableParagraph"/>
              <w:spacing w:before="41"/>
              <w:ind w:left="148" w:right="128"/>
              <w:jc w:val="center"/>
              <w:rPr>
                <w:sz w:val="14"/>
              </w:rPr>
            </w:pPr>
            <w:r>
              <w:rPr>
                <w:sz w:val="14"/>
              </w:rPr>
              <w:t>75,347</w:t>
            </w:r>
          </w:p>
        </w:tc>
        <w:tc>
          <w:tcPr>
            <w:tcW w:w="5534" w:type="dxa"/>
            <w:tcBorders>
              <w:left w:val="nil"/>
            </w:tcBorders>
          </w:tcPr>
          <w:p>
            <w:pPr>
              <w:pStyle w:val="TableParagraph"/>
              <w:spacing w:before="41"/>
              <w:ind w:left="130"/>
              <w:rPr>
                <w:sz w:val="14"/>
              </w:rPr>
            </w:pPr>
            <w:r>
              <w:rPr>
                <w:sz w:val="14"/>
              </w:rPr>
              <w:t>Væsentlig anvendelse af </w:t>
            </w:r>
            <w:r>
              <w:rPr>
                <w:b/>
                <w:sz w:val="14"/>
              </w:rPr>
              <w:t>ISS </w:t>
            </w:r>
            <w:r>
              <w:rPr>
                <w:sz w:val="14"/>
              </w:rPr>
              <w:t>til eksperimenter i mikrotyngdekraft.</w:t>
            </w:r>
          </w:p>
        </w:tc>
      </w:tr>
      <w:tr>
        <w:trPr>
          <w:trHeight w:val="268" w:hRule="atLeast"/>
        </w:trPr>
        <w:tc>
          <w:tcPr>
            <w:tcW w:w="2277" w:type="dxa"/>
            <w:tcBorders>
              <w:right w:val="nil"/>
            </w:tcBorders>
          </w:tcPr>
          <w:p>
            <w:pPr>
              <w:pStyle w:val="TableParagraph"/>
              <w:spacing w:before="39"/>
              <w:rPr>
                <w:b/>
                <w:sz w:val="14"/>
              </w:rPr>
            </w:pPr>
            <w:r>
              <w:rPr>
                <w:b/>
                <w:sz w:val="14"/>
              </w:rPr>
              <w:t>Sociale institutioner</w:t>
            </w:r>
          </w:p>
        </w:tc>
        <w:tc>
          <w:tcPr>
            <w:tcW w:w="1829" w:type="dxa"/>
            <w:tcBorders>
              <w:left w:val="nil"/>
              <w:right w:val="nil"/>
            </w:tcBorders>
          </w:tcPr>
          <w:p>
            <w:pPr>
              <w:pStyle w:val="TableParagraph"/>
              <w:spacing w:before="39"/>
              <w:ind w:left="148" w:right="128"/>
              <w:jc w:val="center"/>
              <w:rPr>
                <w:sz w:val="14"/>
              </w:rPr>
            </w:pPr>
            <w:r>
              <w:rPr>
                <w:sz w:val="14"/>
              </w:rPr>
              <w:t>96,596</w:t>
            </w:r>
          </w:p>
        </w:tc>
        <w:tc>
          <w:tcPr>
            <w:tcW w:w="5534" w:type="dxa"/>
            <w:tcBorders>
              <w:left w:val="nil"/>
            </w:tcBorders>
          </w:tcPr>
          <w:p>
            <w:pPr>
              <w:pStyle w:val="TableParagraph"/>
              <w:spacing w:before="39"/>
              <w:ind w:left="130"/>
              <w:rPr>
                <w:sz w:val="14"/>
              </w:rPr>
            </w:pPr>
            <w:r>
              <w:rPr>
                <w:b/>
                <w:sz w:val="14"/>
              </w:rPr>
              <w:t>GNSS </w:t>
            </w:r>
            <w:r>
              <w:rPr>
                <w:sz w:val="14"/>
              </w:rPr>
              <w:t>bruges til overvågning af demente</w:t>
            </w:r>
          </w:p>
        </w:tc>
      </w:tr>
      <w:tr>
        <w:trPr>
          <w:trHeight w:val="265" w:hRule="atLeast"/>
        </w:trPr>
        <w:tc>
          <w:tcPr>
            <w:tcW w:w="2277" w:type="dxa"/>
            <w:tcBorders>
              <w:right w:val="nil"/>
            </w:tcBorders>
          </w:tcPr>
          <w:p>
            <w:pPr>
              <w:pStyle w:val="TableParagraph"/>
              <w:spacing w:before="39"/>
              <w:rPr>
                <w:b/>
                <w:sz w:val="14"/>
              </w:rPr>
            </w:pPr>
            <w:r>
              <w:rPr>
                <w:b/>
                <w:sz w:val="14"/>
              </w:rPr>
              <w:t>Kultur og fritid</w:t>
            </w:r>
          </w:p>
        </w:tc>
        <w:tc>
          <w:tcPr>
            <w:tcW w:w="1829" w:type="dxa"/>
            <w:tcBorders>
              <w:left w:val="nil"/>
              <w:right w:val="nil"/>
            </w:tcBorders>
          </w:tcPr>
          <w:p>
            <w:pPr>
              <w:pStyle w:val="TableParagraph"/>
              <w:spacing w:before="39"/>
              <w:ind w:left="148" w:right="128"/>
              <w:jc w:val="center"/>
              <w:rPr>
                <w:sz w:val="14"/>
              </w:rPr>
            </w:pPr>
            <w:r>
              <w:rPr>
                <w:sz w:val="14"/>
              </w:rPr>
              <w:t>23,715</w:t>
            </w:r>
          </w:p>
        </w:tc>
        <w:tc>
          <w:tcPr>
            <w:tcW w:w="5534" w:type="dxa"/>
            <w:tcBorders>
              <w:left w:val="nil"/>
            </w:tcBorders>
          </w:tcPr>
          <w:p>
            <w:pPr>
              <w:pStyle w:val="TableParagraph"/>
              <w:spacing w:before="39"/>
              <w:ind w:left="130"/>
              <w:rPr>
                <w:i/>
                <w:sz w:val="14"/>
              </w:rPr>
            </w:pPr>
            <w:r>
              <w:rPr>
                <w:i/>
                <w:sz w:val="14"/>
              </w:rPr>
              <w:t>Begrænset anvendelse</w:t>
            </w:r>
          </w:p>
        </w:tc>
      </w:tr>
      <w:tr>
        <w:trPr>
          <w:trHeight w:val="267" w:hRule="atLeast"/>
        </w:trPr>
        <w:tc>
          <w:tcPr>
            <w:tcW w:w="2277" w:type="dxa"/>
            <w:tcBorders>
              <w:right w:val="nil"/>
            </w:tcBorders>
          </w:tcPr>
          <w:p>
            <w:pPr>
              <w:pStyle w:val="TableParagraph"/>
              <w:spacing w:before="41"/>
              <w:rPr>
                <w:b/>
                <w:sz w:val="14"/>
              </w:rPr>
            </w:pPr>
            <w:r>
              <w:rPr>
                <w:b/>
                <w:sz w:val="14"/>
              </w:rPr>
              <w:t>Andre serviceydelser</w:t>
            </w:r>
          </w:p>
        </w:tc>
        <w:tc>
          <w:tcPr>
            <w:tcW w:w="1829" w:type="dxa"/>
            <w:tcBorders>
              <w:left w:val="nil"/>
              <w:right w:val="nil"/>
            </w:tcBorders>
          </w:tcPr>
          <w:p>
            <w:pPr>
              <w:pStyle w:val="TableParagraph"/>
              <w:spacing w:before="41"/>
              <w:ind w:left="148" w:right="128"/>
              <w:jc w:val="center"/>
              <w:rPr>
                <w:sz w:val="14"/>
              </w:rPr>
            </w:pPr>
            <w:r>
              <w:rPr>
                <w:sz w:val="14"/>
              </w:rPr>
              <w:t>30,892</w:t>
            </w:r>
          </w:p>
        </w:tc>
        <w:tc>
          <w:tcPr>
            <w:tcW w:w="5534" w:type="dxa"/>
            <w:tcBorders>
              <w:left w:val="nil"/>
            </w:tcBorders>
          </w:tcPr>
          <w:p>
            <w:pPr>
              <w:pStyle w:val="TableParagraph"/>
              <w:spacing w:before="41"/>
              <w:ind w:left="130"/>
              <w:rPr>
                <w:i/>
                <w:sz w:val="14"/>
              </w:rPr>
            </w:pPr>
            <w:r>
              <w:rPr>
                <w:i/>
                <w:sz w:val="14"/>
              </w:rPr>
              <w:t>Begrænset anvendelse</w:t>
            </w:r>
          </w:p>
        </w:tc>
      </w:tr>
    </w:tbl>
    <w:p>
      <w:pPr>
        <w:spacing w:before="83"/>
        <w:ind w:left="600" w:right="0" w:firstLine="0"/>
        <w:jc w:val="left"/>
        <w:rPr>
          <w:sz w:val="13"/>
        </w:rPr>
      </w:pPr>
      <w:r>
        <w:rPr>
          <w:sz w:val="13"/>
        </w:rPr>
        <w:t>Kilde: Statistikbanken og London Economics.</w:t>
      </w:r>
    </w:p>
    <w:p>
      <w:pPr>
        <w:spacing w:after="0"/>
        <w:jc w:val="left"/>
        <w:rPr>
          <w:sz w:val="13"/>
        </w:rPr>
        <w:sectPr>
          <w:pgSz w:w="11910" w:h="16840"/>
          <w:pgMar w:header="0" w:footer="1056" w:top="1580" w:bottom="1240" w:left="960" w:right="0"/>
        </w:sectPr>
      </w:pPr>
    </w:p>
    <w:p>
      <w:pPr>
        <w:pStyle w:val="BodyText"/>
        <w:spacing w:before="11"/>
        <w:rPr>
          <w:sz w:val="21"/>
        </w:rPr>
      </w:pPr>
    </w:p>
    <w:p>
      <w:pPr>
        <w:pStyle w:val="ListParagraph"/>
        <w:numPr>
          <w:ilvl w:val="1"/>
          <w:numId w:val="7"/>
        </w:numPr>
        <w:tabs>
          <w:tab w:pos="741" w:val="left" w:leader="none"/>
          <w:tab w:pos="743" w:val="left" w:leader="none"/>
        </w:tabs>
        <w:spacing w:line="264" w:lineRule="auto" w:before="100" w:after="0"/>
        <w:ind w:left="742" w:right="4423" w:hanging="624"/>
        <w:jc w:val="left"/>
        <w:rPr>
          <w:sz w:val="18"/>
        </w:rPr>
      </w:pPr>
      <w:r>
        <w:rPr/>
        <w:pict>
          <v:group style="position:absolute;margin-left:384.5pt;margin-top:-13.451665pt;width:196.95pt;height:146.550pt;mso-position-horizontal-relative:page;mso-position-vertical-relative:paragraph;z-index:4912" coordorigin="7690,-269" coordsize="3939,2931">
            <v:shape style="position:absolute;left:7695;top:-265;width:3929;height:2921" coordorigin="7695,-264" coordsize="3929,2921" path="m8131,2353l8053,2346,7979,2326,7911,2293,7850,2250,7798,2198,7755,2137,7722,2069,7702,1995,7695,1917,7695,1263,7695,172,7702,94,7722,20,7755,-48,7798,-109,7850,-161,7911,-204,7979,-237,8053,-257,8131,-264,8350,-264,9332,-264,11188,-264,11266,-257,11340,-237,11408,-204,11469,-161,11521,-109,11564,-48,11597,20,11617,94,11624,172,11624,1263,11624,1917,11617,1995,11597,2069,11564,2137,11521,2198,11469,2250,11408,2293,11340,2326,11266,2346,11188,2353,9332,2353,9656,2656,8350,2353,8131,2353xe" filled="false" stroked="true" strokeweight=".5pt" strokecolor="#009ddf">
              <v:path arrowok="t"/>
              <v:stroke dashstyle="solid"/>
            </v:shape>
            <v:shape style="position:absolute;left:7885;top:-131;width:3550;height:2352" type="#_x0000_t75" stroked="false">
              <v:imagedata r:id="rId60" o:title=""/>
            </v:shape>
            <v:shape style="position:absolute;left:7885;top:224;width:3374;height:940" type="#_x0000_t202" filled="false" stroked="false">
              <v:textbox inset="0,0,0,0">
                <w:txbxContent>
                  <w:p>
                    <w:pPr>
                      <w:spacing w:line="264" w:lineRule="auto" w:before="0"/>
                      <w:ind w:left="0" w:right="-1" w:firstLine="0"/>
                      <w:jc w:val="left"/>
                      <w:rPr>
                        <w:b/>
                        <w:sz w:val="18"/>
                      </w:rPr>
                    </w:pPr>
                    <w:r>
                      <w:rPr>
                        <w:b/>
                        <w:sz w:val="18"/>
                      </w:rPr>
                      <w:t>… Apollo-programmet leverede ”det bedste investeringsafkast siden Leonardo da Vinci købte en tegneblok.”</w:t>
                    </w:r>
                  </w:p>
                </w:txbxContent>
              </v:textbox>
              <w10:wrap type="none"/>
            </v:shape>
            <v:shape style="position:absolute;left:7885;top:1460;width:2894;height:181" type="#_x0000_t202" filled="false" stroked="false">
              <v:textbox inset="0,0,0,0">
                <w:txbxContent>
                  <w:p>
                    <w:pPr>
                      <w:spacing w:before="11"/>
                      <w:ind w:left="0" w:right="0" w:firstLine="0"/>
                      <w:jc w:val="left"/>
                      <w:rPr>
                        <w:i/>
                        <w:sz w:val="14"/>
                      </w:rPr>
                    </w:pPr>
                    <w:r>
                      <w:rPr>
                        <w:i/>
                        <w:sz w:val="14"/>
                      </w:rPr>
                      <w:t>- Præsident George H. W. Bush (senior)</w:t>
                    </w:r>
                    <w:r>
                      <w:rPr>
                        <w:i/>
                        <w:sz w:val="14"/>
                        <w:vertAlign w:val="superscript"/>
                      </w:rPr>
                      <w:t>1</w:t>
                    </w:r>
                  </w:p>
                </w:txbxContent>
              </v:textbox>
              <w10:wrap type="none"/>
            </v:shape>
            <w10:wrap type="none"/>
          </v:group>
        </w:pict>
      </w:r>
      <w:bookmarkStart w:name="_bookmark26" w:id="27"/>
      <w:bookmarkEnd w:id="27"/>
      <w:r>
        <w:rPr>
          <w:b/>
          <w:sz w:val="18"/>
        </w:rPr>
        <w:t>S</w:t>
      </w:r>
      <w:r>
        <w:rPr>
          <w:b/>
          <w:sz w:val="18"/>
        </w:rPr>
        <w:t>amfundsøkonomiske gevinster ved rummet </w:t>
      </w:r>
      <w:r>
        <w:rPr>
          <w:sz w:val="18"/>
        </w:rPr>
        <w:t>Investeringer i rummet, navnlig Apollo-programmet, bliver ofte fremhævet som særdeles gode investeringer med store afkast. Uheldigvis er der begrænset evidens for disse udsagn, og inve- steringsbeslutninger træffes derfor ofte på basis af anekdoter i stedet for konkrete data. Dette afsnit giver indblik i resultater- ne fra en omfattende litteraturgennemgang af eksisterende evidens og sammenfatter derudover eksisterende viden om de samfundsøkonomiske gevinster ved brug af tre typer af rumap- plikationer; jordobservation, meteorologi og</w:t>
      </w:r>
      <w:r>
        <w:rPr>
          <w:spacing w:val="-9"/>
          <w:sz w:val="18"/>
        </w:rPr>
        <w:t> </w:t>
      </w:r>
      <w:r>
        <w:rPr>
          <w:sz w:val="18"/>
        </w:rPr>
        <w:t>navigation.</w:t>
      </w:r>
    </w:p>
    <w:p>
      <w:pPr>
        <w:pStyle w:val="BodyText"/>
        <w:spacing w:before="3"/>
        <w:rPr>
          <w:sz w:val="19"/>
        </w:rPr>
      </w:pPr>
    </w:p>
    <w:p>
      <w:pPr>
        <w:pStyle w:val="BodyText"/>
        <w:spacing w:line="264" w:lineRule="auto"/>
        <w:ind w:left="742" w:right="1579"/>
      </w:pPr>
      <w:r>
        <w:rPr/>
        <w:t>Til sammenfatningen af eksisterende viden er det nyttigt at definere en model, således at alle aspekter afdækkes. I figuren nedenfor vises den model, der ligger til grund for denne analyses afdækning af de samfundsøkonomiske gevinster ved rummet.</w:t>
      </w:r>
    </w:p>
    <w:p>
      <w:pPr>
        <w:spacing w:before="144"/>
        <w:ind w:left="742" w:right="0" w:firstLine="0"/>
        <w:jc w:val="left"/>
        <w:rPr>
          <w:b/>
          <w:sz w:val="15"/>
        </w:rPr>
      </w:pPr>
      <w:r>
        <w:rPr/>
        <w:pict>
          <v:group style="position:absolute;margin-left:91.598328pt;margin-top:115.249588pt;width:438.5pt;height:236.2pt;mso-position-horizontal-relative:page;mso-position-vertical-relative:paragraph;z-index:4840" coordorigin="1832,2305" coordsize="8770,4724">
            <v:shape style="position:absolute;left:1833;top:3122;width:8670;height:3791" coordorigin="1834,3122" coordsize="8670,3791" path="m10503,6386l1834,6386,1834,6913,10503,6913,10503,6386m10503,4598l1834,4598,1834,6241,10503,6241,10503,4598m10503,3122l1834,3122,1834,4521,10503,4521,10503,3122e" filled="true" fillcolor="#dce6f1" stroked="false">
              <v:path arrowok="t"/>
              <v:fill type="solid"/>
            </v:shape>
            <v:shape style="position:absolute;left:1915;top:4723;width:12360;height:6869" coordorigin="1915,4724" coordsize="12360,6869" path="m2891,6992l5147,6992,5147,2729,2891,2729,2891,6992xm5147,6992l7402,6992,7402,2729,5147,2729,5147,6992xm7402,6992l9657,6992,9657,2729,7402,2729,7402,6992xm9657,6992l10573,6992,10573,2729,9657,2729,9657,6992xe" filled="false" stroked="true" strokeweight="2.832111pt" strokecolor="#ffffff">
              <v:path arrowok="t"/>
              <v:stroke dashstyle="solid"/>
            </v:shape>
            <v:line style="position:absolute" from="1835,6309" to="10503,6309" stroked="true" strokeweight=".968189pt" strokecolor="#053579">
              <v:stroke dashstyle="solid"/>
            </v:line>
            <v:shape style="position:absolute;left:4949;top:2798;width:2665;height:282" coordorigin="4950,2799" coordsize="2665,282" path="m5372,2940l5231,2799,5231,2869,4950,2869,4950,3010,5231,3010,5231,3080,5372,2940m7614,2940l7473,2799,7473,2869,7190,2869,7190,3010,7473,3010,7473,3080,7614,2940e" filled="true" fillcolor="#053579" stroked="false">
              <v:path arrowok="t"/>
              <v:fill type="solid"/>
            </v:shape>
            <v:shape style="position:absolute;left:9476;top:2816;width:397;height:257" type="#_x0000_t75" stroked="false">
              <v:imagedata r:id="rId61" o:title=""/>
            </v:shape>
            <v:shape style="position:absolute;left:5239;top:4647;width:4349;height:491" coordorigin="5239,4647" coordsize="4349,491" path="m7317,4647l5239,4647,5239,5137,7317,5137,7317,4647m9587,4647l7478,4647,7478,5137,9587,5137,9587,4647e" filled="true" fillcolor="#ffffff" stroked="false">
              <v:path arrowok="t"/>
              <v:fill type="solid"/>
            </v:shape>
            <v:shape style="position:absolute;left:2906;top:2310;width:6667;height:419" type="#_x0000_t75" stroked="false">
              <v:imagedata r:id="rId62" o:title=""/>
            </v:shape>
            <v:shape style="position:absolute;left:3976;top:2305;width:86;height:425" coordorigin="3977,2305" coordsize="86,425" path="m4005,2645l3977,2645,4019,2729,4054,2659,4005,2659,4005,2645xm4033,2645l4005,2645,4005,2659,4033,2659,4033,2645xm4062,2644l4033,2645,4033,2659,4005,2659,4054,2659,4062,2644xm4032,2305l4004,2305,4005,2645,4033,2645,4032,2305xe" filled="true" fillcolor="#053579" stroked="false">
              <v:path arrowok="t"/>
              <v:fill type="solid"/>
            </v:shape>
            <v:shape style="position:absolute;left:2985;top:3171;width:6585;height:3029" coordorigin="2985,3171" coordsize="6585,3029" path="m5065,3171l2985,3171,2985,3558,5065,3558,5065,3171m5066,5706l2988,5706,2988,6198,5066,6198,5066,5706m5068,5175l2988,5175,2988,5665,5068,5665,5068,5175m7305,3171l5227,3171,5227,3558,7305,3558,7305,3171m7317,5708l5238,5708,5238,6199,7317,6199,7317,5708m7317,5175l5239,5175,5239,5666,7317,5666,7317,5175m9560,3171l7483,3171,7483,3558,9560,3558,9560,3171m9568,5706l7489,5706,7489,6196,9568,6196,9568,5706m9569,5173l7490,5173,7490,5663,9569,5663,9569,5173e" filled="true" fillcolor="#ffffff" stroked="false">
              <v:path arrowok="t"/>
              <v:fill type="solid"/>
            </v:shape>
            <v:rect style="position:absolute;left:2985;top:3171;width:2080;height:388" filled="false" stroked="true" strokeweight=".595837pt" strokecolor="#053579">
              <v:stroke dashstyle="solid"/>
            </v:rect>
            <v:shape style="position:absolute;left:3079;top:3626;width:1992;height:842" coordorigin="3079,3627" coordsize="1992,842" path="m5069,3627l3079,3627,3079,4014,5069,4014,5069,3627m5071,4083l3151,4083,3151,4469,5071,4469,5071,4083e" filled="true" fillcolor="#ffffff" stroked="false">
              <v:path arrowok="t"/>
              <v:fill type="solid"/>
            </v:shape>
            <v:shape style="position:absolute;left:2985;top:3558;width:166;height:755" coordorigin="2985,3558" coordsize="166,755" path="m3150,4275l3142,4269,3101,4238,3101,4269,2997,4269,2997,3826,3030,3826,3030,3857,3071,3826,3079,3820,3071,3814,3030,3783,3030,3814,2997,3814,2997,3558,2985,3558,2985,3823,2985,4278,2988,4281,3101,4281,3101,4313,3142,4281,3150,4275e" filled="true" fillcolor="#053579" stroked="false">
              <v:path arrowok="t"/>
              <v:fill type="solid"/>
            </v:shape>
            <v:shape style="position:absolute;left:3085;top:4012;width:36;height:262" coordorigin="3085,4013" coordsize="36,262" path="m3085,4013l3085,4267,3120,4267,3120,4274e" filled="false" stroked="true" strokeweight=".596644pt" strokecolor="#053579">
              <v:path arrowok="t"/>
              <v:stroke dashstyle="solid"/>
            </v:shape>
            <v:shape style="position:absolute;left:5319;top:3626;width:1990;height:842" coordorigin="5320,3627" coordsize="1990,842" path="m7310,4083l5390,4083,5390,4469,7310,4469,7310,4083m7310,3627l5320,3627,5320,4014,7310,4014,7310,3627e" filled="true" fillcolor="#ffffff" stroked="false">
              <v:path arrowok="t"/>
              <v:fill type="solid"/>
            </v:shape>
            <v:shape style="position:absolute;left:5225;top:3558;width:166;height:755" coordorigin="5226,3558" coordsize="166,755" path="m5391,4275l5383,4269,5341,4238,5341,4269,5238,4269,5238,3826,5270,3826,5270,3857,5312,3826,5320,3820,5312,3814,5270,3783,5270,3814,5238,3814,5238,3558,5226,3558,5226,3823,5226,4278,5228,4281,5341,4281,5341,4313,5383,4281,5391,4275e" filled="true" fillcolor="#053579" stroked="false">
              <v:path arrowok="t"/>
              <v:fill type="solid"/>
            </v:shape>
            <v:shape style="position:absolute;left:5325;top:4012;width:36;height:262" coordorigin="5326,4013" coordsize="36,262" path="m5326,4013l5326,4267,5361,4267,5361,4274e" filled="false" stroked="true" strokeweight=".596644pt" strokecolor="#053579">
              <v:path arrowok="t"/>
              <v:stroke dashstyle="solid"/>
            </v:shape>
            <v:shape style="position:absolute;left:7578;top:3626;width:1992;height:842" coordorigin="7578,3627" coordsize="1992,842" path="m9568,3627l7578,3627,7578,4014,9568,4014,9568,3627m9569,4083l7650,4083,7650,4469,9569,4469,9569,4083e" filled="true" fillcolor="#ffffff" stroked="false">
              <v:path arrowok="t"/>
              <v:fill type="solid"/>
            </v:shape>
            <v:shape style="position:absolute;left:7484;top:3558;width:166;height:755" coordorigin="7484,3558" coordsize="166,755" path="m7649,4275l7641,4269,7599,4238,7599,4269,7496,4269,7496,3826,7528,3826,7528,3857,7570,3826,7578,3820,7570,3814,7528,3783,7528,3814,7496,3814,7496,3558,7484,3558,7484,3823,7484,4278,7487,4281,7599,4281,7599,4313,7641,4281,7649,4275e" filled="true" fillcolor="#053579" stroked="false">
              <v:path arrowok="t"/>
              <v:fill type="solid"/>
            </v:shape>
            <v:shape style="position:absolute;left:7584;top:4012;width:36;height:262" coordorigin="7584,4013" coordsize="36,262" path="m7584,4013l7584,4267,7619,4267,7619,4274e" filled="false" stroked="true" strokeweight=".596644pt" strokecolor="#053579">
              <v:path arrowok="t"/>
              <v:stroke dashstyle="solid"/>
            </v:shape>
            <v:shape style="position:absolute;left:5064;top:3327;width:2417;height:75" coordorigin="5065,3328" coordsize="2417,75" path="m5227,3365l5219,3359,5177,3328,5177,3359,5065,3359,5065,3371,5177,3371,5177,3402,5219,3371,5227,3365m7481,3365l7473,3359,7432,3328,7432,3359,7305,3359,7305,3371,7432,3371,7432,3402,7473,3371,7481,3365e" filled="true" fillcolor="#053579" stroked="false">
              <v:path arrowok="t"/>
              <v:fill type="solid"/>
            </v:shape>
            <v:shape style="position:absolute;left:4146;top:2496;width:1783;height:138" type="#_x0000_t202" filled="false" stroked="false">
              <v:textbox inset="0,0,0,0">
                <w:txbxContent>
                  <w:p>
                    <w:pPr>
                      <w:spacing w:line="137" w:lineRule="exact" w:before="0"/>
                      <w:ind w:left="0" w:right="0" w:firstLine="0"/>
                      <w:jc w:val="left"/>
                      <w:rPr>
                        <w:rFonts w:ascii="Calibri" w:hAnsi="Calibri"/>
                        <w:sz w:val="13"/>
                      </w:rPr>
                    </w:pPr>
                    <w:r>
                      <w:rPr>
                        <w:rFonts w:ascii="Calibri" w:hAnsi="Calibri"/>
                        <w:color w:val="FFFFFF"/>
                        <w:w w:val="105"/>
                        <w:sz w:val="13"/>
                      </w:rPr>
                      <w:t>Samfundsøkonomiske gevinster</w:t>
                    </w:r>
                  </w:p>
                </w:txbxContent>
              </v:textbox>
              <w10:wrap type="none"/>
            </v:shape>
            <v:shape style="position:absolute;left:3583;top:2804;width:892;height:224" type="#_x0000_t202" filled="false" stroked="false">
              <v:textbox inset="0,0,0,0">
                <w:txbxContent>
                  <w:p>
                    <w:pPr>
                      <w:spacing w:line="224" w:lineRule="exact" w:before="0"/>
                      <w:ind w:left="0" w:right="0" w:firstLine="0"/>
                      <w:jc w:val="left"/>
                      <w:rPr>
                        <w:rFonts w:ascii="Calibri"/>
                        <w:b/>
                        <w:sz w:val="22"/>
                      </w:rPr>
                    </w:pPr>
                    <w:r>
                      <w:rPr>
                        <w:rFonts w:ascii="Calibri"/>
                        <w:b/>
                        <w:color w:val="053579"/>
                        <w:sz w:val="22"/>
                      </w:rPr>
                      <w:t>Udvikling</w:t>
                    </w:r>
                  </w:p>
                </w:txbxContent>
              </v:textbox>
              <w10:wrap type="none"/>
            </v:shape>
            <v:shape style="position:absolute;left:5871;top:2804;width:827;height:224" type="#_x0000_t202" filled="false" stroked="false">
              <v:textbox inset="0,0,0,0">
                <w:txbxContent>
                  <w:p>
                    <w:pPr>
                      <w:spacing w:line="224" w:lineRule="exact" w:before="0"/>
                      <w:ind w:left="0" w:right="0" w:firstLine="0"/>
                      <w:jc w:val="left"/>
                      <w:rPr>
                        <w:rFonts w:ascii="Calibri"/>
                        <w:b/>
                        <w:sz w:val="22"/>
                      </w:rPr>
                    </w:pPr>
                    <w:r>
                      <w:rPr>
                        <w:rFonts w:ascii="Calibri"/>
                        <w:b/>
                        <w:color w:val="053579"/>
                        <w:sz w:val="22"/>
                      </w:rPr>
                      <w:t>Operativ</w:t>
                    </w:r>
                  </w:p>
                </w:txbxContent>
              </v:textbox>
              <w10:wrap type="none"/>
            </v:shape>
            <v:shape style="position:absolute;left:8048;top:2804;width:983;height:224" type="#_x0000_t202" filled="false" stroked="false">
              <v:textbox inset="0,0,0,0">
                <w:txbxContent>
                  <w:p>
                    <w:pPr>
                      <w:spacing w:line="224" w:lineRule="exact" w:before="0"/>
                      <w:ind w:left="0" w:right="0" w:firstLine="0"/>
                      <w:jc w:val="left"/>
                      <w:rPr>
                        <w:rFonts w:ascii="Calibri" w:hAnsi="Calibri"/>
                        <w:b/>
                        <w:sz w:val="22"/>
                      </w:rPr>
                    </w:pPr>
                    <w:r>
                      <w:rPr>
                        <w:rFonts w:ascii="Calibri" w:hAnsi="Calibri"/>
                        <w:b/>
                        <w:color w:val="053579"/>
                        <w:sz w:val="22"/>
                      </w:rPr>
                      <w:t>Eftermæle</w:t>
                    </w:r>
                  </w:p>
                </w:txbxContent>
              </v:textbox>
              <w10:wrap type="none"/>
            </v:shape>
            <v:shape style="position:absolute;left:10019;top:2804;width:216;height:224" type="#_x0000_t202" filled="false" stroked="false">
              <v:textbox inset="0,0,0,0">
                <w:txbxContent>
                  <w:p>
                    <w:pPr>
                      <w:spacing w:line="224" w:lineRule="exact" w:before="0"/>
                      <w:ind w:left="0" w:right="0" w:firstLine="0"/>
                      <w:jc w:val="left"/>
                      <w:rPr>
                        <w:rFonts w:ascii="Calibri"/>
                        <w:b/>
                        <w:sz w:val="22"/>
                      </w:rPr>
                    </w:pPr>
                    <w:r>
                      <w:rPr>
                        <w:rFonts w:ascii="Calibri"/>
                        <w:b/>
                        <w:color w:val="053579"/>
                        <w:sz w:val="22"/>
                      </w:rPr>
                      <w:t>IA</w:t>
                    </w:r>
                  </w:p>
                </w:txbxContent>
              </v:textbox>
              <w10:wrap type="none"/>
            </v:shape>
            <v:shape style="position:absolute;left:3097;top:3242;width:1874;height:271" type="#_x0000_t202" filled="false" stroked="false">
              <v:textbox inset="0,0,0,0">
                <w:txbxContent>
                  <w:p>
                    <w:pPr>
                      <w:spacing w:line="138" w:lineRule="exact" w:before="0"/>
                      <w:ind w:left="0" w:right="16" w:firstLine="0"/>
                      <w:jc w:val="center"/>
                      <w:rPr>
                        <w:rFonts w:ascii="Calibri"/>
                        <w:sz w:val="13"/>
                      </w:rPr>
                    </w:pPr>
                    <w:r>
                      <w:rPr>
                        <w:rFonts w:ascii="Calibri"/>
                        <w:b/>
                        <w:color w:val="053579"/>
                        <w:w w:val="105"/>
                        <w:sz w:val="13"/>
                      </w:rPr>
                      <w:t>DIREKTE: </w:t>
                    </w:r>
                    <w:r>
                      <w:rPr>
                        <w:rFonts w:ascii="Calibri"/>
                        <w:color w:val="053579"/>
                        <w:w w:val="105"/>
                        <w:sz w:val="13"/>
                      </w:rPr>
                      <w:t>Kontraktopfyldelse</w:t>
                    </w:r>
                  </w:p>
                  <w:p>
                    <w:pPr>
                      <w:spacing w:line="133" w:lineRule="exact" w:before="0"/>
                      <w:ind w:left="0" w:right="18" w:firstLine="0"/>
                      <w:jc w:val="center"/>
                      <w:rPr>
                        <w:rFonts w:ascii="Calibri" w:hAnsi="Calibri"/>
                        <w:i/>
                        <w:sz w:val="11"/>
                      </w:rPr>
                    </w:pPr>
                    <w:r>
                      <w:rPr>
                        <w:rFonts w:ascii="Calibri" w:hAnsi="Calibri"/>
                        <w:i/>
                        <w:color w:val="7E7E7E"/>
                        <w:sz w:val="11"/>
                      </w:rPr>
                      <w:t>Hovedleverandører (profit), Ansatte (løn)</w:t>
                    </w:r>
                  </w:p>
                </w:txbxContent>
              </v:textbox>
              <w10:wrap type="none"/>
            </v:shape>
            <v:shape style="position:absolute;left:5339;top:3242;width:1874;height:271" type="#_x0000_t202" filled="false" stroked="false">
              <v:textbox inset="0,0,0,0">
                <w:txbxContent>
                  <w:p>
                    <w:pPr>
                      <w:spacing w:line="138" w:lineRule="exact" w:before="0"/>
                      <w:ind w:left="89" w:right="0" w:firstLine="0"/>
                      <w:jc w:val="left"/>
                      <w:rPr>
                        <w:rFonts w:ascii="Calibri"/>
                        <w:sz w:val="13"/>
                      </w:rPr>
                    </w:pPr>
                    <w:r>
                      <w:rPr>
                        <w:rFonts w:ascii="Calibri"/>
                        <w:b/>
                        <w:color w:val="053579"/>
                        <w:w w:val="105"/>
                        <w:sz w:val="13"/>
                      </w:rPr>
                      <w:t>RING: </w:t>
                    </w:r>
                    <w:r>
                      <w:rPr>
                        <w:rFonts w:ascii="Calibri"/>
                        <w:color w:val="053579"/>
                        <w:w w:val="105"/>
                        <w:sz w:val="13"/>
                      </w:rPr>
                      <w:t>Kontrakt-genereret salg</w:t>
                    </w:r>
                  </w:p>
                  <w:p>
                    <w:pPr>
                      <w:spacing w:line="133" w:lineRule="exact" w:before="0"/>
                      <w:ind w:left="0" w:right="0" w:firstLine="0"/>
                      <w:jc w:val="left"/>
                      <w:rPr>
                        <w:rFonts w:ascii="Calibri" w:hAnsi="Calibri"/>
                        <w:i/>
                        <w:sz w:val="11"/>
                      </w:rPr>
                    </w:pPr>
                    <w:r>
                      <w:rPr>
                        <w:rFonts w:ascii="Calibri" w:hAnsi="Calibri"/>
                        <w:i/>
                        <w:color w:val="7E7E7E"/>
                        <w:sz w:val="11"/>
                      </w:rPr>
                      <w:t>Hovedleverandører (profit), Ansatte (løn)</w:t>
                    </w:r>
                  </w:p>
                </w:txbxContent>
              </v:textbox>
              <w10:wrap type="none"/>
            </v:shape>
            <v:shape style="position:absolute;left:7594;top:3242;width:1876;height:271" type="#_x0000_t202" filled="false" stroked="false">
              <v:textbox inset="0,0,0,0">
                <w:txbxContent>
                  <w:p>
                    <w:pPr>
                      <w:spacing w:line="138" w:lineRule="exact" w:before="0"/>
                      <w:ind w:left="17" w:right="0" w:firstLine="0"/>
                      <w:jc w:val="left"/>
                      <w:rPr>
                        <w:rFonts w:ascii="Calibri"/>
                        <w:sz w:val="13"/>
                      </w:rPr>
                    </w:pPr>
                    <w:r>
                      <w:rPr>
                        <w:rFonts w:ascii="Calibri"/>
                        <w:b/>
                        <w:color w:val="053579"/>
                        <w:w w:val="105"/>
                        <w:sz w:val="13"/>
                      </w:rPr>
                      <w:t>RING+: </w:t>
                    </w:r>
                    <w:r>
                      <w:rPr>
                        <w:rFonts w:ascii="Calibri"/>
                        <w:color w:val="053579"/>
                        <w:w w:val="105"/>
                        <w:sz w:val="13"/>
                      </w:rPr>
                      <w:t>Yderligere genereret</w:t>
                    </w:r>
                    <w:r>
                      <w:rPr>
                        <w:rFonts w:ascii="Calibri"/>
                        <w:color w:val="053579"/>
                        <w:spacing w:val="-12"/>
                        <w:w w:val="105"/>
                        <w:sz w:val="13"/>
                      </w:rPr>
                      <w:t> </w:t>
                    </w:r>
                    <w:r>
                      <w:rPr>
                        <w:rFonts w:ascii="Calibri"/>
                        <w:color w:val="053579"/>
                        <w:w w:val="105"/>
                        <w:sz w:val="13"/>
                      </w:rPr>
                      <w:t>salg</w:t>
                    </w:r>
                  </w:p>
                  <w:p>
                    <w:pPr>
                      <w:spacing w:line="133" w:lineRule="exact" w:before="0"/>
                      <w:ind w:left="0" w:right="0" w:firstLine="0"/>
                      <w:jc w:val="left"/>
                      <w:rPr>
                        <w:rFonts w:ascii="Calibri" w:hAnsi="Calibri"/>
                        <w:i/>
                        <w:sz w:val="11"/>
                      </w:rPr>
                    </w:pPr>
                    <w:r>
                      <w:rPr>
                        <w:rFonts w:ascii="Calibri" w:hAnsi="Calibri"/>
                        <w:i/>
                        <w:color w:val="7E7E7E"/>
                        <w:sz w:val="11"/>
                      </w:rPr>
                      <w:t>Hovedleverandører (profit), Ansatte</w:t>
                    </w:r>
                    <w:r>
                      <w:rPr>
                        <w:rFonts w:ascii="Calibri" w:hAnsi="Calibri"/>
                        <w:i/>
                        <w:color w:val="7E7E7E"/>
                        <w:spacing w:val="14"/>
                        <w:sz w:val="11"/>
                      </w:rPr>
                      <w:t> </w:t>
                    </w:r>
                    <w:r>
                      <w:rPr>
                        <w:rFonts w:ascii="Calibri" w:hAnsi="Calibri"/>
                        <w:i/>
                        <w:color w:val="7E7E7E"/>
                        <w:sz w:val="11"/>
                      </w:rPr>
                      <w:t>(løn)</w:t>
                    </w:r>
                  </w:p>
                </w:txbxContent>
              </v:textbox>
              <w10:wrap type="none"/>
            </v:shape>
            <v:shape style="position:absolute;left:1869;top:3749;width:443;height:175" type="#_x0000_t202" filled="false" stroked="false">
              <v:textbox inset="0,0,0,0">
                <w:txbxContent>
                  <w:p>
                    <w:pPr>
                      <w:spacing w:line="174" w:lineRule="exact" w:before="0"/>
                      <w:ind w:left="0" w:right="0" w:firstLine="0"/>
                      <w:jc w:val="left"/>
                      <w:rPr>
                        <w:rFonts w:ascii="Calibri"/>
                        <w:b/>
                        <w:sz w:val="17"/>
                      </w:rPr>
                    </w:pPr>
                    <w:r>
                      <w:rPr>
                        <w:rFonts w:ascii="Calibri"/>
                        <w:b/>
                        <w:color w:val="053579"/>
                        <w:sz w:val="17"/>
                      </w:rPr>
                      <w:t>Privat</w:t>
                    </w:r>
                  </w:p>
                </w:txbxContent>
              </v:textbox>
              <w10:wrap type="none"/>
            </v:shape>
            <v:shape style="position:absolute;left:3151;top:3697;width:1866;height:271" type="#_x0000_t202" filled="false" stroked="false">
              <v:textbox inset="0,0,0,0">
                <w:txbxContent>
                  <w:p>
                    <w:pPr>
                      <w:spacing w:line="138" w:lineRule="exact" w:before="0"/>
                      <w:ind w:left="0" w:right="17" w:firstLine="0"/>
                      <w:jc w:val="center"/>
                      <w:rPr>
                        <w:rFonts w:ascii="Calibri"/>
                        <w:sz w:val="13"/>
                      </w:rPr>
                    </w:pPr>
                    <w:r>
                      <w:rPr>
                        <w:rFonts w:ascii="Calibri"/>
                        <w:b/>
                        <w:color w:val="053579"/>
                        <w:w w:val="105"/>
                        <w:sz w:val="13"/>
                      </w:rPr>
                      <w:t>INDIREKTE: </w:t>
                    </w:r>
                    <w:r>
                      <w:rPr>
                        <w:rFonts w:ascii="Calibri"/>
                        <w:color w:val="053579"/>
                        <w:w w:val="105"/>
                        <w:sz w:val="13"/>
                      </w:rPr>
                      <w:t>Produktionsinput</w:t>
                    </w:r>
                  </w:p>
                  <w:p>
                    <w:pPr>
                      <w:spacing w:line="133" w:lineRule="exact" w:before="0"/>
                      <w:ind w:left="-1" w:right="18" w:firstLine="0"/>
                      <w:jc w:val="center"/>
                      <w:rPr>
                        <w:rFonts w:ascii="Calibri" w:hAnsi="Calibri"/>
                        <w:i/>
                        <w:sz w:val="11"/>
                      </w:rPr>
                    </w:pPr>
                    <w:r>
                      <w:rPr>
                        <w:rFonts w:ascii="Calibri" w:hAnsi="Calibri"/>
                        <w:i/>
                        <w:color w:val="7E7E7E"/>
                        <w:sz w:val="11"/>
                      </w:rPr>
                      <w:t>Underleverandører (profit), Ansatte</w:t>
                    </w:r>
                    <w:r>
                      <w:rPr>
                        <w:rFonts w:ascii="Calibri" w:hAnsi="Calibri"/>
                        <w:i/>
                        <w:color w:val="7E7E7E"/>
                        <w:spacing w:val="11"/>
                        <w:sz w:val="11"/>
                      </w:rPr>
                      <w:t> </w:t>
                    </w:r>
                    <w:r>
                      <w:rPr>
                        <w:rFonts w:ascii="Calibri" w:hAnsi="Calibri"/>
                        <w:i/>
                        <w:color w:val="7E7E7E"/>
                        <w:sz w:val="11"/>
                      </w:rPr>
                      <w:t>(løn)</w:t>
                    </w:r>
                  </w:p>
                </w:txbxContent>
              </v:textbox>
              <w10:wrap type="none"/>
            </v:shape>
            <v:shape style="position:absolute;left:5391;top:3697;width:1866;height:271" type="#_x0000_t202" filled="false" stroked="false">
              <v:textbox inset="0,0,0,0">
                <w:txbxContent>
                  <w:p>
                    <w:pPr>
                      <w:spacing w:line="138" w:lineRule="exact" w:before="0"/>
                      <w:ind w:left="0" w:right="17" w:firstLine="0"/>
                      <w:jc w:val="center"/>
                      <w:rPr>
                        <w:rFonts w:ascii="Calibri"/>
                        <w:sz w:val="13"/>
                      </w:rPr>
                    </w:pPr>
                    <w:r>
                      <w:rPr>
                        <w:rFonts w:ascii="Calibri"/>
                        <w:b/>
                        <w:color w:val="053579"/>
                        <w:w w:val="105"/>
                        <w:sz w:val="13"/>
                      </w:rPr>
                      <w:t>INDIREKTE: </w:t>
                    </w:r>
                    <w:r>
                      <w:rPr>
                        <w:rFonts w:ascii="Calibri"/>
                        <w:color w:val="053579"/>
                        <w:w w:val="105"/>
                        <w:sz w:val="13"/>
                      </w:rPr>
                      <w:t>Produktionsinput</w:t>
                    </w:r>
                  </w:p>
                  <w:p>
                    <w:pPr>
                      <w:spacing w:line="133" w:lineRule="exact" w:before="0"/>
                      <w:ind w:left="0" w:right="18" w:firstLine="0"/>
                      <w:jc w:val="center"/>
                      <w:rPr>
                        <w:rFonts w:ascii="Calibri" w:hAnsi="Calibri"/>
                        <w:i/>
                        <w:sz w:val="11"/>
                      </w:rPr>
                    </w:pPr>
                    <w:r>
                      <w:rPr>
                        <w:rFonts w:ascii="Calibri" w:hAnsi="Calibri"/>
                        <w:i/>
                        <w:color w:val="7E7E7E"/>
                        <w:sz w:val="11"/>
                      </w:rPr>
                      <w:t>Underleverandører (profit), Ansatte (løn)</w:t>
                    </w:r>
                  </w:p>
                </w:txbxContent>
              </v:textbox>
              <w10:wrap type="none"/>
            </v:shape>
            <v:shape style="position:absolute;left:7650;top:3697;width:1866;height:271" type="#_x0000_t202" filled="false" stroked="false">
              <v:textbox inset="0,0,0,0">
                <w:txbxContent>
                  <w:p>
                    <w:pPr>
                      <w:spacing w:line="138" w:lineRule="exact" w:before="0"/>
                      <w:ind w:left="0" w:right="17" w:firstLine="0"/>
                      <w:jc w:val="center"/>
                      <w:rPr>
                        <w:rFonts w:ascii="Calibri"/>
                        <w:sz w:val="13"/>
                      </w:rPr>
                    </w:pPr>
                    <w:r>
                      <w:rPr>
                        <w:rFonts w:ascii="Calibri"/>
                        <w:b/>
                        <w:color w:val="053579"/>
                        <w:w w:val="105"/>
                        <w:sz w:val="13"/>
                      </w:rPr>
                      <w:t>INDIREKTE: </w:t>
                    </w:r>
                    <w:r>
                      <w:rPr>
                        <w:rFonts w:ascii="Calibri"/>
                        <w:color w:val="053579"/>
                        <w:w w:val="105"/>
                        <w:sz w:val="13"/>
                      </w:rPr>
                      <w:t>Produktionsinput</w:t>
                    </w:r>
                  </w:p>
                  <w:p>
                    <w:pPr>
                      <w:spacing w:line="133" w:lineRule="exact" w:before="0"/>
                      <w:ind w:left="0" w:right="18" w:firstLine="0"/>
                      <w:jc w:val="center"/>
                      <w:rPr>
                        <w:rFonts w:ascii="Calibri" w:hAnsi="Calibri"/>
                        <w:i/>
                        <w:sz w:val="11"/>
                      </w:rPr>
                    </w:pPr>
                    <w:r>
                      <w:rPr>
                        <w:rFonts w:ascii="Calibri" w:hAnsi="Calibri"/>
                        <w:i/>
                        <w:color w:val="7E7E7E"/>
                        <w:sz w:val="11"/>
                      </w:rPr>
                      <w:t>Underleverandører (profit), Ansatte (løn)</w:t>
                    </w:r>
                  </w:p>
                </w:txbxContent>
              </v:textbox>
              <w10:wrap type="none"/>
            </v:shape>
            <v:shape style="position:absolute;left:9783;top:3721;width:614;height:224" type="#_x0000_t202" filled="false" stroked="false">
              <v:textbox inset="0,0,0,0">
                <w:txbxContent>
                  <w:p>
                    <w:pPr>
                      <w:spacing w:line="223" w:lineRule="exact" w:before="0"/>
                      <w:ind w:left="0" w:right="0" w:firstLine="0"/>
                      <w:jc w:val="left"/>
                      <w:rPr>
                        <w:rFonts w:ascii="Calibri"/>
                        <w:b/>
                        <w:sz w:val="22"/>
                      </w:rPr>
                    </w:pPr>
                    <w:r>
                      <w:rPr>
                        <w:rFonts w:ascii="Calibri"/>
                        <w:b/>
                        <w:color w:val="053579"/>
                        <w:sz w:val="22"/>
                      </w:rPr>
                      <w:t>IA(</w:t>
                    </w:r>
                    <w:r>
                      <w:rPr>
                        <w:rFonts w:ascii="Calibri"/>
                        <w:b/>
                        <w:color w:val="622422"/>
                        <w:sz w:val="22"/>
                      </w:rPr>
                      <w:t>kr </w:t>
                    </w:r>
                    <w:r>
                      <w:rPr>
                        <w:rFonts w:ascii="Calibri"/>
                        <w:b/>
                        <w:color w:val="053579"/>
                        <w:sz w:val="22"/>
                      </w:rPr>
                      <w:t>)</w:t>
                    </w:r>
                  </w:p>
                </w:txbxContent>
              </v:textbox>
              <w10:wrap type="none"/>
            </v:shape>
            <v:shape style="position:absolute;left:10232;top:3832;width:96;height:149" type="#_x0000_t202" filled="false" stroked="false">
              <v:textbox inset="0,0,0,0">
                <w:txbxContent>
                  <w:p>
                    <w:pPr>
                      <w:spacing w:line="149" w:lineRule="exact" w:before="0"/>
                      <w:ind w:left="0" w:right="0" w:firstLine="0"/>
                      <w:jc w:val="left"/>
                      <w:rPr>
                        <w:rFonts w:ascii="Calibri"/>
                        <w:b/>
                        <w:sz w:val="15"/>
                      </w:rPr>
                    </w:pPr>
                    <w:r>
                      <w:rPr>
                        <w:rFonts w:ascii="Calibri"/>
                        <w:b/>
                        <w:color w:val="622422"/>
                        <w:w w:val="99"/>
                        <w:sz w:val="15"/>
                      </w:rPr>
                      <w:t>e</w:t>
                    </w:r>
                  </w:p>
                </w:txbxContent>
              </v:textbox>
              <w10:wrap type="none"/>
            </v:shape>
            <v:shape style="position:absolute;left:3220;top:4160;width:1803;height:256" type="#_x0000_t202" filled="false" stroked="false">
              <v:textbox inset="0,0,0,0">
                <w:txbxContent>
                  <w:p>
                    <w:pPr>
                      <w:spacing w:line="137" w:lineRule="exact" w:before="0"/>
                      <w:ind w:left="-1" w:right="18" w:firstLine="0"/>
                      <w:jc w:val="center"/>
                      <w:rPr>
                        <w:rFonts w:ascii="Calibri" w:hAnsi="Calibri"/>
                        <w:sz w:val="13"/>
                      </w:rPr>
                    </w:pPr>
                    <w:r>
                      <w:rPr>
                        <w:rFonts w:ascii="Calibri" w:hAnsi="Calibri"/>
                        <w:b/>
                        <w:color w:val="053579"/>
                        <w:w w:val="105"/>
                        <w:sz w:val="13"/>
                      </w:rPr>
                      <w:t>IGANGSAT:</w:t>
                    </w:r>
                    <w:r>
                      <w:rPr>
                        <w:rFonts w:ascii="Calibri" w:hAnsi="Calibri"/>
                        <w:b/>
                        <w:color w:val="053579"/>
                        <w:spacing w:val="-2"/>
                        <w:w w:val="105"/>
                        <w:sz w:val="13"/>
                      </w:rPr>
                      <w:t> </w:t>
                    </w:r>
                    <w:r>
                      <w:rPr>
                        <w:rFonts w:ascii="Calibri" w:hAnsi="Calibri"/>
                        <w:color w:val="053579"/>
                        <w:w w:val="105"/>
                        <w:sz w:val="13"/>
                      </w:rPr>
                      <w:t>Medarbejderindkøb</w:t>
                    </w:r>
                  </w:p>
                  <w:p>
                    <w:pPr>
                      <w:spacing w:line="119" w:lineRule="exact" w:before="0"/>
                      <w:ind w:left="0" w:right="20" w:firstLine="0"/>
                      <w:jc w:val="center"/>
                      <w:rPr>
                        <w:rFonts w:ascii="Calibri" w:hAnsi="Calibri"/>
                        <w:i/>
                        <w:sz w:val="10"/>
                      </w:rPr>
                    </w:pPr>
                    <w:r>
                      <w:rPr>
                        <w:rFonts w:ascii="Calibri" w:hAnsi="Calibri"/>
                        <w:i/>
                        <w:color w:val="7E7E7E"/>
                        <w:sz w:val="10"/>
                      </w:rPr>
                      <w:t>Detailhandel (profit), Ansatte (løn)</w:t>
                    </w:r>
                  </w:p>
                </w:txbxContent>
              </v:textbox>
              <w10:wrap type="none"/>
            </v:shape>
            <v:shape style="position:absolute;left:5460;top:4160;width:1803;height:256" type="#_x0000_t202" filled="false" stroked="false">
              <v:textbox inset="0,0,0,0">
                <w:txbxContent>
                  <w:p>
                    <w:pPr>
                      <w:spacing w:line="137" w:lineRule="exact" w:before="0"/>
                      <w:ind w:left="0" w:right="18" w:firstLine="0"/>
                      <w:jc w:val="center"/>
                      <w:rPr>
                        <w:rFonts w:ascii="Calibri" w:hAnsi="Calibri"/>
                        <w:sz w:val="13"/>
                      </w:rPr>
                    </w:pPr>
                    <w:r>
                      <w:rPr>
                        <w:rFonts w:ascii="Calibri" w:hAnsi="Calibri"/>
                        <w:b/>
                        <w:color w:val="053579"/>
                        <w:w w:val="105"/>
                        <w:sz w:val="13"/>
                      </w:rPr>
                      <w:t>IGANGSAT: </w:t>
                    </w:r>
                    <w:r>
                      <w:rPr>
                        <w:rFonts w:ascii="Calibri" w:hAnsi="Calibri"/>
                        <w:color w:val="053579"/>
                        <w:w w:val="105"/>
                        <w:sz w:val="13"/>
                      </w:rPr>
                      <w:t>Medarbejderindkøb</w:t>
                    </w:r>
                  </w:p>
                  <w:p>
                    <w:pPr>
                      <w:spacing w:line="119" w:lineRule="exact" w:before="0"/>
                      <w:ind w:left="0" w:right="20" w:firstLine="0"/>
                      <w:jc w:val="center"/>
                      <w:rPr>
                        <w:rFonts w:ascii="Calibri" w:hAnsi="Calibri"/>
                        <w:i/>
                        <w:sz w:val="10"/>
                      </w:rPr>
                    </w:pPr>
                    <w:r>
                      <w:rPr>
                        <w:rFonts w:ascii="Calibri" w:hAnsi="Calibri"/>
                        <w:i/>
                        <w:color w:val="7E7E7E"/>
                        <w:sz w:val="10"/>
                      </w:rPr>
                      <w:t>Detailhandel (profit), Ansatte (løn)</w:t>
                    </w:r>
                  </w:p>
                </w:txbxContent>
              </v:textbox>
              <w10:wrap type="none"/>
            </v:shape>
            <v:shape style="position:absolute;left:7719;top:4160;width:1803;height:256" type="#_x0000_t202" filled="false" stroked="false">
              <v:textbox inset="0,0,0,0">
                <w:txbxContent>
                  <w:p>
                    <w:pPr>
                      <w:spacing w:line="137" w:lineRule="exact" w:before="0"/>
                      <w:ind w:left="0" w:right="18" w:firstLine="0"/>
                      <w:jc w:val="center"/>
                      <w:rPr>
                        <w:rFonts w:ascii="Calibri" w:hAnsi="Calibri"/>
                        <w:sz w:val="13"/>
                      </w:rPr>
                    </w:pPr>
                    <w:r>
                      <w:rPr>
                        <w:rFonts w:ascii="Calibri" w:hAnsi="Calibri"/>
                        <w:b/>
                        <w:color w:val="053579"/>
                        <w:w w:val="105"/>
                        <w:sz w:val="13"/>
                      </w:rPr>
                      <w:t>IGANGSAT: </w:t>
                    </w:r>
                    <w:r>
                      <w:rPr>
                        <w:rFonts w:ascii="Calibri" w:hAnsi="Calibri"/>
                        <w:color w:val="053579"/>
                        <w:w w:val="105"/>
                        <w:sz w:val="13"/>
                      </w:rPr>
                      <w:t>Medarbejderindkøb</w:t>
                    </w:r>
                  </w:p>
                  <w:p>
                    <w:pPr>
                      <w:spacing w:line="119" w:lineRule="exact" w:before="0"/>
                      <w:ind w:left="0" w:right="19" w:firstLine="0"/>
                      <w:jc w:val="center"/>
                      <w:rPr>
                        <w:rFonts w:ascii="Calibri" w:hAnsi="Calibri"/>
                        <w:i/>
                        <w:sz w:val="10"/>
                      </w:rPr>
                    </w:pPr>
                    <w:r>
                      <w:rPr>
                        <w:rFonts w:ascii="Calibri" w:hAnsi="Calibri"/>
                        <w:i/>
                        <w:color w:val="7E7E7E"/>
                        <w:sz w:val="10"/>
                      </w:rPr>
                      <w:t>Detailhandel (profit), Ansatte (løn)</w:t>
                    </w:r>
                  </w:p>
                </w:txbxContent>
              </v:textbox>
              <w10:wrap type="none"/>
            </v:shape>
            <v:shape style="position:absolute;left:5310;top:4703;width:4252;height:405" type="#_x0000_t202" filled="false" stroked="false">
              <v:textbox inset="0,0,0,0">
                <w:txbxContent>
                  <w:p>
                    <w:pPr>
                      <w:tabs>
                        <w:tab w:pos="2253" w:val="left" w:leader="none"/>
                      </w:tabs>
                      <w:spacing w:line="140" w:lineRule="exact" w:before="0"/>
                      <w:ind w:left="0" w:right="60" w:firstLine="0"/>
                      <w:jc w:val="center"/>
                      <w:rPr>
                        <w:rFonts w:ascii="Calibri"/>
                        <w:b/>
                        <w:sz w:val="13"/>
                      </w:rPr>
                    </w:pPr>
                    <w:r>
                      <w:rPr>
                        <w:rFonts w:ascii="Calibri"/>
                        <w:b/>
                        <w:color w:val="053579"/>
                        <w:w w:val="105"/>
                        <w:sz w:val="13"/>
                      </w:rPr>
                      <w:t>Markedsafsmitning</w:t>
                      <w:tab/>
                      <w:t>Markedsafsmitning</w:t>
                    </w:r>
                  </w:p>
                  <w:p>
                    <w:pPr>
                      <w:tabs>
                        <w:tab w:pos="2191" w:val="left" w:leader="none"/>
                      </w:tabs>
                      <w:spacing w:line="132" w:lineRule="exact" w:before="0"/>
                      <w:ind w:left="0" w:right="0" w:firstLine="0"/>
                      <w:jc w:val="center"/>
                      <w:rPr>
                        <w:rFonts w:ascii="Calibri"/>
                        <w:sz w:val="10"/>
                      </w:rPr>
                    </w:pPr>
                    <w:r>
                      <w:rPr>
                        <w:rFonts w:ascii="Calibri"/>
                        <w:color w:val="053579"/>
                        <w:w w:val="105"/>
                        <w:sz w:val="11"/>
                      </w:rPr>
                      <w:t>(Gevinster</w:t>
                    </w:r>
                    <w:r>
                      <w:rPr>
                        <w:rFonts w:ascii="Calibri"/>
                        <w:color w:val="053579"/>
                        <w:spacing w:val="-10"/>
                        <w:w w:val="105"/>
                        <w:sz w:val="11"/>
                      </w:rPr>
                      <w:t> </w:t>
                    </w:r>
                    <w:r>
                      <w:rPr>
                        <w:rFonts w:ascii="Calibri"/>
                        <w:color w:val="053579"/>
                        <w:w w:val="105"/>
                        <w:sz w:val="11"/>
                      </w:rPr>
                      <w:t>ved</w:t>
                    </w:r>
                    <w:r>
                      <w:rPr>
                        <w:rFonts w:ascii="Calibri"/>
                        <w:color w:val="053579"/>
                        <w:spacing w:val="-12"/>
                        <w:w w:val="105"/>
                        <w:sz w:val="11"/>
                      </w:rPr>
                      <w:t> </w:t>
                    </w:r>
                    <w:r>
                      <w:rPr>
                        <w:rFonts w:ascii="Calibri"/>
                        <w:color w:val="053579"/>
                        <w:w w:val="105"/>
                        <w:sz w:val="11"/>
                      </w:rPr>
                      <w:t>kommercialisering</w:t>
                    </w:r>
                    <w:r>
                      <w:rPr>
                        <w:rFonts w:ascii="Calibri"/>
                        <w:color w:val="053579"/>
                        <w:spacing w:val="-7"/>
                        <w:w w:val="105"/>
                        <w:sz w:val="11"/>
                      </w:rPr>
                      <w:t> </w:t>
                    </w:r>
                    <w:r>
                      <w:rPr>
                        <w:rFonts w:ascii="Calibri"/>
                        <w:color w:val="053579"/>
                        <w:w w:val="105"/>
                        <w:sz w:val="11"/>
                      </w:rPr>
                      <w:t>&amp;</w:t>
                    </w:r>
                    <w:r>
                      <w:rPr>
                        <w:rFonts w:ascii="Calibri"/>
                        <w:color w:val="053579"/>
                        <w:spacing w:val="-13"/>
                        <w:w w:val="105"/>
                        <w:sz w:val="11"/>
                      </w:rPr>
                      <w:t> </w:t>
                    </w:r>
                    <w:r>
                      <w:rPr>
                        <w:rFonts w:ascii="Calibri"/>
                        <w:color w:val="053579"/>
                        <w:w w:val="105"/>
                        <w:sz w:val="11"/>
                      </w:rPr>
                      <w:t>brug)</w:t>
                      <w:tab/>
                    </w:r>
                    <w:r>
                      <w:rPr>
                        <w:rFonts w:ascii="Calibri"/>
                        <w:color w:val="053579"/>
                        <w:w w:val="105"/>
                        <w:sz w:val="10"/>
                      </w:rPr>
                      <w:t>(Kommercielt paradigme &amp;</w:t>
                    </w:r>
                    <w:r>
                      <w:rPr>
                        <w:rFonts w:ascii="Calibri"/>
                        <w:color w:val="053579"/>
                        <w:spacing w:val="-3"/>
                        <w:w w:val="105"/>
                        <w:sz w:val="10"/>
                      </w:rPr>
                      <w:t> </w:t>
                    </w:r>
                    <w:r>
                      <w:rPr>
                        <w:rFonts w:ascii="Calibri"/>
                        <w:color w:val="053579"/>
                        <w:w w:val="105"/>
                        <w:sz w:val="10"/>
                      </w:rPr>
                      <w:t>samfundsudvikling)</w:t>
                    </w:r>
                  </w:p>
                  <w:p>
                    <w:pPr>
                      <w:tabs>
                        <w:tab w:pos="2268" w:val="left" w:leader="none"/>
                      </w:tabs>
                      <w:spacing w:line="133" w:lineRule="exact" w:before="0"/>
                      <w:ind w:left="-1" w:right="49" w:firstLine="0"/>
                      <w:jc w:val="center"/>
                      <w:rPr>
                        <w:rFonts w:ascii="Calibri" w:hAnsi="Calibri"/>
                        <w:i/>
                        <w:sz w:val="11"/>
                      </w:rPr>
                    </w:pPr>
                    <w:r>
                      <w:rPr>
                        <w:rFonts w:ascii="Calibri" w:hAnsi="Calibri"/>
                        <w:i/>
                        <w:color w:val="7E7E7E"/>
                        <w:sz w:val="11"/>
                      </w:rPr>
                      <w:t>Brugere (produktivitet),</w:t>
                    </w:r>
                    <w:r>
                      <w:rPr>
                        <w:rFonts w:ascii="Calibri" w:hAnsi="Calibri"/>
                        <w:i/>
                        <w:color w:val="7E7E7E"/>
                        <w:spacing w:val="3"/>
                        <w:sz w:val="11"/>
                      </w:rPr>
                      <w:t> </w:t>
                    </w:r>
                    <w:r>
                      <w:rPr>
                        <w:rFonts w:ascii="Calibri" w:hAnsi="Calibri"/>
                        <w:i/>
                        <w:color w:val="7E7E7E"/>
                        <w:sz w:val="11"/>
                      </w:rPr>
                      <w:t>Samfund</w:t>
                    </w:r>
                    <w:r>
                      <w:rPr>
                        <w:rFonts w:ascii="Calibri" w:hAnsi="Calibri"/>
                        <w:i/>
                        <w:color w:val="7E7E7E"/>
                        <w:spacing w:val="3"/>
                        <w:sz w:val="11"/>
                      </w:rPr>
                      <w:t> </w:t>
                    </w:r>
                    <w:r>
                      <w:rPr>
                        <w:rFonts w:ascii="Calibri" w:hAnsi="Calibri"/>
                        <w:i/>
                        <w:color w:val="7E7E7E"/>
                        <w:sz w:val="11"/>
                      </w:rPr>
                      <w:t>(velfærd)</w:t>
                      <w:tab/>
                      <w:t>Brugere (produktivitet),  Samfund</w:t>
                    </w:r>
                    <w:r>
                      <w:rPr>
                        <w:rFonts w:ascii="Calibri" w:hAnsi="Calibri"/>
                        <w:i/>
                        <w:color w:val="7E7E7E"/>
                        <w:spacing w:val="-9"/>
                        <w:sz w:val="11"/>
                      </w:rPr>
                      <w:t> </w:t>
                    </w:r>
                    <w:r>
                      <w:rPr>
                        <w:rFonts w:ascii="Calibri" w:hAnsi="Calibri"/>
                        <w:i/>
                        <w:color w:val="7E7E7E"/>
                        <w:sz w:val="11"/>
                      </w:rPr>
                      <w:t>(velfærd)</w:t>
                    </w:r>
                  </w:p>
                </w:txbxContent>
              </v:textbox>
              <w10:wrap type="none"/>
            </v:shape>
            <v:shape style="position:absolute;left:1869;top:5243;width:916;height:383" type="#_x0000_t202" filled="false" stroked="false">
              <v:textbox inset="0,0,0,0">
                <w:txbxContent>
                  <w:p>
                    <w:pPr>
                      <w:spacing w:line="176" w:lineRule="exact" w:before="0"/>
                      <w:ind w:left="0" w:right="0" w:firstLine="0"/>
                      <w:jc w:val="left"/>
                      <w:rPr>
                        <w:rFonts w:ascii="Calibri"/>
                        <w:b/>
                        <w:sz w:val="17"/>
                      </w:rPr>
                    </w:pPr>
                    <w:r>
                      <w:rPr>
                        <w:rFonts w:ascii="Calibri"/>
                        <w:b/>
                        <w:color w:val="053579"/>
                        <w:sz w:val="17"/>
                      </w:rPr>
                      <w:t>Afsmittende</w:t>
                    </w:r>
                  </w:p>
                  <w:p>
                    <w:pPr>
                      <w:spacing w:line="205" w:lineRule="exact" w:before="1"/>
                      <w:ind w:left="0" w:right="0" w:firstLine="0"/>
                      <w:jc w:val="left"/>
                      <w:rPr>
                        <w:rFonts w:ascii="Calibri"/>
                        <w:b/>
                        <w:sz w:val="17"/>
                      </w:rPr>
                    </w:pPr>
                    <w:r>
                      <w:rPr>
                        <w:rFonts w:ascii="Calibri"/>
                        <w:b/>
                        <w:color w:val="053579"/>
                        <w:w w:val="105"/>
                        <w:sz w:val="17"/>
                      </w:rPr>
                      <w:t>virkning</w:t>
                    </w:r>
                  </w:p>
                </w:txbxContent>
              </v:textbox>
              <w10:wrap type="none"/>
            </v:shape>
            <v:shape style="position:absolute;left:3136;top:5229;width:1803;height:405" type="#_x0000_t202" filled="false" stroked="false">
              <v:textbox inset="0,0,0,0">
                <w:txbxContent>
                  <w:p>
                    <w:pPr>
                      <w:spacing w:line="138" w:lineRule="exact" w:before="0"/>
                      <w:ind w:left="0" w:right="17" w:firstLine="0"/>
                      <w:jc w:val="center"/>
                      <w:rPr>
                        <w:rFonts w:ascii="Calibri"/>
                        <w:b/>
                        <w:sz w:val="13"/>
                      </w:rPr>
                    </w:pPr>
                    <w:r>
                      <w:rPr>
                        <w:rFonts w:ascii="Calibri"/>
                        <w:b/>
                        <w:color w:val="053579"/>
                        <w:w w:val="105"/>
                        <w:sz w:val="13"/>
                      </w:rPr>
                      <w:t>Vidensafsmitning</w:t>
                    </w:r>
                  </w:p>
                  <w:p>
                    <w:pPr>
                      <w:spacing w:line="134" w:lineRule="exact" w:before="0"/>
                      <w:ind w:left="0" w:right="19" w:firstLine="0"/>
                      <w:jc w:val="center"/>
                      <w:rPr>
                        <w:rFonts w:ascii="Calibri" w:hAnsi="Calibri"/>
                        <w:sz w:val="11"/>
                      </w:rPr>
                    </w:pPr>
                    <w:r>
                      <w:rPr>
                        <w:rFonts w:ascii="Calibri" w:hAnsi="Calibri"/>
                        <w:color w:val="053579"/>
                        <w:sz w:val="11"/>
                      </w:rPr>
                      <w:t>(Teknologioverførsel: rum og</w:t>
                    </w:r>
                    <w:r>
                      <w:rPr>
                        <w:rFonts w:ascii="Calibri" w:hAnsi="Calibri"/>
                        <w:color w:val="053579"/>
                        <w:spacing w:val="-7"/>
                        <w:sz w:val="11"/>
                      </w:rPr>
                      <w:t> </w:t>
                    </w:r>
                    <w:r>
                      <w:rPr>
                        <w:rFonts w:ascii="Calibri" w:hAnsi="Calibri"/>
                        <w:color w:val="053579"/>
                        <w:sz w:val="11"/>
                      </w:rPr>
                      <w:t>ikke-rum)</w:t>
                    </w:r>
                  </w:p>
                  <w:p>
                    <w:pPr>
                      <w:spacing w:line="133" w:lineRule="exact" w:before="0"/>
                      <w:ind w:left="0" w:right="18" w:firstLine="0"/>
                      <w:jc w:val="center"/>
                      <w:rPr>
                        <w:rFonts w:ascii="Calibri"/>
                        <w:i/>
                        <w:sz w:val="11"/>
                      </w:rPr>
                    </w:pPr>
                    <w:r>
                      <w:rPr>
                        <w:rFonts w:ascii="Calibri"/>
                        <w:i/>
                        <w:color w:val="7E7E7E"/>
                        <w:sz w:val="11"/>
                      </w:rPr>
                      <w:t>Brugere, Ansatte (produktivitet)</w:t>
                    </w:r>
                  </w:p>
                </w:txbxContent>
              </v:textbox>
              <w10:wrap type="none"/>
            </v:shape>
            <v:shape style="position:absolute;left:5386;top:5230;width:1803;height:405" type="#_x0000_t202" filled="false" stroked="false">
              <v:textbox inset="0,0,0,0">
                <w:txbxContent>
                  <w:p>
                    <w:pPr>
                      <w:spacing w:line="138" w:lineRule="exact" w:before="0"/>
                      <w:ind w:left="0" w:right="17" w:firstLine="0"/>
                      <w:jc w:val="center"/>
                      <w:rPr>
                        <w:rFonts w:ascii="Calibri"/>
                        <w:b/>
                        <w:sz w:val="13"/>
                      </w:rPr>
                    </w:pPr>
                    <w:r>
                      <w:rPr>
                        <w:rFonts w:ascii="Calibri"/>
                        <w:b/>
                        <w:color w:val="053579"/>
                        <w:w w:val="105"/>
                        <w:sz w:val="13"/>
                      </w:rPr>
                      <w:t>Vidensafsmitning</w:t>
                    </w:r>
                  </w:p>
                  <w:p>
                    <w:pPr>
                      <w:spacing w:line="134" w:lineRule="exact" w:before="0"/>
                      <w:ind w:left="0" w:right="18" w:firstLine="0"/>
                      <w:jc w:val="center"/>
                      <w:rPr>
                        <w:rFonts w:ascii="Calibri" w:hAnsi="Calibri"/>
                        <w:sz w:val="11"/>
                      </w:rPr>
                    </w:pPr>
                    <w:r>
                      <w:rPr>
                        <w:rFonts w:ascii="Calibri" w:hAnsi="Calibri"/>
                        <w:color w:val="053579"/>
                        <w:sz w:val="11"/>
                      </w:rPr>
                      <w:t>(Teknologioverførsel: rum og ikke-rum)</w:t>
                    </w:r>
                  </w:p>
                  <w:p>
                    <w:pPr>
                      <w:spacing w:line="133" w:lineRule="exact" w:before="0"/>
                      <w:ind w:left="0" w:right="18" w:firstLine="0"/>
                      <w:jc w:val="center"/>
                      <w:rPr>
                        <w:rFonts w:ascii="Calibri"/>
                        <w:i/>
                        <w:sz w:val="11"/>
                      </w:rPr>
                    </w:pPr>
                    <w:r>
                      <w:rPr>
                        <w:rFonts w:ascii="Calibri"/>
                        <w:i/>
                        <w:color w:val="7E7E7E"/>
                        <w:sz w:val="11"/>
                      </w:rPr>
                      <w:t>Brugere, Ansatte (produktivitet)</w:t>
                    </w:r>
                  </w:p>
                </w:txbxContent>
              </v:textbox>
              <w10:wrap type="none"/>
            </v:shape>
            <v:shape style="position:absolute;left:7638;top:5228;width:1803;height:406" type="#_x0000_t202" filled="false" stroked="false">
              <v:textbox inset="0,0,0,0">
                <w:txbxContent>
                  <w:p>
                    <w:pPr>
                      <w:spacing w:line="138" w:lineRule="exact" w:before="0"/>
                      <w:ind w:left="0" w:right="17" w:firstLine="0"/>
                      <w:jc w:val="center"/>
                      <w:rPr>
                        <w:rFonts w:ascii="Calibri"/>
                        <w:b/>
                        <w:sz w:val="13"/>
                      </w:rPr>
                    </w:pPr>
                    <w:r>
                      <w:rPr>
                        <w:rFonts w:ascii="Calibri"/>
                        <w:b/>
                        <w:color w:val="053579"/>
                        <w:w w:val="105"/>
                        <w:sz w:val="13"/>
                      </w:rPr>
                      <w:t>Vidensafsmitning</w:t>
                    </w:r>
                  </w:p>
                  <w:p>
                    <w:pPr>
                      <w:spacing w:line="134" w:lineRule="exact" w:before="0"/>
                      <w:ind w:left="0" w:right="18" w:firstLine="0"/>
                      <w:jc w:val="center"/>
                      <w:rPr>
                        <w:rFonts w:ascii="Calibri" w:hAnsi="Calibri"/>
                        <w:sz w:val="11"/>
                      </w:rPr>
                    </w:pPr>
                    <w:r>
                      <w:rPr>
                        <w:rFonts w:ascii="Calibri" w:hAnsi="Calibri"/>
                        <w:color w:val="053579"/>
                        <w:sz w:val="11"/>
                      </w:rPr>
                      <w:t>(Teknologioverførsel: rum og ikke-rum)</w:t>
                    </w:r>
                  </w:p>
                  <w:p>
                    <w:pPr>
                      <w:spacing w:line="133" w:lineRule="exact" w:before="0"/>
                      <w:ind w:left="0" w:right="18" w:firstLine="0"/>
                      <w:jc w:val="center"/>
                      <w:rPr>
                        <w:rFonts w:ascii="Calibri"/>
                        <w:i/>
                        <w:sz w:val="11"/>
                      </w:rPr>
                    </w:pPr>
                    <w:r>
                      <w:rPr>
                        <w:rFonts w:ascii="Calibri"/>
                        <w:i/>
                        <w:color w:val="7E7E7E"/>
                        <w:sz w:val="11"/>
                      </w:rPr>
                      <w:t>Brugere, Ansatte (produktivitet)</w:t>
                    </w:r>
                  </w:p>
                </w:txbxContent>
              </v:textbox>
              <w10:wrap type="none"/>
            </v:shape>
            <v:shape style="position:absolute;left:9781;top:5328;width:620;height:261" type="#_x0000_t202" filled="false" stroked="false">
              <v:textbox inset="0,0,0,0">
                <w:txbxContent>
                  <w:p>
                    <w:pPr>
                      <w:spacing w:line="192" w:lineRule="auto" w:before="0"/>
                      <w:ind w:left="0" w:right="0" w:firstLine="0"/>
                      <w:jc w:val="left"/>
                      <w:rPr>
                        <w:rFonts w:ascii="Calibri"/>
                        <w:b/>
                        <w:sz w:val="22"/>
                      </w:rPr>
                    </w:pPr>
                    <w:r>
                      <w:rPr>
                        <w:rFonts w:ascii="Calibri"/>
                        <w:b/>
                        <w:color w:val="053579"/>
                        <w:sz w:val="22"/>
                      </w:rPr>
                      <w:t>IA(</w:t>
                    </w:r>
                    <w:r>
                      <w:rPr>
                        <w:rFonts w:ascii="Calibri"/>
                        <w:b/>
                        <w:color w:val="622422"/>
                        <w:sz w:val="22"/>
                      </w:rPr>
                      <w:t>kr</w:t>
                    </w:r>
                    <w:r>
                      <w:rPr>
                        <w:rFonts w:ascii="Calibri"/>
                        <w:b/>
                        <w:color w:val="622422"/>
                        <w:position w:val="-5"/>
                        <w:sz w:val="15"/>
                      </w:rPr>
                      <w:t>o</w:t>
                    </w:r>
                    <w:r>
                      <w:rPr>
                        <w:rFonts w:ascii="Calibri"/>
                        <w:b/>
                        <w:color w:val="053579"/>
                        <w:sz w:val="22"/>
                      </w:rPr>
                      <w:t>)</w:t>
                    </w:r>
                  </w:p>
                </w:txbxContent>
              </v:textbox>
              <w10:wrap type="none"/>
            </v:shape>
            <v:shape style="position:absolute;left:3201;top:5762;width:1672;height:406" type="#_x0000_t202" filled="false" stroked="false">
              <v:textbox inset="0,0,0,0">
                <w:txbxContent>
                  <w:p>
                    <w:pPr>
                      <w:spacing w:line="138" w:lineRule="exact" w:before="0"/>
                      <w:ind w:left="0" w:right="16" w:firstLine="0"/>
                      <w:jc w:val="center"/>
                      <w:rPr>
                        <w:rFonts w:ascii="Calibri" w:hAnsi="Calibri"/>
                        <w:b/>
                        <w:sz w:val="13"/>
                      </w:rPr>
                    </w:pPr>
                    <w:r>
                      <w:rPr>
                        <w:rFonts w:ascii="Calibri" w:hAnsi="Calibri"/>
                        <w:b/>
                        <w:color w:val="053579"/>
                        <w:w w:val="105"/>
                        <w:sz w:val="13"/>
                      </w:rPr>
                      <w:t>Netværksafsmitning</w:t>
                    </w:r>
                  </w:p>
                  <w:p>
                    <w:pPr>
                      <w:spacing w:line="134" w:lineRule="exact" w:before="0"/>
                      <w:ind w:left="0" w:right="18" w:firstLine="0"/>
                      <w:jc w:val="center"/>
                      <w:rPr>
                        <w:rFonts w:ascii="Calibri" w:hAnsi="Calibri"/>
                        <w:sz w:val="11"/>
                      </w:rPr>
                    </w:pPr>
                    <w:r>
                      <w:rPr>
                        <w:rFonts w:ascii="Calibri" w:hAnsi="Calibri"/>
                        <w:color w:val="053579"/>
                        <w:sz w:val="11"/>
                      </w:rPr>
                      <w:t>(Kritisk masse og</w:t>
                    </w:r>
                    <w:r>
                      <w:rPr>
                        <w:rFonts w:ascii="Calibri" w:hAnsi="Calibri"/>
                        <w:color w:val="053579"/>
                        <w:spacing w:val="12"/>
                        <w:sz w:val="11"/>
                      </w:rPr>
                      <w:t> </w:t>
                    </w:r>
                    <w:r>
                      <w:rPr>
                        <w:rFonts w:ascii="Calibri" w:hAnsi="Calibri"/>
                        <w:color w:val="053579"/>
                        <w:sz w:val="11"/>
                      </w:rPr>
                      <w:t>netværkseffekter)</w:t>
                    </w:r>
                  </w:p>
                  <w:p>
                    <w:pPr>
                      <w:spacing w:line="133" w:lineRule="exact" w:before="0"/>
                      <w:ind w:left="0" w:right="18" w:firstLine="0"/>
                      <w:jc w:val="center"/>
                      <w:rPr>
                        <w:rFonts w:ascii="Calibri"/>
                        <w:i/>
                        <w:sz w:val="11"/>
                      </w:rPr>
                    </w:pPr>
                    <w:r>
                      <w:rPr>
                        <w:rFonts w:ascii="Calibri"/>
                        <w:i/>
                        <w:color w:val="7E7E7E"/>
                        <w:sz w:val="11"/>
                      </w:rPr>
                      <w:t>Teknologibrugere,  generelle</w:t>
                    </w:r>
                    <w:r>
                      <w:rPr>
                        <w:rFonts w:ascii="Calibri"/>
                        <w:i/>
                        <w:color w:val="7E7E7E"/>
                        <w:spacing w:val="-9"/>
                        <w:sz w:val="11"/>
                      </w:rPr>
                      <w:t> </w:t>
                    </w:r>
                    <w:r>
                      <w:rPr>
                        <w:rFonts w:ascii="Calibri"/>
                        <w:i/>
                        <w:color w:val="7E7E7E"/>
                        <w:sz w:val="11"/>
                      </w:rPr>
                      <w:t>brugere</w:t>
                    </w:r>
                  </w:p>
                </w:txbxContent>
              </v:textbox>
              <w10:wrap type="none"/>
            </v:shape>
            <v:shape style="position:absolute;left:5451;top:5763;width:1672;height:405" type="#_x0000_t202" filled="false" stroked="false">
              <v:textbox inset="0,0,0,0">
                <w:txbxContent>
                  <w:p>
                    <w:pPr>
                      <w:spacing w:line="138" w:lineRule="exact" w:before="0"/>
                      <w:ind w:left="0" w:right="17" w:firstLine="0"/>
                      <w:jc w:val="center"/>
                      <w:rPr>
                        <w:rFonts w:ascii="Calibri" w:hAnsi="Calibri"/>
                        <w:b/>
                        <w:sz w:val="13"/>
                      </w:rPr>
                    </w:pPr>
                    <w:r>
                      <w:rPr>
                        <w:rFonts w:ascii="Calibri" w:hAnsi="Calibri"/>
                        <w:b/>
                        <w:color w:val="053579"/>
                        <w:w w:val="105"/>
                        <w:sz w:val="13"/>
                      </w:rPr>
                      <w:t>Netværksafsmitning</w:t>
                    </w:r>
                  </w:p>
                  <w:p>
                    <w:pPr>
                      <w:spacing w:line="134" w:lineRule="exact" w:before="0"/>
                      <w:ind w:left="0" w:right="18" w:firstLine="0"/>
                      <w:jc w:val="center"/>
                      <w:rPr>
                        <w:rFonts w:ascii="Calibri" w:hAnsi="Calibri"/>
                        <w:sz w:val="11"/>
                      </w:rPr>
                    </w:pPr>
                    <w:r>
                      <w:rPr>
                        <w:rFonts w:ascii="Calibri" w:hAnsi="Calibri"/>
                        <w:color w:val="053579"/>
                        <w:sz w:val="11"/>
                      </w:rPr>
                      <w:t>(Kritisk masse og</w:t>
                    </w:r>
                    <w:r>
                      <w:rPr>
                        <w:rFonts w:ascii="Calibri" w:hAnsi="Calibri"/>
                        <w:color w:val="053579"/>
                        <w:spacing w:val="12"/>
                        <w:sz w:val="11"/>
                      </w:rPr>
                      <w:t> </w:t>
                    </w:r>
                    <w:r>
                      <w:rPr>
                        <w:rFonts w:ascii="Calibri" w:hAnsi="Calibri"/>
                        <w:color w:val="053579"/>
                        <w:sz w:val="11"/>
                      </w:rPr>
                      <w:t>netværkseffekter)</w:t>
                    </w:r>
                  </w:p>
                  <w:p>
                    <w:pPr>
                      <w:spacing w:line="133" w:lineRule="exact" w:before="0"/>
                      <w:ind w:left="-1" w:right="18" w:firstLine="0"/>
                      <w:jc w:val="center"/>
                      <w:rPr>
                        <w:rFonts w:ascii="Calibri"/>
                        <w:i/>
                        <w:sz w:val="11"/>
                      </w:rPr>
                    </w:pPr>
                    <w:r>
                      <w:rPr>
                        <w:rFonts w:ascii="Calibri"/>
                        <w:i/>
                        <w:color w:val="7E7E7E"/>
                        <w:sz w:val="11"/>
                      </w:rPr>
                      <w:t>Teknologibrugere,  generelle</w:t>
                    </w:r>
                    <w:r>
                      <w:rPr>
                        <w:rFonts w:ascii="Calibri"/>
                        <w:i/>
                        <w:color w:val="7E7E7E"/>
                        <w:spacing w:val="-9"/>
                        <w:sz w:val="11"/>
                      </w:rPr>
                      <w:t> </w:t>
                    </w:r>
                    <w:r>
                      <w:rPr>
                        <w:rFonts w:ascii="Calibri"/>
                        <w:i/>
                        <w:color w:val="7E7E7E"/>
                        <w:sz w:val="11"/>
                      </w:rPr>
                      <w:t>brugere</w:t>
                    </w:r>
                  </w:p>
                </w:txbxContent>
              </v:textbox>
              <w10:wrap type="none"/>
            </v:shape>
            <v:shape style="position:absolute;left:7703;top:5761;width:1672;height:405" type="#_x0000_t202" filled="false" stroked="false">
              <v:textbox inset="0,0,0,0">
                <w:txbxContent>
                  <w:p>
                    <w:pPr>
                      <w:spacing w:line="138" w:lineRule="exact" w:before="0"/>
                      <w:ind w:left="0" w:right="17" w:firstLine="0"/>
                      <w:jc w:val="center"/>
                      <w:rPr>
                        <w:rFonts w:ascii="Calibri" w:hAnsi="Calibri"/>
                        <w:b/>
                        <w:sz w:val="13"/>
                      </w:rPr>
                    </w:pPr>
                    <w:r>
                      <w:rPr>
                        <w:rFonts w:ascii="Calibri" w:hAnsi="Calibri"/>
                        <w:b/>
                        <w:color w:val="053579"/>
                        <w:w w:val="105"/>
                        <w:sz w:val="13"/>
                      </w:rPr>
                      <w:t>Netværksafsmitning</w:t>
                    </w:r>
                  </w:p>
                  <w:p>
                    <w:pPr>
                      <w:spacing w:line="134" w:lineRule="exact" w:before="0"/>
                      <w:ind w:left="0" w:right="18" w:firstLine="0"/>
                      <w:jc w:val="center"/>
                      <w:rPr>
                        <w:rFonts w:ascii="Calibri" w:hAnsi="Calibri"/>
                        <w:sz w:val="11"/>
                      </w:rPr>
                    </w:pPr>
                    <w:r>
                      <w:rPr>
                        <w:rFonts w:ascii="Calibri" w:hAnsi="Calibri"/>
                        <w:color w:val="053579"/>
                        <w:sz w:val="11"/>
                      </w:rPr>
                      <w:t>(Kritisk masse og</w:t>
                    </w:r>
                    <w:r>
                      <w:rPr>
                        <w:rFonts w:ascii="Calibri" w:hAnsi="Calibri"/>
                        <w:color w:val="053579"/>
                        <w:spacing w:val="12"/>
                        <w:sz w:val="11"/>
                      </w:rPr>
                      <w:t> </w:t>
                    </w:r>
                    <w:r>
                      <w:rPr>
                        <w:rFonts w:ascii="Calibri" w:hAnsi="Calibri"/>
                        <w:color w:val="053579"/>
                        <w:sz w:val="11"/>
                      </w:rPr>
                      <w:t>netværkseffekter)</w:t>
                    </w:r>
                  </w:p>
                  <w:p>
                    <w:pPr>
                      <w:spacing w:line="133" w:lineRule="exact" w:before="0"/>
                      <w:ind w:left="0" w:right="18" w:firstLine="0"/>
                      <w:jc w:val="center"/>
                      <w:rPr>
                        <w:rFonts w:ascii="Calibri"/>
                        <w:i/>
                        <w:sz w:val="11"/>
                      </w:rPr>
                    </w:pPr>
                    <w:r>
                      <w:rPr>
                        <w:rFonts w:ascii="Calibri"/>
                        <w:i/>
                        <w:color w:val="7E7E7E"/>
                        <w:sz w:val="11"/>
                      </w:rPr>
                      <w:t>Teknologibrugere,  generelle</w:t>
                    </w:r>
                    <w:r>
                      <w:rPr>
                        <w:rFonts w:ascii="Calibri"/>
                        <w:i/>
                        <w:color w:val="7E7E7E"/>
                        <w:spacing w:val="-9"/>
                        <w:sz w:val="11"/>
                      </w:rPr>
                      <w:t> </w:t>
                    </w:r>
                    <w:r>
                      <w:rPr>
                        <w:rFonts w:ascii="Calibri"/>
                        <w:i/>
                        <w:color w:val="7E7E7E"/>
                        <w:sz w:val="11"/>
                      </w:rPr>
                      <w:t>brugere</w:t>
                    </w:r>
                  </w:p>
                </w:txbxContent>
              </v:textbox>
              <w10:wrap type="none"/>
            </v:shape>
            <v:shape style="position:absolute;left:1869;top:6577;width:665;height:175" type="#_x0000_t202" filled="false" stroked="false">
              <v:textbox inset="0,0,0,0">
                <w:txbxContent>
                  <w:p>
                    <w:pPr>
                      <w:spacing w:line="174" w:lineRule="exact" w:before="0"/>
                      <w:ind w:left="0" w:right="0" w:firstLine="0"/>
                      <w:jc w:val="left"/>
                      <w:rPr>
                        <w:rFonts w:ascii="Calibri"/>
                        <w:b/>
                        <w:sz w:val="17"/>
                      </w:rPr>
                    </w:pPr>
                    <w:r>
                      <w:rPr>
                        <w:rFonts w:ascii="Calibri"/>
                        <w:b/>
                        <w:color w:val="053579"/>
                        <w:sz w:val="17"/>
                      </w:rPr>
                      <w:t>Samfund</w:t>
                    </w:r>
                  </w:p>
                </w:txbxContent>
              </v:textbox>
              <w10:wrap type="none"/>
            </v:shape>
            <v:shape style="position:absolute;left:9791;top:6532;width:599;height:260" type="#_x0000_t202" filled="false" stroked="false">
              <v:textbox inset="0,0,0,0">
                <w:txbxContent>
                  <w:p>
                    <w:pPr>
                      <w:spacing w:line="192" w:lineRule="auto" w:before="0"/>
                      <w:ind w:left="0" w:right="0" w:firstLine="0"/>
                      <w:jc w:val="left"/>
                      <w:rPr>
                        <w:rFonts w:ascii="Calibri"/>
                        <w:b/>
                        <w:sz w:val="22"/>
                      </w:rPr>
                    </w:pPr>
                    <w:r>
                      <w:rPr>
                        <w:rFonts w:ascii="Calibri"/>
                        <w:b/>
                        <w:color w:val="053579"/>
                        <w:sz w:val="22"/>
                      </w:rPr>
                      <w:t>IA(</w:t>
                    </w:r>
                    <w:r>
                      <w:rPr>
                        <w:rFonts w:ascii="Calibri"/>
                        <w:b/>
                        <w:color w:val="622422"/>
                        <w:sz w:val="22"/>
                      </w:rPr>
                      <w:t>kr</w:t>
                    </w:r>
                    <w:r>
                      <w:rPr>
                        <w:rFonts w:ascii="Calibri"/>
                        <w:b/>
                        <w:color w:val="622422"/>
                        <w:position w:val="-5"/>
                        <w:sz w:val="15"/>
                      </w:rPr>
                      <w:t>s</w:t>
                    </w:r>
                    <w:r>
                      <w:rPr>
                        <w:rFonts w:ascii="Calibri"/>
                        <w:b/>
                        <w:color w:val="053579"/>
                        <w:sz w:val="22"/>
                      </w:rPr>
                      <w:t>)</w:t>
                    </w:r>
                  </w:p>
                </w:txbxContent>
              </v:textbox>
              <w10:wrap type="none"/>
            </v:shape>
            <v:shape style="position:absolute;left:1831;top:6929;width:1520;height:100" type="#_x0000_t202" filled="false" stroked="false">
              <v:textbox inset="0,0,0,0">
                <w:txbxContent>
                  <w:p>
                    <w:pPr>
                      <w:spacing w:line="100" w:lineRule="exact" w:before="0"/>
                      <w:ind w:left="0" w:right="0" w:firstLine="0"/>
                      <w:jc w:val="left"/>
                      <w:rPr>
                        <w:rFonts w:ascii="Calibri" w:hAnsi="Calibri"/>
                        <w:sz w:val="10"/>
                      </w:rPr>
                    </w:pPr>
                    <w:r>
                      <w:rPr>
                        <w:rFonts w:ascii="Calibri" w:hAnsi="Calibri"/>
                        <w:color w:val="7E7E7E"/>
                        <w:sz w:val="10"/>
                      </w:rPr>
                      <w:t>Copyright © 2016 London Economics</w:t>
                    </w:r>
                  </w:p>
                </w:txbxContent>
              </v:textbox>
              <w10:wrap type="none"/>
            </v:shape>
            <v:shape style="position:absolute;left:7493;top:6455;width:2080;height:388" type="#_x0000_t202" filled="true" fillcolor="#ffffff" stroked="false">
              <v:textbox inset="0,0,0,0">
                <w:txbxContent>
                  <w:p>
                    <w:pPr>
                      <w:spacing w:before="118"/>
                      <w:ind w:left="48" w:right="0" w:firstLine="0"/>
                      <w:jc w:val="left"/>
                      <w:rPr>
                        <w:rFonts w:ascii="Calibri" w:hAnsi="Calibri"/>
                        <w:b/>
                        <w:sz w:val="13"/>
                      </w:rPr>
                    </w:pPr>
                    <w:r>
                      <w:rPr>
                        <w:rFonts w:ascii="Calibri" w:hAnsi="Calibri"/>
                        <w:b/>
                        <w:color w:val="053579"/>
                        <w:w w:val="105"/>
                        <w:sz w:val="13"/>
                      </w:rPr>
                      <w:t>∑(Privat) + ∑(Afsmittende virkning)</w:t>
                    </w:r>
                  </w:p>
                </w:txbxContent>
              </v:textbox>
              <v:fill type="solid"/>
              <w10:wrap type="none"/>
            </v:shape>
            <v:shape style="position:absolute;left:5233;top:6455;width:2080;height:388" type="#_x0000_t202" filled="true" fillcolor="#ffffff" stroked="false">
              <v:textbox inset="0,0,0,0">
                <w:txbxContent>
                  <w:p>
                    <w:pPr>
                      <w:spacing w:before="118"/>
                      <w:ind w:left="47" w:right="0" w:firstLine="0"/>
                      <w:jc w:val="left"/>
                      <w:rPr>
                        <w:rFonts w:ascii="Calibri" w:hAnsi="Calibri"/>
                        <w:b/>
                        <w:sz w:val="13"/>
                      </w:rPr>
                    </w:pPr>
                    <w:r>
                      <w:rPr>
                        <w:rFonts w:ascii="Calibri" w:hAnsi="Calibri"/>
                        <w:b/>
                        <w:color w:val="053579"/>
                        <w:w w:val="105"/>
                        <w:sz w:val="13"/>
                      </w:rPr>
                      <w:t>∑(Privat) + ∑(Afsmittende virkning)</w:t>
                    </w:r>
                  </w:p>
                </w:txbxContent>
              </v:textbox>
              <v:fill type="solid"/>
              <w10:wrap type="none"/>
            </v:shape>
            <v:shape style="position:absolute;left:2983;top:6449;width:2078;height:386" type="#_x0000_t202" filled="true" fillcolor="#ffffff" stroked="false">
              <v:textbox inset="0,0,0,0">
                <w:txbxContent>
                  <w:p>
                    <w:pPr>
                      <w:spacing w:before="116"/>
                      <w:ind w:left="47" w:right="0" w:firstLine="0"/>
                      <w:jc w:val="left"/>
                      <w:rPr>
                        <w:rFonts w:ascii="Calibri" w:hAnsi="Calibri"/>
                        <w:b/>
                        <w:sz w:val="13"/>
                      </w:rPr>
                    </w:pPr>
                    <w:r>
                      <w:rPr>
                        <w:rFonts w:ascii="Calibri" w:hAnsi="Calibri"/>
                        <w:b/>
                        <w:color w:val="053579"/>
                        <w:w w:val="105"/>
                        <w:sz w:val="13"/>
                      </w:rPr>
                      <w:t>∑(Privat) + ∑(Afsmittende virkning)</w:t>
                    </w:r>
                  </w:p>
                </w:txbxContent>
              </v:textbox>
              <v:fill type="solid"/>
              <w10:wrap type="none"/>
            </v:shape>
            <w10:wrap type="none"/>
          </v:group>
        </w:pict>
      </w:r>
      <w:bookmarkStart w:name="_bookmark27" w:id="28"/>
      <w:bookmarkEnd w:id="28"/>
      <w:r>
        <w:rPr/>
      </w:r>
      <w:r>
        <w:rPr>
          <w:b/>
          <w:color w:val="009DDF"/>
          <w:sz w:val="15"/>
        </w:rPr>
        <w:t>Figur 14. Teoretisk model til evaluering af samfundsøkonomiske gevinster</w:t>
      </w:r>
    </w:p>
    <w:p>
      <w:pPr>
        <w:pStyle w:val="BodyText"/>
        <w:spacing w:before="3"/>
        <w:rPr>
          <w:b/>
          <w:sz w:val="11"/>
        </w:rPr>
      </w:pPr>
      <w:r>
        <w:rPr/>
        <w:pict>
          <v:group style="position:absolute;margin-left:86.989288pt;margin-top:8.791089pt;width:169.7pt;height:90pt;mso-position-horizontal-relative:page;mso-position-vertical-relative:paragraph;z-index:2000;mso-wrap-distance-left:0;mso-wrap-distance-right:0" coordorigin="1740,176" coordsize="3394,1800">
            <v:rect style="position:absolute;left:4077;top:175;width:1057;height:528" filled="true" fillcolor="#f1dcdb" stroked="false">
              <v:fill type="solid"/>
            </v:rect>
            <v:shape style="position:absolute;left:3420;top:703;width:641;height:536" coordorigin="3421,704" coordsize="641,536" path="m4004,1154l3976,1154,4019,1239,4054,1168,4004,1168,4004,1154xm4004,866l4004,1168,4033,1168,4033,880,4019,880,4004,866xm4061,1154l4033,1154,4033,1168,4054,1168,4061,1154xm3449,704l3421,704,3421,874,3427,880,4004,880,4004,866,3449,866,3435,852,3449,852,3449,704xm4026,852l3449,852,3449,866,4004,866,4019,880,4033,880,4033,858,4026,852xm3449,852l3435,852,3449,866,3449,852xe" filled="true" fillcolor="#622422" stroked="false">
              <v:path arrowok="t"/>
              <v:fill type="solid"/>
            </v:shape>
            <v:shape style="position:absolute;left:3975;top:703;width:644;height:536" coordorigin="3976,704" coordsize="644,536" path="m4004,1154l3976,1154,4018,1239,4054,1168,4004,1168,4004,1154xm4591,852l4010,852,4004,858,4004,1168,4032,1168,4032,880,4018,880,4032,866,4591,866,4591,852xm4061,1154l4032,1154,4032,1168,4054,1168,4061,1154xm4032,866l4018,880,4032,880,4032,866xm4620,852l4605,852,4591,866,4032,866,4032,880,4613,880,4620,874,4620,852xm4620,704l4591,704,4591,866,4605,852,4620,852,4620,704xe" filled="true" fillcolor="#622422" stroked="false">
              <v:path arrowok="t"/>
              <v:fill type="solid"/>
            </v:shape>
            <v:shape style="position:absolute;left:2255;top:703;width:1181;height:541" coordorigin="2256,703" coordsize="1181,541" path="m3437,703l3431,703,3431,709,3437,709,3437,703xm3437,715l3431,715,3431,721,3437,721,3437,715xm3437,727l3431,727,3431,733,3437,733,3437,727xm3437,739l3431,739,3431,745,3437,745,3437,739xm3437,751l3431,751,3431,757,3437,757,3437,751xm3437,763l3431,763,3431,769,3437,769,3437,763xm3437,775l3431,775,3431,781,3437,781,3437,775xm3437,787l3431,787,3431,792,3437,792,3437,787xm3437,798l3431,798,3431,804,3437,804,3437,798xm3437,810l3431,810,3431,816,3437,816,3437,810xm3437,822l3431,822,3431,828,3437,828,3437,822xm3437,834l3431,834,3431,840,3437,840,3437,834xm3437,846l3431,846,3431,852,3437,852,3437,846xm3437,858l3431,858,3431,864,3437,864,3437,858xm3437,870l3431,870,3431,876,3437,876,3437,870xm3437,882l3431,882,3431,888,3437,888,3437,882xm3437,894l3431,894,3431,900,3437,900,3437,894xm3437,906l3431,906,3431,912,3437,912,3437,906xm3437,918l3431,918,3431,924,3437,924,3437,918xm3437,930l3431,930,3431,935,3437,935,3437,930xm3437,941l3431,941,3431,947,3437,947,3437,941xm3437,953l3431,953,3431,959,3437,959,3437,953xm3437,965l3431,965,3431,971,3437,971,3437,965xm3430,971l3424,971,3424,977,3430,977,3430,971xm3418,971l3412,971,3412,977,3418,977,3418,971xm3406,971l3400,971,3400,977,3406,977,3406,971xm3394,971l3388,971,3388,977,3394,977,3394,971xm3382,971l3376,971,3376,977,3382,977,3382,971xm3370,971l3364,971,3364,977,3370,977,3370,971xm3358,971l3353,971,3353,977,3358,977,3358,971xm3347,971l3341,971,3341,977,3347,977,3347,971xm3335,971l3329,971,3329,977,3335,977,3335,971xm3323,971l3317,971,3317,977,3323,977,3323,971xm3311,971l3305,971,3305,977,3311,977,3311,971xm3299,971l3293,971,3293,977,3299,977,3299,971xm3287,971l3281,971,3281,977,3287,977,3287,971xm3275,971l3269,971,3269,977,3275,977,3275,971xm3263,971l3257,971,3257,977,3263,977,3263,971xm3251,971l3245,971,3245,977,3251,977,3251,971xm3239,971l3233,971,3233,977,3239,977,3239,971xm3227,971l3221,971,3221,977,3227,977,3227,971xm3215,971l3209,971,3209,977,3215,977,3215,971xm3203,971l3197,971,3197,977,3203,977,3203,971xm3191,971l3185,971,3185,977,3191,977,3191,971xm3179,971l3174,971,3174,977,3179,977,3179,971xm3168,971l3162,971,3162,977,3168,977,3168,971xm3156,971l3150,971,3150,977,3156,977,3156,971xm3144,971l3138,971,3138,977,3144,977,3144,971xm3132,971l3126,971,3126,977,3132,977,3132,971xm3120,971l3114,971,3114,977,3120,977,3120,971xm3108,971l3102,971,3102,977,3108,977,3108,971xm3096,971l3090,971,3090,977,3096,977,3096,971xm3084,971l3078,971,3078,977,3084,977,3084,971xm3072,971l3066,971,3066,977,3072,977,3072,971xm3060,971l3054,971,3054,977,3060,977,3060,971xm3048,971l3042,971,3042,977,3048,977,3048,971xm3036,971l3030,971,3030,977,3036,977,3036,971xm3024,971l3018,971,3018,977,3024,977,3024,971xm3012,971l3006,971,3006,977,3012,977,3012,971xm3000,971l2995,971,2995,977,3000,977,3000,971xm2989,971l2983,971,2983,977,2989,977,2989,971xm2977,971l2971,971,2971,977,2977,977,2977,971xm2965,971l2959,971,2959,977,2965,977,2965,971xm2953,971l2947,971,2947,977,2953,977,2953,971xm2941,971l2935,971,2935,977,2941,977,2941,971xm2929,971l2923,971,2923,977,2929,977,2929,971xm2917,971l2911,971,2911,977,2917,977,2917,971xm2905,971l2899,971,2899,977,2905,977,2905,971xm2893,971l2887,971,2887,977,2893,977,2893,971xm2881,971l2875,971,2875,977,2881,977,2881,971xm2869,971l2863,971,2863,977,2869,977,2869,971xm2857,971l2851,971,2851,977,2857,977,2857,971xm2845,971l2839,971,2839,977,2845,977,2845,971xm2833,971l2827,971,2827,977,2833,977,2833,971xm2822,971l2816,971,2816,977,2822,977,2822,971xm2810,971l2804,971,2804,977,2810,977,2810,971xm2798,971l2792,971,2792,977,2798,977,2798,971xm2786,971l2780,971,2780,977,2786,977,2786,971xm2774,971l2768,971,2768,977,2774,977,2774,971xm2762,971l2756,971,2756,977,2762,977,2762,971xm2750,971l2744,971,2744,977,2750,977,2750,971xm2738,971l2732,971,2732,977,2738,977,2738,971xm2726,971l2720,971,2720,977,2726,977,2726,971xm2714,971l2708,971,2708,977,2714,977,2714,971xm2702,971l2696,971,2696,977,2702,977,2702,971xm2690,971l2684,971,2684,977,2690,977,2690,971xm2678,971l2672,971,2672,977,2678,977,2678,971xm2666,971l2660,971,2660,977,2666,977,2666,971xm2654,971l2648,971,2648,977,2654,977,2654,971xm2643,971l2637,971,2637,977,2643,977,2643,971xm2631,971l2625,971,2625,977,2631,977,2631,971xm2619,971l2613,971,2613,977,2619,977,2619,971xm2607,971l2601,971,2601,977,2607,977,2607,971xm2595,971l2589,971,2589,977,2595,977,2595,971xm2583,971l2577,971,2577,977,2583,977,2583,971xm2571,971l2565,971,2565,977,2571,977,2571,971xm2559,971l2553,971,2553,977,2559,977,2559,971xm2547,971l2541,971,2541,977,2547,977,2547,971xm2535,971l2529,971,2529,977,2535,977,2535,971xm2523,971l2517,971,2517,977,2523,977,2523,971xm2511,971l2505,971,2505,977,2511,977,2511,971xm2499,971l2493,971,2493,977,2499,977,2499,971xm2487,971l2481,971,2481,977,2487,977,2487,971xm2475,971l2469,971,2469,977,2475,977,2475,971xm2464,971l2458,971,2458,977,2464,977,2464,971xm2452,971l2446,971,2446,977,2452,977,2452,971xm2440,971l2434,971,2434,977,2440,977,2440,971xm2428,971l2422,971,2422,977,2428,977,2428,971xm2416,971l2410,971,2410,977,2416,977,2416,971xm2404,971l2398,971,2398,977,2404,977,2404,971xm2392,971l2386,971,2386,977,2392,977,2392,971xm2380,971l2374,971,2374,977,2380,977,2380,971xm2368,971l2362,971,2362,977,2368,977,2368,971xm2356,971l2350,971,2350,977,2356,977,2356,971xm2344,971l2338,971,2338,977,2344,977,2344,971xm2332,971l2326,971,2326,977,2332,977,2332,971xm2320,971l2314,971,2314,977,2320,977,2320,971xm2308,971l2302,971,2302,977,2308,977,2308,971xm2296,974l2293,977,2296,977,2296,976,2296,976,2296,974xm2296,971l2292,971,2290,972,2290,976,2293,976,2296,974,2296,974,2296,971xm2296,974l2296,974,2296,976,2296,976,2296,974xm2296,982l2290,982,2290,988,2296,988,2296,982xm2296,994l2290,994,2290,1000,2296,1000,2296,994xm2296,1006l2290,1006,2290,1012,2296,1012,2296,1006xm2296,1018l2290,1018,2290,1024,2296,1024,2296,1018xm2296,1030l2290,1030,2290,1036,2296,1036,2296,1030xm2296,1042l2290,1042,2290,1048,2296,1048,2296,1042xm2296,1054l2290,1054,2290,1060,2296,1060,2296,1054xm2296,1066l2290,1066,2290,1072,2296,1072,2296,1066xm2296,1078l2290,1078,2290,1084,2296,1084,2296,1078xm2296,1090l2290,1090,2290,1095,2296,1095,2296,1090xm2296,1101l2290,1101,2290,1107,2296,1107,2296,1101xm2296,1113l2290,1113,2290,1119,2296,1119,2296,1113xm2296,1125l2290,1125,2290,1131,2296,1131,2296,1125xm2296,1137l2290,1137,2290,1143,2296,1143,2296,1137xm2296,1149l2290,1149,2290,1155,2296,1155,2296,1149xm2296,1161l2290,1161,2290,1167,2296,1167,2296,1161xm2330,1170l2256,1170,2293,1244,2326,1179,2290,1179,2290,1173,2329,1173,2330,1170xm2296,1173l2290,1173,2290,1179,2296,1179,2296,1173xm2329,1173l2296,1173,2296,1179,2326,1179,2329,1173xe" filled="true" fillcolor="#622422" stroked="false">
              <v:path arrowok="t"/>
              <v:fill type="solid"/>
            </v:shape>
            <v:rect style="position:absolute;left:3932;top:923;width:177;height:181" filled="true" fillcolor="#ffffff" stroked="false">
              <v:fill type="solid"/>
            </v:rect>
            <v:shape style="position:absolute;left:2548;top:395;width:358;height:91" type="#_x0000_t75" stroked="false">
              <v:imagedata r:id="rId63" o:title=""/>
            </v:shape>
            <v:shape style="position:absolute;left:1888;top:198;width:625;height:505" type="#_x0000_t75" stroked="false">
              <v:imagedata r:id="rId64" o:title=""/>
            </v:shape>
            <v:shape style="position:absolute;left:2639;top:379;width:163;height:149" type="#_x0000_t202" filled="false" stroked="false">
              <v:textbox inset="0,0,0,0">
                <w:txbxContent>
                  <w:p>
                    <w:pPr>
                      <w:spacing w:line="149" w:lineRule="exact" w:before="0"/>
                      <w:ind w:left="0" w:right="0" w:firstLine="0"/>
                      <w:jc w:val="left"/>
                      <w:rPr>
                        <w:rFonts w:ascii="Calibri"/>
                        <w:sz w:val="15"/>
                      </w:rPr>
                    </w:pPr>
                    <w:r>
                      <w:rPr>
                        <w:rFonts w:ascii="Calibri"/>
                        <w:color w:val="622422"/>
                        <w:sz w:val="15"/>
                      </w:rPr>
                      <w:t>kr.</w:t>
                    </w:r>
                  </w:p>
                </w:txbxContent>
              </v:textbox>
              <w10:wrap type="none"/>
            </v:shape>
            <v:shape style="position:absolute;left:3656;top:810;width:751;height:316" type="#_x0000_t202" filled="false" stroked="false">
              <v:textbox inset="0,0,0,0">
                <w:txbxContent>
                  <w:p>
                    <w:pPr>
                      <w:tabs>
                        <w:tab w:pos="563" w:val="left" w:leader="none"/>
                      </w:tabs>
                      <w:spacing w:line="145" w:lineRule="exact" w:before="0"/>
                      <w:ind w:left="0" w:right="18" w:firstLine="0"/>
                      <w:jc w:val="center"/>
                      <w:rPr>
                        <w:rFonts w:ascii="Calibri"/>
                        <w:sz w:val="10"/>
                      </w:rPr>
                    </w:pPr>
                    <w:r>
                      <w:rPr>
                        <w:rFonts w:ascii="Calibri"/>
                        <w:color w:val="622422"/>
                        <w:sz w:val="15"/>
                        <w:shd w:fill="FFFFFF" w:color="auto" w:val="clear"/>
                      </w:rPr>
                      <w:t>kr</w:t>
                    </w:r>
                    <w:r>
                      <w:rPr>
                        <w:rFonts w:ascii="Calibri"/>
                        <w:color w:val="622422"/>
                        <w:position w:val="-3"/>
                        <w:sz w:val="10"/>
                        <w:shd w:fill="FFFFFF" w:color="auto" w:val="clear"/>
                      </w:rPr>
                      <w:t>o</w:t>
                    </w:r>
                    <w:r>
                      <w:rPr>
                        <w:rFonts w:ascii="Calibri"/>
                        <w:color w:val="622422"/>
                        <w:position w:val="-3"/>
                        <w:sz w:val="10"/>
                      </w:rPr>
                      <w:tab/>
                    </w:r>
                    <w:r>
                      <w:rPr>
                        <w:rFonts w:ascii="Calibri"/>
                        <w:color w:val="622422"/>
                        <w:spacing w:val="-9"/>
                        <w:sz w:val="15"/>
                        <w:shd w:fill="FFFFFF" w:color="auto" w:val="clear"/>
                      </w:rPr>
                      <w:t>kr</w:t>
                    </w:r>
                    <w:r>
                      <w:rPr>
                        <w:rFonts w:ascii="Calibri"/>
                        <w:color w:val="622422"/>
                        <w:spacing w:val="-9"/>
                        <w:position w:val="-3"/>
                        <w:sz w:val="10"/>
                        <w:shd w:fill="FFFFFF" w:color="auto" w:val="clear"/>
                      </w:rPr>
                      <w:t>e</w:t>
                    </w:r>
                  </w:p>
                  <w:p>
                    <w:pPr>
                      <w:spacing w:line="182" w:lineRule="auto" w:before="0"/>
                      <w:ind w:left="0" w:right="19" w:firstLine="0"/>
                      <w:jc w:val="center"/>
                      <w:rPr>
                        <w:rFonts w:ascii="Calibri"/>
                        <w:sz w:val="10"/>
                      </w:rPr>
                    </w:pPr>
                    <w:r>
                      <w:rPr>
                        <w:rFonts w:ascii="Calibri"/>
                        <w:color w:val="622422"/>
                        <w:sz w:val="15"/>
                      </w:rPr>
                      <w:t>kr</w:t>
                    </w:r>
                    <w:r>
                      <w:rPr>
                        <w:rFonts w:ascii="Calibri"/>
                        <w:color w:val="622422"/>
                        <w:position w:val="-3"/>
                        <w:sz w:val="10"/>
                      </w:rPr>
                      <w:t>s</w:t>
                    </w:r>
                  </w:p>
                </w:txbxContent>
              </v:textbox>
              <w10:wrap type="none"/>
            </v:shape>
            <v:shape style="position:absolute;left:2848;top:1243;width:2284;height:729" type="#_x0000_t202" filled="true" fillcolor="#053579" stroked="false">
              <v:textbox inset="0,0,0,0">
                <w:txbxContent>
                  <w:p>
                    <w:pPr>
                      <w:spacing w:line="240" w:lineRule="auto" w:before="8"/>
                      <w:rPr>
                        <w:b/>
                        <w:sz w:val="16"/>
                      </w:rPr>
                    </w:pPr>
                  </w:p>
                  <w:p>
                    <w:pPr>
                      <w:spacing w:before="0"/>
                      <w:ind w:left="619" w:right="0" w:firstLine="0"/>
                      <w:jc w:val="left"/>
                      <w:rPr>
                        <w:rFonts w:ascii="Calibri"/>
                        <w:b/>
                        <w:sz w:val="22"/>
                      </w:rPr>
                    </w:pPr>
                    <w:r>
                      <w:rPr>
                        <w:rFonts w:ascii="Calibri"/>
                        <w:b/>
                        <w:color w:val="FFFFFF"/>
                        <w:sz w:val="22"/>
                      </w:rPr>
                      <w:t>Rumprojekt</w:t>
                    </w:r>
                  </w:p>
                </w:txbxContent>
              </v:textbox>
              <v:fill type="solid"/>
              <w10:wrap type="none"/>
            </v:shape>
            <v:shape style="position:absolute;left:1742;top:1243;width:1103;height:729" type="#_x0000_t202" filled="false" stroked="true" strokeweight=".298034pt" strokecolor="#053579">
              <v:textbox inset="0,0,0,0">
                <w:txbxContent>
                  <w:p>
                    <w:pPr>
                      <w:spacing w:line="240" w:lineRule="auto" w:before="0"/>
                      <w:rPr>
                        <w:b/>
                        <w:sz w:val="15"/>
                      </w:rPr>
                    </w:pPr>
                  </w:p>
                  <w:p>
                    <w:pPr>
                      <w:spacing w:line="235" w:lineRule="auto" w:before="1"/>
                      <w:ind w:left="130" w:right="0" w:hanging="86"/>
                      <w:jc w:val="left"/>
                      <w:rPr>
                        <w:rFonts w:ascii="Calibri"/>
                        <w:sz w:val="15"/>
                      </w:rPr>
                    </w:pPr>
                    <w:r>
                      <w:rPr>
                        <w:rFonts w:ascii="Calibri"/>
                        <w:color w:val="053579"/>
                        <w:sz w:val="15"/>
                      </w:rPr>
                      <w:t>Administrations- omkostninger</w:t>
                    </w:r>
                  </w:p>
                </w:txbxContent>
              </v:textbox>
              <v:stroke dashstyle="shortdot"/>
              <w10:wrap type="none"/>
            </v:shape>
            <v:shape style="position:absolute;left:4077;top:175;width:1057;height:528" type="#_x0000_t202" filled="false" stroked="false">
              <v:textbox inset="0,0,0,0">
                <w:txbxContent>
                  <w:p>
                    <w:pPr>
                      <w:spacing w:before="126"/>
                      <w:ind w:left="11" w:right="0" w:firstLine="0"/>
                      <w:jc w:val="left"/>
                      <w:rPr>
                        <w:rFonts w:ascii="Calibri"/>
                        <w:b/>
                        <w:sz w:val="22"/>
                      </w:rPr>
                    </w:pPr>
                    <w:r>
                      <w:rPr>
                        <w:rFonts w:ascii="Calibri"/>
                        <w:b/>
                        <w:color w:val="622422"/>
                        <w:sz w:val="22"/>
                      </w:rPr>
                      <w:t>Erhvervsliv</w:t>
                    </w:r>
                  </w:p>
                </w:txbxContent>
              </v:textbox>
              <w10:wrap type="none"/>
            </v:shape>
            <v:shape style="position:absolute;left:2906;top:175;width:1057;height:528" type="#_x0000_t202" filled="false" stroked="false">
              <v:textbox inset="0,0,0,0">
                <w:txbxContent>
                  <w:p>
                    <w:pPr>
                      <w:spacing w:line="240" w:lineRule="auto" w:before="0"/>
                      <w:ind w:left="171" w:right="55" w:hanging="106"/>
                      <w:jc w:val="left"/>
                      <w:rPr>
                        <w:rFonts w:ascii="Calibri"/>
                        <w:b/>
                        <w:sz w:val="22"/>
                      </w:rPr>
                    </w:pPr>
                    <w:r>
                      <w:rPr>
                        <w:rFonts w:ascii="Calibri"/>
                        <w:b/>
                        <w:color w:val="622422"/>
                        <w:sz w:val="22"/>
                      </w:rPr>
                      <w:t>Offentlige (fx ESA)</w:t>
                    </w:r>
                  </w:p>
                </w:txbxContent>
              </v:textbox>
              <w10:wrap type="none"/>
            </v:shape>
            <w10:wrap type="topAndBottom"/>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0"/>
        </w:rPr>
      </w:pPr>
    </w:p>
    <w:p>
      <w:pPr>
        <w:spacing w:before="0"/>
        <w:ind w:left="742" w:right="0" w:firstLine="0"/>
        <w:jc w:val="left"/>
        <w:rPr>
          <w:sz w:val="13"/>
        </w:rPr>
      </w:pPr>
      <w:r>
        <w:rPr>
          <w:sz w:val="13"/>
        </w:rPr>
        <w:t>Note: Ring læses ”Ringvirkninger” og Ring+ læses ”</w:t>
      </w:r>
      <w:r>
        <w:rPr>
          <w:i/>
          <w:sz w:val="13"/>
        </w:rPr>
        <w:t>yderligere </w:t>
      </w:r>
      <w:r>
        <w:rPr>
          <w:sz w:val="13"/>
        </w:rPr>
        <w:t>ringvirkninger”.</w:t>
      </w:r>
    </w:p>
    <w:p>
      <w:pPr>
        <w:pStyle w:val="BodyText"/>
        <w:spacing w:before="8"/>
        <w:rPr>
          <w:sz w:val="21"/>
        </w:rPr>
      </w:pPr>
    </w:p>
    <w:p>
      <w:pPr>
        <w:pStyle w:val="BodyText"/>
        <w:spacing w:line="264" w:lineRule="auto"/>
        <w:ind w:left="742" w:right="1164"/>
      </w:pPr>
      <w:r>
        <w:rPr/>
        <w:t>Modellen er organiseret efter projektfase (vandret) og gevinstnyder (lodret). Yderste højre søjle sammenfatter investeringsafkastet ved projektet (IA) for både private gevinster og afsmittende gevinster. Modellen starter i øverste venstre hjørne, hvor Danmarks stat og erhvervsliv investerer i et rumprojekt, eksempelvis igennem ESA.</w:t>
      </w:r>
    </w:p>
    <w:p>
      <w:pPr>
        <w:pStyle w:val="BodyText"/>
        <w:spacing w:before="6"/>
        <w:rPr>
          <w:sz w:val="19"/>
        </w:rPr>
      </w:pPr>
    </w:p>
    <w:p>
      <w:pPr>
        <w:pStyle w:val="BodyText"/>
        <w:spacing w:line="264" w:lineRule="auto"/>
        <w:ind w:left="742" w:right="1205"/>
      </w:pPr>
      <w:r>
        <w:rPr/>
        <w:t>Modellen indeholder tre faser af et rumprojekt, nemlig </w:t>
      </w:r>
      <w:r>
        <w:rPr>
          <w:b/>
        </w:rPr>
        <w:t>udviklingsfasen</w:t>
      </w:r>
      <w:r>
        <w:rPr/>
        <w:t>, hvor en hovedleverandør har en kontrakt på plads til udvikling af et rumprojekt, og evt. brugerproduktionsinputs fra under-</w:t>
      </w:r>
    </w:p>
    <w:p>
      <w:pPr>
        <w:spacing w:after="0" w:line="264" w:lineRule="auto"/>
        <w:sectPr>
          <w:pgSz w:w="11910" w:h="16840"/>
          <w:pgMar w:header="0" w:footer="1056" w:top="1340" w:bottom="1240" w:left="960" w:right="0"/>
        </w:sectPr>
      </w:pPr>
    </w:p>
    <w:p>
      <w:pPr>
        <w:pStyle w:val="BodyText"/>
        <w:spacing w:line="264" w:lineRule="auto" w:before="126"/>
        <w:ind w:left="742" w:right="1141"/>
      </w:pPr>
      <w:r>
        <w:rPr/>
        <w:t>leverandører. </w:t>
      </w:r>
      <w:r>
        <w:rPr>
          <w:b/>
        </w:rPr>
        <w:t>Den operative fase </w:t>
      </w:r>
      <w:r>
        <w:rPr/>
        <w:t>er, mens et rumprojekt er i funktion og leverer data. </w:t>
      </w:r>
      <w:r>
        <w:rPr>
          <w:b/>
        </w:rPr>
        <w:t>Eftermæ- let </w:t>
      </w:r>
      <w:r>
        <w:rPr/>
        <w:t>indtræder, når projektet har udtjent sin operative fase (eksempelvis en satellit der løber tør for brændstof).</w:t>
      </w:r>
    </w:p>
    <w:p>
      <w:pPr>
        <w:pStyle w:val="BodyText"/>
        <w:spacing w:before="7"/>
        <w:rPr>
          <w:sz w:val="19"/>
        </w:rPr>
      </w:pPr>
    </w:p>
    <w:p>
      <w:pPr>
        <w:pStyle w:val="BodyText"/>
        <w:spacing w:line="264" w:lineRule="auto" w:before="1"/>
        <w:ind w:left="742" w:right="1149"/>
      </w:pPr>
      <w:r>
        <w:rPr>
          <w:b/>
        </w:rPr>
        <w:t>Private gevinster </w:t>
      </w:r>
      <w:r>
        <w:rPr/>
        <w:t>i udviklingsfasen omhandler udelukkende opfyldelse af hovedkontrakten (direk- te omsætning), hvor hovedleverandøren tjener profit og betaler løn til ansatte. Løn og profit an- vendes som erstatning for det mere passende (men vanskeligere tilgængelige) </w:t>
      </w:r>
      <w:r>
        <w:rPr>
          <w:b/>
        </w:rPr>
        <w:t>bruttoværditil- vækst (BVT)</w:t>
      </w:r>
      <w:r>
        <w:rPr/>
        <w:t>. I den </w:t>
      </w:r>
      <w:r>
        <w:rPr>
          <w:b/>
        </w:rPr>
        <w:t>operative </w:t>
      </w:r>
      <w:r>
        <w:rPr/>
        <w:t>fase betragtes ringvirkningsomsætning ved rumkontrakten, hvor operation af en satellit, for eksempel, kan forventes at generere kommerciel omsætning for virk- somheden. I </w:t>
      </w:r>
      <w:r>
        <w:rPr>
          <w:b/>
        </w:rPr>
        <w:t>eftermælefasen </w:t>
      </w:r>
      <w:r>
        <w:rPr/>
        <w:t>betragtes </w:t>
      </w:r>
      <w:r>
        <w:rPr>
          <w:i/>
        </w:rPr>
        <w:t>yderligere </w:t>
      </w:r>
      <w:r>
        <w:rPr/>
        <w:t>ringvirkningsomsætning, som refererer til leve- randørens mulighed for at sælge data og kompetencer, som er blevet erhvervet i de tidligere faser. Spinoff-virksomheder, der startes for at kommercialisere viden erhvervet gennem rumprojekter, klassificeres typisk i eftermælefasen.</w:t>
      </w:r>
    </w:p>
    <w:p>
      <w:pPr>
        <w:pStyle w:val="BodyText"/>
        <w:spacing w:before="3"/>
        <w:rPr>
          <w:sz w:val="19"/>
        </w:rPr>
      </w:pPr>
    </w:p>
    <w:p>
      <w:pPr>
        <w:pStyle w:val="BodyText"/>
        <w:spacing w:line="264" w:lineRule="auto"/>
        <w:ind w:left="742" w:right="1155"/>
      </w:pPr>
      <w:r>
        <w:rPr>
          <w:b/>
        </w:rPr>
        <w:t>Indirekte gevinster </w:t>
      </w:r>
      <w:r>
        <w:rPr/>
        <w:t>i alle faser relaterer til underleverandører, som forventes at generere BVT ved opfyldelse af underkontrakter relateret til rumprojektet (kontrakt, ringvirkninger, </w:t>
      </w:r>
      <w:r>
        <w:rPr>
          <w:i/>
        </w:rPr>
        <w:t>yderligere </w:t>
      </w:r>
      <w:r>
        <w:rPr/>
        <w:t>ringvirkninger). Baseret på økonomisk teori om input-output-analyse er det også muligt at beregne medarbejderes indkøb (hoved- og underleverandører), som </w:t>
      </w:r>
      <w:r>
        <w:rPr>
          <w:b/>
        </w:rPr>
        <w:t>igangsættes </w:t>
      </w:r>
      <w:r>
        <w:rPr/>
        <w:t>af kontrakten. Disse yderligere indkøb genererer profit og beskæftiger medarbejdere i detailhandlen og servicesektorer.</w:t>
      </w:r>
    </w:p>
    <w:p>
      <w:pPr>
        <w:pStyle w:val="BodyText"/>
        <w:spacing w:before="6"/>
        <w:rPr>
          <w:sz w:val="19"/>
        </w:rPr>
      </w:pPr>
    </w:p>
    <w:p>
      <w:pPr>
        <w:pStyle w:val="BodyText"/>
        <w:spacing w:line="264" w:lineRule="auto"/>
        <w:ind w:left="742" w:right="1175"/>
      </w:pPr>
      <w:r>
        <w:rPr>
          <w:b/>
        </w:rPr>
        <w:t>Afsmittende virkninger </w:t>
      </w:r>
      <w:r>
        <w:rPr/>
        <w:t>omfatter tre klasser. </w:t>
      </w:r>
      <w:r>
        <w:rPr>
          <w:b/>
        </w:rPr>
        <w:t>Markedsafsmitning </w:t>
      </w:r>
      <w:r>
        <w:rPr/>
        <w:t>med to underkategorier, nemlig </w:t>
      </w:r>
      <w:r>
        <w:rPr>
          <w:b/>
        </w:rPr>
        <w:t>forbrugeroverskud</w:t>
      </w:r>
      <w:r>
        <w:rPr/>
        <w:t>, hvor en kunde er i stand til at købe adgang til data til en pris, der er lavere end kunden er villig til at betale; og </w:t>
      </w:r>
      <w:r>
        <w:rPr>
          <w:b/>
        </w:rPr>
        <w:t>producentoverskud</w:t>
      </w:r>
      <w:r>
        <w:rPr/>
        <w:t>, hvor en producent er i stand til at sælge en vare til en højere pris, end producenten ville acceptere. </w:t>
      </w:r>
      <w:r>
        <w:rPr>
          <w:b/>
        </w:rPr>
        <w:t>Vidensafsmitning </w:t>
      </w:r>
      <w:r>
        <w:rPr/>
        <w:t>omfatter en situation, hvor den viden, der dannes i et rumprojekt, kan anvendes i en anden kontekst af en økonomisk agent, som ikke har været involveret i at skabe den og ikke har betalt den fulde pris for den. </w:t>
      </w:r>
      <w:r>
        <w:rPr>
          <w:b/>
        </w:rPr>
        <w:t>Netværksafsmitning </w:t>
      </w:r>
      <w:r>
        <w:rPr/>
        <w:t>indtræffer, når den udviklede teknologi eksempelvis tillader bedre an- vendelse af transportnetværk og anden infrastruktur, til gavn for alle borgere. </w:t>
      </w:r>
      <w:r>
        <w:rPr>
          <w:b/>
        </w:rPr>
        <w:t>Netværksafsmit- ning </w:t>
      </w:r>
      <w:r>
        <w:rPr/>
        <w:t>omfatter desuden eksternaliteter vedrørende miljøet, sundhed og undgåede</w:t>
      </w:r>
      <w:r>
        <w:rPr>
          <w:spacing w:val="-24"/>
        </w:rPr>
        <w:t> </w:t>
      </w:r>
      <w:r>
        <w:rPr/>
        <w:t>dødsfald.</w:t>
      </w:r>
    </w:p>
    <w:p>
      <w:pPr>
        <w:pStyle w:val="BodyText"/>
        <w:spacing w:before="4"/>
        <w:rPr>
          <w:sz w:val="19"/>
        </w:rPr>
      </w:pPr>
    </w:p>
    <w:p>
      <w:pPr>
        <w:pStyle w:val="BodyText"/>
        <w:spacing w:line="264" w:lineRule="auto"/>
        <w:ind w:left="742" w:right="1279"/>
      </w:pPr>
      <w:r>
        <w:rPr/>
        <w:t>Private gevinster</w:t>
      </w:r>
      <w:r>
        <w:rPr>
          <w:w w:val="99"/>
          <w:position w:val="6"/>
          <w:sz w:val="8"/>
        </w:rPr>
        <w:t>24</w:t>
      </w:r>
      <w:r>
        <w:rPr>
          <w:position w:val="6"/>
          <w:sz w:val="8"/>
        </w:rPr>
        <w:t>  </w:t>
      </w:r>
      <w:r>
        <w:rPr/>
        <w:t>er ofte fokus i analyser af ESA-medlemskab eller rumprogrammer generelt (så- ledes nævner OECD’s </w:t>
      </w:r>
      <w:r>
        <w:rPr>
          <w:i/>
        </w:rPr>
        <w:t>The Space Economy at a Glance 2014 </w:t>
      </w:r>
      <w:r>
        <w:rPr/>
        <w:t>resultater fra Belgien, Danmark,</w:t>
      </w:r>
      <w:r>
        <w:rPr>
          <w:w w:val="99"/>
          <w:position w:val="6"/>
          <w:sz w:val="8"/>
        </w:rPr>
        <w:t>25</w:t>
      </w:r>
      <w:r>
        <w:rPr>
          <w:position w:val="6"/>
          <w:sz w:val="8"/>
        </w:rPr>
        <w:t>  </w:t>
      </w:r>
      <w:r>
        <w:rPr/>
        <w:t>Ir- land, Norge, Portugal og Storbritannien). Denne rapport søger at værdiansætte de </w:t>
      </w:r>
      <w:r>
        <w:rPr>
          <w:b/>
        </w:rPr>
        <w:t>afsmittende effekter </w:t>
      </w:r>
      <w:r>
        <w:rPr/>
        <w:t>ved rummet i forlængelse af de direkte, private gevinster præsenteret i afsnit </w:t>
      </w:r>
      <w:hyperlink w:history="true" w:anchor="_bookmark20">
        <w:r>
          <w:rPr/>
          <w:t>3.4.3</w:t>
        </w:r>
      </w:hyperlink>
      <w:r>
        <w:rPr/>
        <w:t>. De følgende afsnit fokuserer derfor primært på den nederste del af </w:t>
      </w:r>
      <w:hyperlink w:history="true" w:anchor="_bookmark27">
        <w:r>
          <w:rPr/>
          <w:t>Figur 14</w:t>
        </w:r>
      </w:hyperlink>
      <w:r>
        <w:rPr/>
        <w:t>.</w:t>
      </w:r>
    </w:p>
    <w:p>
      <w:pPr>
        <w:pStyle w:val="BodyText"/>
        <w:spacing w:before="6"/>
        <w:rPr>
          <w:sz w:val="19"/>
        </w:rPr>
      </w:pPr>
    </w:p>
    <w:p>
      <w:pPr>
        <w:pStyle w:val="ListParagraph"/>
        <w:numPr>
          <w:ilvl w:val="2"/>
          <w:numId w:val="7"/>
        </w:numPr>
        <w:tabs>
          <w:tab w:pos="743" w:val="left" w:leader="none"/>
        </w:tabs>
        <w:spacing w:line="240" w:lineRule="auto" w:before="0" w:after="0"/>
        <w:ind w:left="742" w:right="0" w:hanging="624"/>
        <w:jc w:val="left"/>
        <w:rPr>
          <w:b/>
          <w:sz w:val="18"/>
        </w:rPr>
      </w:pPr>
      <w:r>
        <w:rPr>
          <w:b/>
          <w:sz w:val="18"/>
        </w:rPr>
        <w:t>Litteraturgennemgang af afkastet ved offentlige</w:t>
      </w:r>
      <w:r>
        <w:rPr>
          <w:b/>
          <w:spacing w:val="-2"/>
          <w:sz w:val="18"/>
        </w:rPr>
        <w:t> </w:t>
      </w:r>
      <w:r>
        <w:rPr>
          <w:b/>
          <w:sz w:val="18"/>
        </w:rPr>
        <w:t>ruminvesteringer</w:t>
      </w:r>
    </w:p>
    <w:p>
      <w:pPr>
        <w:pStyle w:val="BodyText"/>
        <w:spacing w:line="264" w:lineRule="auto" w:before="21"/>
        <w:ind w:left="742" w:right="1173"/>
      </w:pPr>
      <w:r>
        <w:rPr/>
        <w:t>I</w:t>
      </w:r>
      <w:r>
        <w:rPr>
          <w:spacing w:val="-3"/>
        </w:rPr>
        <w:t> </w:t>
      </w:r>
      <w:r>
        <w:rPr/>
        <w:t>et </w:t>
      </w:r>
      <w:r>
        <w:rPr>
          <w:spacing w:val="-2"/>
        </w:rPr>
        <w:t>n</w:t>
      </w:r>
      <w:r>
        <w:rPr>
          <w:spacing w:val="-1"/>
        </w:rPr>
        <w:t>y</w:t>
      </w:r>
      <w:r>
        <w:rPr/>
        <w:t>ligt </w:t>
      </w:r>
      <w:r>
        <w:rPr>
          <w:spacing w:val="-1"/>
        </w:rPr>
        <w:t>f</w:t>
      </w:r>
      <w:r>
        <w:rPr/>
        <w:t>ors</w:t>
      </w:r>
      <w:r>
        <w:rPr>
          <w:spacing w:val="-1"/>
        </w:rPr>
        <w:t>k</w:t>
      </w:r>
      <w:r>
        <w:rPr>
          <w:spacing w:val="-2"/>
        </w:rPr>
        <w:t>n</w:t>
      </w:r>
      <w:r>
        <w:rPr/>
        <w:t>i</w:t>
      </w:r>
      <w:r>
        <w:rPr>
          <w:spacing w:val="-2"/>
        </w:rPr>
        <w:t>n</w:t>
      </w:r>
      <w:r>
        <w:rPr/>
        <w:t>gspr</w:t>
      </w:r>
      <w:r>
        <w:rPr>
          <w:spacing w:val="1"/>
        </w:rPr>
        <w:t>o</w:t>
      </w:r>
      <w:r>
        <w:rPr>
          <w:spacing w:val="-1"/>
        </w:rPr>
        <w:t>j</w:t>
      </w:r>
      <w:r>
        <w:rPr>
          <w:spacing w:val="1"/>
        </w:rPr>
        <w:t>e</w:t>
      </w:r>
      <w:r>
        <w:rPr>
          <w:spacing w:val="-1"/>
        </w:rPr>
        <w:t>k</w:t>
      </w:r>
      <w:r>
        <w:rPr/>
        <w:t>t </w:t>
      </w:r>
      <w:r>
        <w:rPr>
          <w:spacing w:val="-1"/>
        </w:rPr>
        <w:t>f</w:t>
      </w:r>
      <w:r>
        <w:rPr/>
        <w:t>or</w:t>
      </w:r>
      <w:r>
        <w:rPr>
          <w:spacing w:val="-1"/>
        </w:rPr>
        <w:t> </w:t>
      </w:r>
      <w:r>
        <w:rPr/>
        <w:t>UK</w:t>
      </w:r>
      <w:r>
        <w:rPr>
          <w:spacing w:val="-1"/>
        </w:rPr>
        <w:t> S</w:t>
      </w:r>
      <w:r>
        <w:rPr/>
        <w:t>pace</w:t>
      </w:r>
      <w:r>
        <w:rPr>
          <w:spacing w:val="-1"/>
        </w:rPr>
        <w:t> A</w:t>
      </w:r>
      <w:r>
        <w:rPr/>
        <w:t>ge</w:t>
      </w:r>
      <w:r>
        <w:rPr>
          <w:spacing w:val="-2"/>
        </w:rPr>
        <w:t>n</w:t>
      </w:r>
      <w:r>
        <w:rPr/>
        <w:t>c</w:t>
      </w:r>
      <w:r>
        <w:rPr>
          <w:spacing w:val="3"/>
        </w:rPr>
        <w:t>y</w:t>
      </w:r>
      <w:r>
        <w:rPr>
          <w:w w:val="99"/>
          <w:position w:val="6"/>
          <w:sz w:val="8"/>
        </w:rPr>
        <w:t>26</w:t>
      </w:r>
      <w:r>
        <w:rPr>
          <w:position w:val="6"/>
          <w:sz w:val="8"/>
        </w:rPr>
        <w:t> </w:t>
      </w:r>
      <w:r>
        <w:rPr>
          <w:spacing w:val="6"/>
          <w:position w:val="6"/>
          <w:sz w:val="8"/>
        </w:rPr>
        <w:t> </w:t>
      </w:r>
      <w:r>
        <w:rPr/>
        <w:t>a</w:t>
      </w:r>
      <w:r>
        <w:rPr>
          <w:spacing w:val="-2"/>
        </w:rPr>
        <w:t>n</w:t>
      </w:r>
      <w:r>
        <w:rPr>
          <w:spacing w:val="2"/>
        </w:rPr>
        <w:t>a</w:t>
      </w:r>
      <w:r>
        <w:rPr/>
        <w:t>l</w:t>
      </w:r>
      <w:r>
        <w:rPr>
          <w:spacing w:val="-1"/>
        </w:rPr>
        <w:t>y</w:t>
      </w:r>
      <w:r>
        <w:rPr/>
        <w:t>ser</w:t>
      </w:r>
      <w:r>
        <w:rPr>
          <w:spacing w:val="1"/>
        </w:rPr>
        <w:t>e</w:t>
      </w:r>
      <w:r>
        <w:rPr/>
        <w:t>de</w:t>
      </w:r>
      <w:r>
        <w:rPr>
          <w:spacing w:val="-1"/>
        </w:rPr>
        <w:t> </w:t>
      </w:r>
      <w:r>
        <w:rPr>
          <w:spacing w:val="-2"/>
        </w:rPr>
        <w:t>L</w:t>
      </w:r>
      <w:r>
        <w:rPr/>
        <w:t>o</w:t>
      </w:r>
      <w:r>
        <w:rPr>
          <w:spacing w:val="-2"/>
        </w:rPr>
        <w:t>n</w:t>
      </w:r>
      <w:r>
        <w:rPr/>
        <w:t>don</w:t>
      </w:r>
      <w:r>
        <w:rPr>
          <w:spacing w:val="-2"/>
        </w:rPr>
        <w:t> </w:t>
      </w:r>
      <w:r>
        <w:rPr>
          <w:spacing w:val="-1"/>
        </w:rPr>
        <w:t>E</w:t>
      </w:r>
      <w:r>
        <w:rPr/>
        <w:t>co</w:t>
      </w:r>
      <w:r>
        <w:rPr>
          <w:spacing w:val="-2"/>
        </w:rPr>
        <w:t>n</w:t>
      </w:r>
      <w:r>
        <w:rPr/>
        <w:t>omics</w:t>
      </w:r>
      <w:r>
        <w:rPr>
          <w:spacing w:val="-2"/>
        </w:rPr>
        <w:t> </w:t>
      </w:r>
      <w:r>
        <w:rPr/>
        <w:t>den</w:t>
      </w:r>
      <w:r>
        <w:rPr>
          <w:spacing w:val="-2"/>
        </w:rPr>
        <w:t> </w:t>
      </w:r>
      <w:r>
        <w:rPr/>
        <w:t>rele</w:t>
      </w:r>
      <w:r>
        <w:rPr>
          <w:spacing w:val="-1"/>
        </w:rPr>
        <w:t>v</w:t>
      </w:r>
      <w:r>
        <w:rPr/>
        <w:t>a</w:t>
      </w:r>
      <w:r>
        <w:rPr>
          <w:spacing w:val="-2"/>
        </w:rPr>
        <w:t>n</w:t>
      </w:r>
      <w:r>
        <w:rPr/>
        <w:t>te litteratur om afkastet ved offentlige ruminvesteringer for at bestemme, om der er basis for at an- tage, at ruminvesteringer er forskellige fra andre investeringer i videnskab og forskning. Litteratur- gennemgangen omfattede 57 relevante artikler med globalt fokus over perioden 1961 til 2015 ud af de i alt 510 artikler, der initialt blev vurderet for relevans. Projektets terminologi er enslydende med den anven</w:t>
      </w:r>
      <w:hyperlink w:history="true" w:anchor="_bookmark27">
        <w:r>
          <w:rPr/>
          <w:t>dt i Figur</w:t>
        </w:r>
        <w:r>
          <w:rPr>
            <w:spacing w:val="-5"/>
          </w:rPr>
          <w:t> </w:t>
        </w:r>
        <w:r>
          <w:rPr/>
          <w:t>14</w:t>
        </w:r>
      </w:hyperlink>
      <w:r>
        <w:rPr/>
        <w:t>.</w:t>
      </w:r>
    </w:p>
    <w:p>
      <w:pPr>
        <w:pStyle w:val="BodyText"/>
        <w:spacing w:before="5"/>
        <w:rPr>
          <w:sz w:val="19"/>
        </w:rPr>
      </w:pPr>
    </w:p>
    <w:p>
      <w:pPr>
        <w:pStyle w:val="BodyText"/>
        <w:spacing w:line="264" w:lineRule="auto" w:before="1"/>
        <w:ind w:left="742" w:right="1307"/>
      </w:pPr>
      <w:r>
        <w:rPr/>
        <w:t>Analysen fokuserede på at finde evidens for </w:t>
      </w:r>
      <w:r>
        <w:rPr>
          <w:b/>
        </w:rPr>
        <w:t>afkastet </w:t>
      </w:r>
      <w:r>
        <w:rPr/>
        <w:t>ved offentlige ruminvesteringer opdelt på </w:t>
      </w:r>
      <w:r>
        <w:rPr>
          <w:b/>
        </w:rPr>
        <w:t>direkte effekter </w:t>
      </w:r>
      <w:r>
        <w:rPr/>
        <w:t>(dvs. hvor den </w:t>
      </w:r>
      <w:r>
        <w:rPr>
          <w:i/>
        </w:rPr>
        <w:t>investerende </w:t>
      </w:r>
      <w:r>
        <w:rPr/>
        <w:t>organisation nyder gevinsterne) og </w:t>
      </w:r>
      <w:r>
        <w:rPr>
          <w:b/>
        </w:rPr>
        <w:t>afsmittende effekter </w:t>
      </w:r>
      <w:r>
        <w:rPr/>
        <w:t>(hvor andre organisationer har gevinsterne, herunder samfundsøkonomiske gevinster) i tilfælde af anden investering end den offentlige (såkaldt </w:t>
      </w:r>
      <w:r>
        <w:rPr>
          <w:b/>
        </w:rPr>
        <w:t>løftet indskud</w:t>
      </w:r>
      <w:r>
        <w:rPr/>
        <w:t>). Definitionen af investe-</w:t>
      </w:r>
    </w:p>
    <w:p>
      <w:pPr>
        <w:pStyle w:val="BodyText"/>
        <w:spacing w:before="3"/>
        <w:rPr>
          <w:sz w:val="11"/>
        </w:rPr>
      </w:pPr>
      <w:r>
        <w:rPr/>
        <w:pict>
          <v:line style="position:absolute;mso-position-horizontal-relative:page;mso-position-vertical-relative:paragraph;z-index:2888;mso-wrap-distance-left:0;mso-wrap-distance-right:0" from="85.103996pt,9.064795pt" to="229.123996pt,9.064795pt" stroked="true" strokeweight=".48004pt" strokecolor="#000000">
            <v:stroke dashstyle="solid"/>
            <w10:wrap type="topAndBottom"/>
          </v:line>
        </w:pict>
      </w:r>
    </w:p>
    <w:p>
      <w:pPr>
        <w:spacing w:before="99"/>
        <w:ind w:left="742" w:right="0" w:firstLine="0"/>
        <w:jc w:val="left"/>
        <w:rPr>
          <w:sz w:val="13"/>
        </w:rPr>
      </w:pPr>
      <w:r>
        <w:rPr>
          <w:position w:val="6"/>
          <w:sz w:val="8"/>
        </w:rPr>
        <w:t>24 </w:t>
      </w:r>
      <w:r>
        <w:rPr>
          <w:sz w:val="13"/>
        </w:rPr>
        <w:t>Direkte, indirekte og igangsatte.</w:t>
      </w:r>
    </w:p>
    <w:p>
      <w:pPr>
        <w:spacing w:line="316" w:lineRule="auto" w:before="43"/>
        <w:ind w:left="742" w:right="1181" w:firstLine="0"/>
        <w:jc w:val="left"/>
        <w:rPr>
          <w:sz w:val="13"/>
        </w:rPr>
      </w:pPr>
      <w:r>
        <w:rPr>
          <w:position w:val="6"/>
          <w:sz w:val="8"/>
        </w:rPr>
        <w:t>25 </w:t>
      </w:r>
      <w:r>
        <w:rPr>
          <w:sz w:val="13"/>
        </w:rPr>
        <w:t>Rambøll Management (2008), </w:t>
      </w:r>
      <w:r>
        <w:rPr>
          <w:i/>
          <w:sz w:val="13"/>
        </w:rPr>
        <w:t>An Evaluation of Danish Industrial Activities in the European Space Agency (ESA): Assessment of the </w:t>
      </w:r>
      <w:r>
        <w:rPr>
          <w:i/>
          <w:sz w:val="13"/>
        </w:rPr>
        <w:t>economic impacts of the Danish ESA membership</w:t>
      </w:r>
      <w:r>
        <w:rPr>
          <w:sz w:val="13"/>
        </w:rPr>
        <w:t>.</w:t>
      </w:r>
    </w:p>
    <w:p>
      <w:pPr>
        <w:spacing w:line="161" w:lineRule="exact" w:before="0"/>
        <w:ind w:left="742" w:right="0" w:firstLine="0"/>
        <w:jc w:val="left"/>
        <w:rPr>
          <w:sz w:val="13"/>
        </w:rPr>
      </w:pPr>
      <w:r>
        <w:rPr>
          <w:position w:val="6"/>
          <w:sz w:val="8"/>
        </w:rPr>
        <w:t>26 </w:t>
      </w:r>
      <w:r>
        <w:rPr>
          <w:sz w:val="13"/>
        </w:rPr>
        <w:t>London Economics (2015) </w:t>
      </w:r>
      <w:r>
        <w:rPr>
          <w:i/>
          <w:sz w:val="13"/>
        </w:rPr>
        <w:t>Return from Public Space Investments: An initial analysis of evidence – November 2015</w:t>
      </w:r>
      <w:r>
        <w:rPr>
          <w:sz w:val="13"/>
        </w:rPr>
        <w:t>, tilgængelig</w:t>
      </w:r>
      <w:r>
        <w:rPr>
          <w:spacing w:val="-30"/>
          <w:sz w:val="13"/>
        </w:rPr>
        <w:t> </w:t>
      </w:r>
      <w:r>
        <w:rPr>
          <w:sz w:val="13"/>
        </w:rPr>
        <w:t>her:</w:t>
      </w:r>
    </w:p>
    <w:p>
      <w:pPr>
        <w:spacing w:before="51"/>
        <w:ind w:left="742" w:right="0" w:firstLine="0"/>
        <w:jc w:val="left"/>
        <w:rPr>
          <w:sz w:val="13"/>
        </w:rPr>
      </w:pPr>
      <w:hyperlink r:id="rId65">
        <w:r>
          <w:rPr>
            <w:color w:val="009DDF"/>
            <w:sz w:val="13"/>
          </w:rPr>
          <w:t>http://londoneconomics.co.uk/blog/publication/return-from-public-space-investments-an-initial-analysis-of-evidence-november-2015/</w:t>
        </w:r>
      </w:hyperlink>
    </w:p>
    <w:p>
      <w:pPr>
        <w:spacing w:after="0"/>
        <w:jc w:val="left"/>
        <w:rPr>
          <w:sz w:val="13"/>
        </w:rPr>
        <w:sectPr>
          <w:pgSz w:w="11910" w:h="16840"/>
          <w:pgMar w:header="0" w:footer="1056" w:top="1580" w:bottom="1240" w:left="960" w:right="0"/>
        </w:sectPr>
      </w:pPr>
    </w:p>
    <w:p>
      <w:pPr>
        <w:spacing w:line="264" w:lineRule="auto" w:before="126"/>
        <w:ind w:left="742" w:right="1287" w:firstLine="0"/>
        <w:jc w:val="left"/>
        <w:rPr>
          <w:sz w:val="18"/>
        </w:rPr>
      </w:pPr>
      <w:r>
        <w:rPr>
          <w:sz w:val="18"/>
        </w:rPr>
        <w:t>ringsafkast følger den britiske stats ønske og beregnes som </w:t>
      </w:r>
      <w:r>
        <w:rPr>
          <w:b/>
          <w:sz w:val="18"/>
        </w:rPr>
        <w:t>netto nutidsværdi/offentlig bevil- ling</w:t>
      </w:r>
      <w:r>
        <w:rPr>
          <w:sz w:val="18"/>
        </w:rPr>
        <w:t>, som resulterer i en beregning af afkastet ved 1 britisk pund investeret.</w:t>
      </w:r>
    </w:p>
    <w:p>
      <w:pPr>
        <w:pStyle w:val="BodyText"/>
        <w:spacing w:before="8"/>
        <w:rPr>
          <w:sz w:val="19"/>
        </w:rPr>
      </w:pPr>
    </w:p>
    <w:p>
      <w:pPr>
        <w:pStyle w:val="BodyText"/>
        <w:spacing w:line="264" w:lineRule="auto"/>
        <w:ind w:left="742" w:right="1154"/>
      </w:pPr>
      <w:r>
        <w:rPr/>
        <w:t>At ruminvesteringer er forskellige fra andre investeringer i videnskab og forskning, er en almindelig hypotese, og de fleste mener at have kendskab til væsentlig teknologi udviklet af NASA gennem Apollo-programmet.</w:t>
      </w:r>
      <w:r>
        <w:rPr>
          <w:vertAlign w:val="superscript"/>
        </w:rPr>
        <w:t>27</w:t>
      </w:r>
      <w:r>
        <w:rPr>
          <w:vertAlign w:val="baseline"/>
        </w:rPr>
        <w:t> Der er ikke desto mindre mange aspekter, der støtter hypotesen:</w:t>
      </w:r>
    </w:p>
    <w:p>
      <w:pPr>
        <w:pStyle w:val="BodyText"/>
        <w:spacing w:before="7"/>
        <w:rPr>
          <w:sz w:val="19"/>
        </w:rPr>
      </w:pPr>
    </w:p>
    <w:p>
      <w:pPr>
        <w:pStyle w:val="BodyText"/>
        <w:ind w:left="742"/>
      </w:pPr>
      <w:r>
        <w:rPr/>
        <w:t>Rumindustrien:</w:t>
      </w:r>
    </w:p>
    <w:p>
      <w:pPr>
        <w:pStyle w:val="ListParagraph"/>
        <w:numPr>
          <w:ilvl w:val="3"/>
          <w:numId w:val="7"/>
        </w:numPr>
        <w:tabs>
          <w:tab w:pos="1058" w:val="left" w:leader="none"/>
          <w:tab w:pos="1059" w:val="left" w:leader="none"/>
        </w:tabs>
        <w:spacing w:line="240" w:lineRule="auto" w:before="22" w:after="0"/>
        <w:ind w:left="1058" w:right="0" w:hanging="283"/>
        <w:jc w:val="left"/>
        <w:rPr>
          <w:sz w:val="18"/>
        </w:rPr>
      </w:pPr>
      <w:r>
        <w:rPr>
          <w:sz w:val="18"/>
        </w:rPr>
        <w:t>Meget </w:t>
      </w:r>
      <w:r>
        <w:rPr>
          <w:b/>
          <w:sz w:val="18"/>
        </w:rPr>
        <w:t>forskning og udviklings</w:t>
      </w:r>
      <w:r>
        <w:rPr>
          <w:sz w:val="18"/>
        </w:rPr>
        <w:t>tung</w:t>
      </w:r>
    </w:p>
    <w:p>
      <w:pPr>
        <w:pStyle w:val="ListParagraph"/>
        <w:numPr>
          <w:ilvl w:val="3"/>
          <w:numId w:val="7"/>
        </w:numPr>
        <w:tabs>
          <w:tab w:pos="1058" w:val="left" w:leader="none"/>
          <w:tab w:pos="1059" w:val="left" w:leader="none"/>
        </w:tabs>
        <w:spacing w:line="240" w:lineRule="auto" w:before="19" w:after="0"/>
        <w:ind w:left="1058" w:right="0" w:hanging="283"/>
        <w:jc w:val="left"/>
        <w:rPr>
          <w:sz w:val="18"/>
        </w:rPr>
      </w:pPr>
      <w:r>
        <w:rPr>
          <w:b/>
          <w:sz w:val="18"/>
        </w:rPr>
        <w:t>Højtuddannede </w:t>
      </w:r>
      <w:r>
        <w:rPr>
          <w:sz w:val="18"/>
        </w:rPr>
        <w:t>medarbejdere</w:t>
      </w:r>
    </w:p>
    <w:p>
      <w:pPr>
        <w:pStyle w:val="ListParagraph"/>
        <w:numPr>
          <w:ilvl w:val="3"/>
          <w:numId w:val="7"/>
        </w:numPr>
        <w:tabs>
          <w:tab w:pos="1058" w:val="left" w:leader="none"/>
          <w:tab w:pos="1059" w:val="left" w:leader="none"/>
        </w:tabs>
        <w:spacing w:line="240" w:lineRule="auto" w:before="20" w:after="0"/>
        <w:ind w:left="1058" w:right="0" w:hanging="283"/>
        <w:jc w:val="left"/>
        <w:rPr>
          <w:b/>
          <w:sz w:val="18"/>
        </w:rPr>
      </w:pPr>
      <w:r>
        <w:rPr>
          <w:sz w:val="18"/>
        </w:rPr>
        <w:t>Høj</w:t>
      </w:r>
      <w:r>
        <w:rPr>
          <w:spacing w:val="-2"/>
          <w:sz w:val="18"/>
        </w:rPr>
        <w:t> </w:t>
      </w:r>
      <w:r>
        <w:rPr>
          <w:b/>
          <w:sz w:val="18"/>
        </w:rPr>
        <w:t>eksportintensitet</w:t>
      </w:r>
    </w:p>
    <w:p>
      <w:pPr>
        <w:pStyle w:val="ListParagraph"/>
        <w:numPr>
          <w:ilvl w:val="3"/>
          <w:numId w:val="7"/>
        </w:numPr>
        <w:tabs>
          <w:tab w:pos="1058" w:val="left" w:leader="none"/>
          <w:tab w:pos="1059" w:val="left" w:leader="none"/>
        </w:tabs>
        <w:spacing w:line="240" w:lineRule="auto" w:before="19" w:after="0"/>
        <w:ind w:left="1058" w:right="0" w:hanging="283"/>
        <w:jc w:val="left"/>
        <w:rPr>
          <w:sz w:val="18"/>
        </w:rPr>
      </w:pPr>
      <w:r>
        <w:rPr>
          <w:sz w:val="18"/>
        </w:rPr>
        <w:t>Høj </w:t>
      </w:r>
      <w:r>
        <w:rPr>
          <w:b/>
          <w:sz w:val="18"/>
        </w:rPr>
        <w:t>vækst</w:t>
      </w:r>
      <w:r>
        <w:rPr>
          <w:b/>
          <w:spacing w:val="1"/>
          <w:sz w:val="18"/>
        </w:rPr>
        <w:t> </w:t>
      </w:r>
      <w:r>
        <w:rPr>
          <w:sz w:val="18"/>
        </w:rPr>
        <w:t>(globalt).</w:t>
      </w:r>
    </w:p>
    <w:p>
      <w:pPr>
        <w:pStyle w:val="BodyText"/>
        <w:spacing w:before="4"/>
        <w:rPr>
          <w:sz w:val="21"/>
        </w:rPr>
      </w:pPr>
    </w:p>
    <w:p>
      <w:pPr>
        <w:pStyle w:val="BodyText"/>
        <w:ind w:left="742"/>
      </w:pPr>
      <w:r>
        <w:rPr/>
        <w:t>Den øvrige rumøkonomi:</w:t>
      </w:r>
    </w:p>
    <w:p>
      <w:pPr>
        <w:pStyle w:val="ListParagraph"/>
        <w:numPr>
          <w:ilvl w:val="3"/>
          <w:numId w:val="7"/>
        </w:numPr>
        <w:tabs>
          <w:tab w:pos="1058" w:val="left" w:leader="none"/>
          <w:tab w:pos="1059" w:val="left" w:leader="none"/>
        </w:tabs>
        <w:spacing w:line="240" w:lineRule="auto" w:before="22" w:after="0"/>
        <w:ind w:left="1058" w:right="0" w:hanging="283"/>
        <w:jc w:val="left"/>
        <w:rPr>
          <w:sz w:val="18"/>
        </w:rPr>
      </w:pPr>
      <w:r>
        <w:rPr>
          <w:sz w:val="18"/>
        </w:rPr>
        <w:t>Rummet </w:t>
      </w:r>
      <w:r>
        <w:rPr>
          <w:b/>
          <w:sz w:val="18"/>
        </w:rPr>
        <w:t>favner bredt </w:t>
      </w:r>
      <w:r>
        <w:rPr>
          <w:sz w:val="18"/>
        </w:rPr>
        <w:t>og er en </w:t>
      </w:r>
      <w:r>
        <w:rPr>
          <w:b/>
          <w:sz w:val="18"/>
        </w:rPr>
        <w:t>nødvendig kilde </w:t>
      </w:r>
      <w:r>
        <w:rPr>
          <w:sz w:val="18"/>
        </w:rPr>
        <w:t>til mange</w:t>
      </w:r>
      <w:r>
        <w:rPr>
          <w:spacing w:val="-7"/>
          <w:sz w:val="18"/>
        </w:rPr>
        <w:t> </w:t>
      </w:r>
      <w:r>
        <w:rPr>
          <w:sz w:val="18"/>
        </w:rPr>
        <w:t>hverdagstjenester</w:t>
      </w:r>
    </w:p>
    <w:p>
      <w:pPr>
        <w:pStyle w:val="ListParagraph"/>
        <w:numPr>
          <w:ilvl w:val="3"/>
          <w:numId w:val="7"/>
        </w:numPr>
        <w:tabs>
          <w:tab w:pos="1058" w:val="left" w:leader="none"/>
          <w:tab w:pos="1059" w:val="left" w:leader="none"/>
        </w:tabs>
        <w:spacing w:line="240" w:lineRule="auto" w:before="20" w:after="0"/>
        <w:ind w:left="1058" w:right="0" w:hanging="283"/>
        <w:jc w:val="left"/>
        <w:rPr>
          <w:b/>
          <w:sz w:val="18"/>
        </w:rPr>
      </w:pPr>
      <w:r>
        <w:rPr>
          <w:sz w:val="18"/>
        </w:rPr>
        <w:t>Rumøkonomien er </w:t>
      </w:r>
      <w:r>
        <w:rPr>
          <w:b/>
          <w:sz w:val="18"/>
        </w:rPr>
        <w:t>repræsenteret i hele</w:t>
      </w:r>
      <w:r>
        <w:rPr>
          <w:b/>
          <w:spacing w:val="-5"/>
          <w:sz w:val="18"/>
        </w:rPr>
        <w:t> </w:t>
      </w:r>
      <w:r>
        <w:rPr>
          <w:b/>
          <w:sz w:val="18"/>
        </w:rPr>
        <w:t>landet</w:t>
      </w:r>
    </w:p>
    <w:p>
      <w:pPr>
        <w:pStyle w:val="ListParagraph"/>
        <w:numPr>
          <w:ilvl w:val="3"/>
          <w:numId w:val="7"/>
        </w:numPr>
        <w:tabs>
          <w:tab w:pos="1058" w:val="left" w:leader="none"/>
          <w:tab w:pos="1059" w:val="left" w:leader="none"/>
        </w:tabs>
        <w:spacing w:line="261" w:lineRule="auto" w:before="19" w:after="0"/>
        <w:ind w:left="1058" w:right="1424" w:hanging="283"/>
        <w:jc w:val="left"/>
        <w:rPr>
          <w:b/>
          <w:sz w:val="18"/>
        </w:rPr>
      </w:pPr>
      <w:r>
        <w:rPr>
          <w:sz w:val="18"/>
        </w:rPr>
        <w:t>Rummet kan fange befolkningens </w:t>
      </w:r>
      <w:r>
        <w:rPr>
          <w:b/>
          <w:sz w:val="18"/>
        </w:rPr>
        <w:t>fantasi </w:t>
      </w:r>
      <w:r>
        <w:rPr>
          <w:sz w:val="18"/>
        </w:rPr>
        <w:t>og </w:t>
      </w:r>
      <w:r>
        <w:rPr>
          <w:b/>
          <w:sz w:val="18"/>
        </w:rPr>
        <w:t>inspirere </w:t>
      </w:r>
      <w:r>
        <w:rPr>
          <w:sz w:val="18"/>
        </w:rPr>
        <w:t>til en karriere inden for </w:t>
      </w:r>
      <w:r>
        <w:rPr>
          <w:b/>
          <w:sz w:val="18"/>
        </w:rPr>
        <w:t>naturviden- skab.</w:t>
      </w:r>
    </w:p>
    <w:p>
      <w:pPr>
        <w:pStyle w:val="BodyText"/>
        <w:spacing w:before="10"/>
        <w:rPr>
          <w:b/>
          <w:sz w:val="19"/>
        </w:rPr>
      </w:pPr>
    </w:p>
    <w:p>
      <w:pPr>
        <w:pStyle w:val="BodyText"/>
        <w:ind w:left="742"/>
      </w:pPr>
      <w:r>
        <w:rPr/>
        <w:t>Rumvidenskab og -teknologi:</w:t>
      </w:r>
    </w:p>
    <w:p>
      <w:pPr>
        <w:pStyle w:val="ListParagraph"/>
        <w:numPr>
          <w:ilvl w:val="3"/>
          <w:numId w:val="7"/>
        </w:numPr>
        <w:tabs>
          <w:tab w:pos="1058" w:val="left" w:leader="none"/>
          <w:tab w:pos="1059" w:val="left" w:leader="none"/>
        </w:tabs>
        <w:spacing w:line="240" w:lineRule="auto" w:before="22" w:after="0"/>
        <w:ind w:left="1058" w:right="0" w:hanging="283"/>
        <w:jc w:val="left"/>
        <w:rPr>
          <w:sz w:val="18"/>
        </w:rPr>
      </w:pPr>
      <w:r>
        <w:rPr>
          <w:sz w:val="18"/>
        </w:rPr>
        <w:t>Ruminvesteringer giver adgang at </w:t>
      </w:r>
      <w:r>
        <w:rPr>
          <w:b/>
          <w:sz w:val="18"/>
        </w:rPr>
        <w:t>teste materiale </w:t>
      </w:r>
      <w:r>
        <w:rPr>
          <w:sz w:val="18"/>
        </w:rPr>
        <w:t>i svære miljøer (ISS,</w:t>
      </w:r>
      <w:r>
        <w:rPr>
          <w:spacing w:val="-11"/>
          <w:sz w:val="18"/>
        </w:rPr>
        <w:t> </w:t>
      </w:r>
      <w:r>
        <w:rPr>
          <w:sz w:val="18"/>
        </w:rPr>
        <w:t>satellitter)</w:t>
      </w:r>
    </w:p>
    <w:p>
      <w:pPr>
        <w:pStyle w:val="ListParagraph"/>
        <w:numPr>
          <w:ilvl w:val="3"/>
          <w:numId w:val="7"/>
        </w:numPr>
        <w:tabs>
          <w:tab w:pos="1058" w:val="left" w:leader="none"/>
          <w:tab w:pos="1059" w:val="left" w:leader="none"/>
        </w:tabs>
        <w:spacing w:line="261" w:lineRule="auto" w:before="19" w:after="0"/>
        <w:ind w:left="1058" w:right="1437" w:hanging="283"/>
        <w:jc w:val="left"/>
        <w:rPr>
          <w:sz w:val="18"/>
        </w:rPr>
      </w:pPr>
      <w:r>
        <w:rPr>
          <w:sz w:val="18"/>
        </w:rPr>
        <w:t>Rummet er den </w:t>
      </w:r>
      <w:r>
        <w:rPr>
          <w:b/>
          <w:sz w:val="18"/>
        </w:rPr>
        <w:t>yderste grænse </w:t>
      </w:r>
      <w:r>
        <w:rPr>
          <w:sz w:val="18"/>
        </w:rPr>
        <w:t>af det teknologisk mulige, hvilket betyder, at isenkram der fungerer i rummet, </w:t>
      </w:r>
      <w:r>
        <w:rPr>
          <w:b/>
          <w:sz w:val="18"/>
        </w:rPr>
        <w:t>nødvendigvis </w:t>
      </w:r>
      <w:r>
        <w:rPr>
          <w:sz w:val="18"/>
        </w:rPr>
        <w:t>kan fungere på</w:t>
      </w:r>
      <w:r>
        <w:rPr>
          <w:spacing w:val="-4"/>
          <w:sz w:val="18"/>
        </w:rPr>
        <w:t> </w:t>
      </w:r>
      <w:r>
        <w:rPr>
          <w:sz w:val="18"/>
        </w:rPr>
        <w:t>jorden.</w:t>
      </w:r>
    </w:p>
    <w:p>
      <w:pPr>
        <w:pStyle w:val="BodyText"/>
        <w:spacing w:before="10"/>
        <w:rPr>
          <w:sz w:val="19"/>
        </w:rPr>
      </w:pPr>
    </w:p>
    <w:p>
      <w:pPr>
        <w:pStyle w:val="BodyText"/>
        <w:spacing w:line="264" w:lineRule="auto"/>
        <w:ind w:left="742" w:right="1168"/>
      </w:pPr>
      <w:r>
        <w:rPr/>
        <w:t>Analysen af litteraturen på området har vist sig at have visse begrænsninger. Generelt er det en hæmsko, at de 57 artikler ikke følger en standardiseret evalueringsmodel, med det resultat at de 57 artikler fremstår som en samling af specifikke eksempler, hvor det er vanskeligt at uddrage tværgående resultater. Resultaterne, der præsenteres nedenfor, er derfor præget af usikkerhed for så vidt angår definitioner, metode og gevinstkategorier på tværs af artikler og repræsenterer i ste- det London Economics’ samlede analyse, som også gjorde brug af konsultation med interessenter fra industrien, offentlige myndigheder og forskersegmentet.</w:t>
      </w:r>
    </w:p>
    <w:p>
      <w:pPr>
        <w:pStyle w:val="BodyText"/>
        <w:spacing w:before="5"/>
        <w:rPr>
          <w:sz w:val="19"/>
        </w:rPr>
      </w:pPr>
    </w:p>
    <w:p>
      <w:pPr>
        <w:pStyle w:val="BodyText"/>
        <w:spacing w:line="264" w:lineRule="auto"/>
        <w:ind w:left="742" w:right="1159"/>
        <w:rPr>
          <w:sz w:val="8"/>
        </w:rPr>
      </w:pPr>
      <w:r>
        <w:rPr/>
        <w:t>Generelt behandlede meget få artikler de afledte effekter, så der var ikke evidens for at antage, at rummet adskiller sig fra øvrige investeringer i videnskab og teknologi, og derfor benyttes et esti- mat fra en omfattende gennemgang af afkastet ved investering i videnskab og innovation. Resulta- ter er at de afsmittende effekter er to til tre gange højere end direkte effekter.</w:t>
      </w:r>
      <w:r>
        <w:rPr>
          <w:w w:val="99"/>
          <w:position w:val="6"/>
          <w:sz w:val="8"/>
        </w:rPr>
        <w:t>28</w:t>
      </w:r>
    </w:p>
    <w:p>
      <w:pPr>
        <w:spacing w:before="143"/>
        <w:ind w:left="742" w:right="0" w:firstLine="0"/>
        <w:jc w:val="left"/>
        <w:rPr>
          <w:b/>
          <w:sz w:val="15"/>
        </w:rPr>
      </w:pPr>
      <w:bookmarkStart w:name="_bookmark28" w:id="29"/>
      <w:bookmarkEnd w:id="29"/>
      <w:r>
        <w:rPr/>
      </w:r>
      <w:r>
        <w:rPr>
          <w:b/>
          <w:color w:val="009DDF"/>
          <w:sz w:val="15"/>
        </w:rPr>
        <w:t>Tabel 7. Resultater af litteraturgennemgang</w:t>
      </w:r>
    </w:p>
    <w:p>
      <w:pPr>
        <w:pStyle w:val="BodyText"/>
        <w:spacing w:before="3"/>
        <w:rPr>
          <w:b/>
          <w:sz w:val="8"/>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2018"/>
        <w:gridCol w:w="7271"/>
      </w:tblGrid>
      <w:tr>
        <w:trPr>
          <w:trHeight w:val="294" w:hRule="atLeast"/>
        </w:trPr>
        <w:tc>
          <w:tcPr>
            <w:tcW w:w="2018" w:type="dxa"/>
            <w:tcBorders>
              <w:right w:val="nil"/>
            </w:tcBorders>
            <w:shd w:val="clear" w:color="auto" w:fill="A7D2F5"/>
          </w:tcPr>
          <w:p>
            <w:pPr>
              <w:pStyle w:val="TableParagraph"/>
              <w:spacing w:before="42"/>
              <w:rPr>
                <w:b/>
                <w:sz w:val="16"/>
              </w:rPr>
            </w:pPr>
            <w:r>
              <w:rPr>
                <w:b/>
                <w:color w:val="FFFFFF"/>
                <w:sz w:val="16"/>
              </w:rPr>
              <w:t>Område</w:t>
            </w:r>
          </w:p>
        </w:tc>
        <w:tc>
          <w:tcPr>
            <w:tcW w:w="7271" w:type="dxa"/>
            <w:tcBorders>
              <w:left w:val="nil"/>
            </w:tcBorders>
            <w:shd w:val="clear" w:color="auto" w:fill="A7D2F5"/>
          </w:tcPr>
          <w:p>
            <w:pPr>
              <w:pStyle w:val="TableParagraph"/>
              <w:spacing w:before="42"/>
              <w:ind w:left="356"/>
              <w:rPr>
                <w:b/>
                <w:sz w:val="16"/>
              </w:rPr>
            </w:pPr>
            <w:r>
              <w:rPr>
                <w:b/>
                <w:color w:val="FFFFFF"/>
                <w:sz w:val="16"/>
              </w:rPr>
              <w:t>Resultat</w:t>
            </w:r>
          </w:p>
        </w:tc>
      </w:tr>
      <w:tr>
        <w:trPr>
          <w:trHeight w:val="1578" w:hRule="atLeast"/>
        </w:trPr>
        <w:tc>
          <w:tcPr>
            <w:tcW w:w="2018" w:type="dxa"/>
            <w:tcBorders>
              <w:right w:val="nil"/>
            </w:tcBorders>
            <w:shd w:val="clear" w:color="auto" w:fill="E9F4FB"/>
          </w:tcPr>
          <w:p>
            <w:pPr>
              <w:pStyle w:val="TableParagraph"/>
              <w:rPr>
                <w:b/>
                <w:sz w:val="16"/>
              </w:rPr>
            </w:pPr>
            <w:r>
              <w:rPr>
                <w:b/>
                <w:sz w:val="16"/>
              </w:rPr>
              <w:t>ESA-medlemskab</w:t>
            </w:r>
          </w:p>
        </w:tc>
        <w:tc>
          <w:tcPr>
            <w:tcW w:w="7271" w:type="dxa"/>
            <w:tcBorders>
              <w:left w:val="nil"/>
            </w:tcBorders>
            <w:shd w:val="clear" w:color="auto" w:fill="E9F4FB"/>
          </w:tcPr>
          <w:p>
            <w:pPr>
              <w:pStyle w:val="TableParagraph"/>
              <w:spacing w:line="264" w:lineRule="auto"/>
              <w:ind w:left="356" w:right="105"/>
              <w:rPr>
                <w:sz w:val="16"/>
              </w:rPr>
            </w:pPr>
            <w:r>
              <w:rPr>
                <w:sz w:val="16"/>
              </w:rPr>
              <w:t>Generelt fokuserede disse artikler alene på direkte, industrielle gevinster ved ESA- medlemskab med meget begrænsede oplysninger om afsmittende effekter. Efter justering af forskellige metoder i de forskellige artikler viser analysen, at det</w:t>
            </w:r>
            <w:r>
              <w:rPr>
                <w:spacing w:val="-31"/>
                <w:sz w:val="16"/>
              </w:rPr>
              <w:t> </w:t>
            </w:r>
            <w:r>
              <w:rPr>
                <w:sz w:val="16"/>
              </w:rPr>
              <w:t>direkte afkast fra ESA-medlemskab er ca. </w:t>
            </w:r>
            <w:r>
              <w:rPr>
                <w:b/>
                <w:sz w:val="16"/>
              </w:rPr>
              <w:t>3-4 kroner pr. krone </w:t>
            </w:r>
            <w:r>
              <w:rPr>
                <w:sz w:val="16"/>
              </w:rPr>
              <w:t>offentlig investering – ikke langt fra Rambølls resultat fra 2008,</w:t>
            </w:r>
            <w:r>
              <w:rPr>
                <w:position w:val="6"/>
                <w:sz w:val="8"/>
              </w:rPr>
              <w:t>29 </w:t>
            </w:r>
            <w:r>
              <w:rPr>
                <w:sz w:val="16"/>
              </w:rPr>
              <w:t>som viser afkast på 3,7-5,4 under for- skellige scenarier. </w:t>
            </w:r>
            <w:r>
              <w:rPr>
                <w:b/>
                <w:sz w:val="16"/>
              </w:rPr>
              <w:t>Afsmittende effekter </w:t>
            </w:r>
            <w:r>
              <w:rPr>
                <w:sz w:val="16"/>
              </w:rPr>
              <w:t>kan, under ovenstående antagelse, såle- des vurderes til </w:t>
            </w:r>
            <w:r>
              <w:rPr>
                <w:b/>
                <w:sz w:val="16"/>
              </w:rPr>
              <w:t>6-12 kroner pr. krone</w:t>
            </w:r>
            <w:r>
              <w:rPr>
                <w:b/>
                <w:spacing w:val="-8"/>
                <w:sz w:val="16"/>
              </w:rPr>
              <w:t> </w:t>
            </w:r>
            <w:r>
              <w:rPr>
                <w:sz w:val="16"/>
              </w:rPr>
              <w:t>investeret.</w:t>
            </w:r>
          </w:p>
        </w:tc>
      </w:tr>
    </w:tbl>
    <w:p>
      <w:pPr>
        <w:pStyle w:val="BodyText"/>
        <w:rPr>
          <w:b/>
          <w:sz w:val="20"/>
        </w:rPr>
      </w:pPr>
    </w:p>
    <w:p>
      <w:pPr>
        <w:pStyle w:val="BodyText"/>
        <w:rPr>
          <w:b/>
          <w:sz w:val="20"/>
        </w:rPr>
      </w:pPr>
    </w:p>
    <w:p>
      <w:pPr>
        <w:pStyle w:val="BodyText"/>
        <w:spacing w:before="2"/>
        <w:rPr>
          <w:b/>
          <w:sz w:val="14"/>
        </w:rPr>
      </w:pPr>
      <w:r>
        <w:rPr/>
        <w:pict>
          <v:line style="position:absolute;mso-position-horizontal-relative:page;mso-position-vertical-relative:paragraph;z-index:2912;mso-wrap-distance-left:0;mso-wrap-distance-right:0" from="85.103996pt,10.853339pt" to="229.123996pt,10.853339pt" stroked="true" strokeweight=".48004pt" strokecolor="#000000">
            <v:stroke dashstyle="solid"/>
            <w10:wrap type="topAndBottom"/>
          </v:line>
        </w:pict>
      </w:r>
    </w:p>
    <w:p>
      <w:pPr>
        <w:spacing w:line="321" w:lineRule="auto" w:before="99"/>
        <w:ind w:left="742" w:right="1181" w:firstLine="0"/>
        <w:jc w:val="left"/>
        <w:rPr>
          <w:sz w:val="13"/>
        </w:rPr>
      </w:pPr>
      <w:r>
        <w:rPr>
          <w:position w:val="6"/>
          <w:sz w:val="8"/>
        </w:rPr>
        <w:t>27 </w:t>
      </w:r>
      <w:r>
        <w:rPr>
          <w:sz w:val="13"/>
        </w:rPr>
        <w:t>Teflon og Velcro nævnes ofte i denne sammenhæng, og skønt teknologierne teknisk set ikke blev udviklet til Apollo, er det korrekt, at de blev brugt og forædlet således at de kunne finde bedre og mere anvendelse på Jorden.</w:t>
      </w:r>
    </w:p>
    <w:p>
      <w:pPr>
        <w:spacing w:line="155" w:lineRule="exact" w:before="0"/>
        <w:ind w:left="742" w:right="0" w:firstLine="0"/>
        <w:jc w:val="left"/>
        <w:rPr>
          <w:i/>
          <w:sz w:val="13"/>
        </w:rPr>
      </w:pPr>
      <w:r>
        <w:rPr>
          <w:position w:val="6"/>
          <w:sz w:val="8"/>
        </w:rPr>
        <w:t>28 </w:t>
      </w:r>
      <w:r>
        <w:rPr>
          <w:sz w:val="13"/>
        </w:rPr>
        <w:t>Frontier Economics (2014) </w:t>
      </w:r>
      <w:r>
        <w:rPr>
          <w:i/>
          <w:sz w:val="13"/>
        </w:rPr>
        <w:t>Rates of return to investment in science and innovation.</w:t>
      </w:r>
    </w:p>
    <w:p>
      <w:pPr>
        <w:spacing w:line="316" w:lineRule="auto" w:before="43"/>
        <w:ind w:left="742" w:right="1420" w:firstLine="0"/>
        <w:jc w:val="left"/>
        <w:rPr>
          <w:sz w:val="13"/>
        </w:rPr>
      </w:pPr>
      <w:r>
        <w:rPr>
          <w:position w:val="6"/>
          <w:sz w:val="8"/>
        </w:rPr>
        <w:t>29 </w:t>
      </w:r>
      <w:r>
        <w:rPr>
          <w:sz w:val="13"/>
        </w:rPr>
        <w:t>Rambøll Management (2008), </w:t>
      </w:r>
      <w:r>
        <w:rPr>
          <w:i/>
          <w:sz w:val="13"/>
        </w:rPr>
        <w:t>An Evaluation of Danish Industrial Activities in the European Space Agency (ESA): Assessment of the </w:t>
      </w:r>
      <w:r>
        <w:rPr>
          <w:i/>
          <w:sz w:val="13"/>
        </w:rPr>
        <w:t>economic impacts of the Danish ESA membership</w:t>
      </w:r>
      <w:r>
        <w:rPr>
          <w:sz w:val="13"/>
        </w:rPr>
        <w:t>.</w:t>
      </w:r>
    </w:p>
    <w:p>
      <w:pPr>
        <w:spacing w:after="0" w:line="316" w:lineRule="auto"/>
        <w:jc w:val="left"/>
        <w:rPr>
          <w:sz w:val="13"/>
        </w:rPr>
        <w:sectPr>
          <w:footerReference w:type="default" r:id="rId66"/>
          <w:pgSz w:w="11910" w:h="16840"/>
          <w:pgMar w:footer="1056" w:header="0" w:top="1580" w:bottom="1240" w:left="960" w:right="0"/>
          <w:pgNumType w:start="31"/>
        </w:sectPr>
      </w:pPr>
    </w:p>
    <w:p>
      <w:pPr>
        <w:pStyle w:val="BodyText"/>
        <w:spacing w:before="5" w:after="1"/>
        <w:rPr>
          <w:sz w:val="8"/>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2257"/>
        <w:gridCol w:w="7034"/>
      </w:tblGrid>
      <w:tr>
        <w:trPr>
          <w:trHeight w:val="294" w:hRule="atLeast"/>
        </w:trPr>
        <w:tc>
          <w:tcPr>
            <w:tcW w:w="2257" w:type="dxa"/>
            <w:tcBorders>
              <w:right w:val="nil"/>
            </w:tcBorders>
            <w:shd w:val="clear" w:color="auto" w:fill="A7D2F5"/>
          </w:tcPr>
          <w:p>
            <w:pPr>
              <w:pStyle w:val="TableParagraph"/>
              <w:rPr>
                <w:b/>
                <w:sz w:val="16"/>
              </w:rPr>
            </w:pPr>
            <w:r>
              <w:rPr>
                <w:b/>
                <w:color w:val="FFFFFF"/>
                <w:sz w:val="16"/>
              </w:rPr>
              <w:t>Område</w:t>
            </w:r>
          </w:p>
        </w:tc>
        <w:tc>
          <w:tcPr>
            <w:tcW w:w="7034" w:type="dxa"/>
            <w:tcBorders>
              <w:left w:val="nil"/>
            </w:tcBorders>
            <w:shd w:val="clear" w:color="auto" w:fill="A7D2F5"/>
          </w:tcPr>
          <w:p>
            <w:pPr>
              <w:pStyle w:val="TableParagraph"/>
              <w:ind w:left="117"/>
              <w:rPr>
                <w:b/>
                <w:sz w:val="16"/>
              </w:rPr>
            </w:pPr>
            <w:r>
              <w:rPr>
                <w:b/>
                <w:color w:val="FFFFFF"/>
                <w:sz w:val="16"/>
              </w:rPr>
              <w:t>Resultat</w:t>
            </w:r>
          </w:p>
        </w:tc>
      </w:tr>
      <w:tr>
        <w:trPr>
          <w:trHeight w:val="1362" w:hRule="atLeast"/>
        </w:trPr>
        <w:tc>
          <w:tcPr>
            <w:tcW w:w="2257" w:type="dxa"/>
            <w:tcBorders>
              <w:right w:val="nil"/>
            </w:tcBorders>
          </w:tcPr>
          <w:p>
            <w:pPr>
              <w:pStyle w:val="TableParagraph"/>
              <w:spacing w:line="264" w:lineRule="auto"/>
              <w:ind w:right="140"/>
              <w:rPr>
                <w:sz w:val="16"/>
              </w:rPr>
            </w:pPr>
            <w:r>
              <w:rPr>
                <w:b/>
                <w:sz w:val="16"/>
              </w:rPr>
              <w:t>Jordobservation </w:t>
            </w:r>
            <w:r>
              <w:rPr>
                <w:sz w:val="16"/>
              </w:rPr>
              <w:t>(inklusive, men ikke kun Copernicus og meteoro- logiske satellitter)</w:t>
            </w:r>
          </w:p>
        </w:tc>
        <w:tc>
          <w:tcPr>
            <w:tcW w:w="7034" w:type="dxa"/>
            <w:tcBorders>
              <w:left w:val="nil"/>
            </w:tcBorders>
          </w:tcPr>
          <w:p>
            <w:pPr>
              <w:pStyle w:val="TableParagraph"/>
              <w:spacing w:line="264" w:lineRule="auto"/>
              <w:ind w:left="117" w:right="123"/>
              <w:rPr>
                <w:sz w:val="16"/>
              </w:rPr>
            </w:pPr>
            <w:r>
              <w:rPr>
                <w:sz w:val="16"/>
              </w:rPr>
              <w:t>Den empiriske evidens for afkastet ved investering i jordobservation er beregnet til </w:t>
            </w:r>
            <w:r>
              <w:rPr>
                <w:b/>
                <w:sz w:val="16"/>
              </w:rPr>
              <w:t>2-4 kroner pr. investeret krone</w:t>
            </w:r>
            <w:r>
              <w:rPr>
                <w:sz w:val="16"/>
              </w:rPr>
              <w:t>, men som gjorde sig gældende for ESA- investeringer, er dette også næsten udelukkende direkte effekter. Som afsnit </w:t>
            </w:r>
            <w:hyperlink w:history="true" w:anchor="_bookmark29">
              <w:r>
                <w:rPr>
                  <w:sz w:val="16"/>
                </w:rPr>
                <w:t>4.2.2</w:t>
              </w:r>
            </w:hyperlink>
            <w:r>
              <w:rPr>
                <w:sz w:val="16"/>
              </w:rPr>
              <w:t> viser, er de afsmittende effekter store, og det er derfor med stor sandsynlighed et underestimat at bruge de generelle værdier til at nå frem til afsmittende effekter på </w:t>
            </w:r>
            <w:r>
              <w:rPr>
                <w:b/>
                <w:sz w:val="16"/>
              </w:rPr>
              <w:t>4-12 kroner pr. krone</w:t>
            </w:r>
            <w:r>
              <w:rPr>
                <w:sz w:val="16"/>
              </w:rPr>
              <w:t>.</w:t>
            </w:r>
          </w:p>
        </w:tc>
      </w:tr>
      <w:tr>
        <w:trPr>
          <w:trHeight w:val="1792" w:hRule="atLeast"/>
        </w:trPr>
        <w:tc>
          <w:tcPr>
            <w:tcW w:w="2257" w:type="dxa"/>
            <w:tcBorders>
              <w:right w:val="nil"/>
            </w:tcBorders>
            <w:shd w:val="clear" w:color="auto" w:fill="E9F4FB"/>
          </w:tcPr>
          <w:p>
            <w:pPr>
              <w:pStyle w:val="TableParagraph"/>
              <w:rPr>
                <w:b/>
                <w:sz w:val="16"/>
              </w:rPr>
            </w:pPr>
            <w:r>
              <w:rPr>
                <w:b/>
                <w:sz w:val="16"/>
              </w:rPr>
              <w:t>Satellitkommunikation</w:t>
            </w:r>
          </w:p>
        </w:tc>
        <w:tc>
          <w:tcPr>
            <w:tcW w:w="7034" w:type="dxa"/>
            <w:tcBorders>
              <w:left w:val="nil"/>
            </w:tcBorders>
            <w:shd w:val="clear" w:color="auto" w:fill="E9F4FB"/>
          </w:tcPr>
          <w:p>
            <w:pPr>
              <w:pStyle w:val="TableParagraph"/>
              <w:spacing w:line="264" w:lineRule="auto"/>
              <w:ind w:left="117" w:right="117"/>
              <w:rPr>
                <w:sz w:val="16"/>
              </w:rPr>
            </w:pPr>
            <w:r>
              <w:rPr>
                <w:sz w:val="16"/>
              </w:rPr>
              <w:t>Studierne af satellitkommunikation udviser betydelig varians i estimatet af det di- rekte afkast ved offentlige investeringer. Dette skyldes blandt andet, at den løftede investering fra den private sektor er betydelig, og at operatørerne er gode til at få betaling for tjenesten. Den direkte effekt er beregnet til </w:t>
            </w:r>
            <w:r>
              <w:rPr>
                <w:b/>
                <w:sz w:val="16"/>
              </w:rPr>
              <w:t>6-7 kroner pr. krone offentlig investering</w:t>
            </w:r>
            <w:r>
              <w:rPr>
                <w:sz w:val="16"/>
              </w:rPr>
              <w:t>. På trods af den høje grad af kommercialisering vil der sta- dig være afsmittende effekter, men det er rimeligt at reducere den generelle koeffi- cient til 1-2 (fra 2-3). Det resulterende afsmittende afkast er således </w:t>
            </w:r>
            <w:r>
              <w:rPr>
                <w:b/>
                <w:sz w:val="16"/>
              </w:rPr>
              <w:t>6-14 kroner pr. krone offentlig investering</w:t>
            </w:r>
            <w:r>
              <w:rPr>
                <w:sz w:val="16"/>
              </w:rPr>
              <w:t>.</w:t>
            </w:r>
          </w:p>
        </w:tc>
      </w:tr>
      <w:tr>
        <w:trPr>
          <w:trHeight w:val="1576" w:hRule="atLeast"/>
        </w:trPr>
        <w:tc>
          <w:tcPr>
            <w:tcW w:w="2257" w:type="dxa"/>
            <w:tcBorders>
              <w:right w:val="nil"/>
            </w:tcBorders>
          </w:tcPr>
          <w:p>
            <w:pPr>
              <w:pStyle w:val="TableParagraph"/>
              <w:spacing w:before="41"/>
              <w:rPr>
                <w:b/>
                <w:sz w:val="16"/>
              </w:rPr>
            </w:pPr>
            <w:r>
              <w:rPr>
                <w:b/>
                <w:sz w:val="16"/>
              </w:rPr>
              <w:t>Navigation</w:t>
            </w:r>
          </w:p>
          <w:p>
            <w:pPr>
              <w:pStyle w:val="TableParagraph"/>
              <w:spacing w:line="261" w:lineRule="auto" w:before="21"/>
              <w:ind w:right="140"/>
              <w:rPr>
                <w:sz w:val="16"/>
              </w:rPr>
            </w:pPr>
            <w:r>
              <w:rPr>
                <w:sz w:val="16"/>
              </w:rPr>
              <w:t>(inklusive, men ikke kun Galileo)</w:t>
            </w:r>
          </w:p>
        </w:tc>
        <w:tc>
          <w:tcPr>
            <w:tcW w:w="7034" w:type="dxa"/>
            <w:tcBorders>
              <w:left w:val="nil"/>
            </w:tcBorders>
          </w:tcPr>
          <w:p>
            <w:pPr>
              <w:pStyle w:val="TableParagraph"/>
              <w:spacing w:line="264" w:lineRule="auto" w:before="41"/>
              <w:ind w:left="117" w:right="161"/>
              <w:rPr>
                <w:sz w:val="16"/>
              </w:rPr>
            </w:pPr>
            <w:r>
              <w:rPr>
                <w:sz w:val="16"/>
              </w:rPr>
              <w:t>Litteraturen viser, at offentlige investeringer i navigation giver et afkast på </w:t>
            </w:r>
            <w:r>
              <w:rPr>
                <w:b/>
                <w:sz w:val="16"/>
              </w:rPr>
              <w:t>4-5 kroner pr. krone offentlig investering</w:t>
            </w:r>
            <w:r>
              <w:rPr>
                <w:sz w:val="16"/>
              </w:rPr>
              <w:t>. Fordi navigation er betalt af offentlige midler (blandt andet fordi det er et offentligt gode) har hidtidige evalueringer af navigation inkluderet visse afsmittende effekter. Som ses i afsnit </w:t>
            </w:r>
            <w:hyperlink w:history="true" w:anchor="_bookmark31">
              <w:r>
                <w:rPr>
                  <w:sz w:val="16"/>
                </w:rPr>
                <w:t>4.2.4 </w:t>
              </w:r>
            </w:hyperlink>
            <w:r>
              <w:rPr>
                <w:sz w:val="16"/>
              </w:rPr>
              <w:t>er det imid- lertid ikke alle afsmittende effekter, der er inkluderet. Den generelle koefficient reduceres derfor til 1-2 (fra 2-3), og de afsmittende afkast beregnes til </w:t>
            </w:r>
            <w:r>
              <w:rPr>
                <w:b/>
                <w:sz w:val="16"/>
              </w:rPr>
              <w:t>4-10 kro- ner pr. krone offentlig investering</w:t>
            </w:r>
            <w:r>
              <w:rPr>
                <w:sz w:val="16"/>
              </w:rPr>
              <w:t>.</w:t>
            </w:r>
          </w:p>
        </w:tc>
      </w:tr>
    </w:tbl>
    <w:p>
      <w:pPr>
        <w:spacing w:line="364" w:lineRule="auto" w:before="83"/>
        <w:ind w:left="742" w:right="1330" w:firstLine="0"/>
        <w:jc w:val="left"/>
        <w:rPr>
          <w:sz w:val="13"/>
        </w:rPr>
      </w:pPr>
      <w:r>
        <w:rPr>
          <w:sz w:val="13"/>
        </w:rPr>
        <w:t>Kilde: London Economics (2015) </w:t>
      </w:r>
      <w:r>
        <w:rPr>
          <w:i/>
          <w:sz w:val="13"/>
        </w:rPr>
        <w:t>Return from Public Space Investments: An initial analysis of evidence</w:t>
      </w:r>
      <w:r>
        <w:rPr>
          <w:sz w:val="13"/>
        </w:rPr>
        <w:t>, tilgængelig her: </w:t>
      </w:r>
      <w:hyperlink r:id="rId65">
        <w:r>
          <w:rPr>
            <w:color w:val="009DDF"/>
            <w:w w:val="95"/>
            <w:sz w:val="13"/>
          </w:rPr>
          <w:t>http://londoneconomics.co.uk/blog/publication/return-from-public-space-investments-an-initial-analysis-of-evidence-november-2015/</w:t>
        </w:r>
        <w:r>
          <w:rPr>
            <w:w w:val="95"/>
            <w:sz w:val="13"/>
          </w:rPr>
          <w:t>.</w:t>
        </w:r>
      </w:hyperlink>
    </w:p>
    <w:p>
      <w:pPr>
        <w:pStyle w:val="BodyText"/>
        <w:spacing w:before="9"/>
        <w:rPr>
          <w:sz w:val="14"/>
        </w:rPr>
      </w:pPr>
    </w:p>
    <w:p>
      <w:pPr>
        <w:pStyle w:val="BodyText"/>
        <w:spacing w:line="264" w:lineRule="auto"/>
        <w:ind w:left="742" w:right="1261"/>
        <w:jc w:val="both"/>
      </w:pPr>
      <w:r>
        <w:rPr/>
        <w:t>Ud over de </w:t>
      </w:r>
      <w:hyperlink w:history="true" w:anchor="_bookmark28">
        <w:r>
          <w:rPr/>
          <w:t>i tabel 7 </w:t>
        </w:r>
      </w:hyperlink>
      <w:r>
        <w:rPr/>
        <w:t>viste resultater om afkast fandt litteraturgennemgangen også, at afkastet ved rumprogrammer (navnlig ESA-medlemskab) vokser i takt med varigheden af programmet. Yderli- gere underresultater af analysen viser:</w:t>
      </w:r>
    </w:p>
    <w:p>
      <w:pPr>
        <w:pStyle w:val="ListParagraph"/>
        <w:numPr>
          <w:ilvl w:val="0"/>
          <w:numId w:val="8"/>
        </w:numPr>
        <w:tabs>
          <w:tab w:pos="1101" w:val="left" w:leader="none"/>
          <w:tab w:pos="1102" w:val="left" w:leader="none"/>
        </w:tabs>
        <w:spacing w:line="217" w:lineRule="exact" w:before="0" w:after="0"/>
        <w:ind w:left="1102" w:right="0" w:hanging="360"/>
        <w:jc w:val="left"/>
        <w:rPr>
          <w:sz w:val="18"/>
        </w:rPr>
      </w:pPr>
      <w:r>
        <w:rPr>
          <w:b/>
          <w:sz w:val="18"/>
        </w:rPr>
        <w:t>Signifikante ikke-kvantificerede gevinster </w:t>
      </w:r>
      <w:r>
        <w:rPr>
          <w:sz w:val="18"/>
        </w:rPr>
        <w:t>nævnes i næsten alle</w:t>
      </w:r>
      <w:r>
        <w:rPr>
          <w:spacing w:val="-6"/>
          <w:sz w:val="18"/>
        </w:rPr>
        <w:t> </w:t>
      </w:r>
      <w:r>
        <w:rPr>
          <w:sz w:val="18"/>
        </w:rPr>
        <w:t>artikler.</w:t>
      </w:r>
    </w:p>
    <w:p>
      <w:pPr>
        <w:pStyle w:val="ListParagraph"/>
        <w:numPr>
          <w:ilvl w:val="0"/>
          <w:numId w:val="8"/>
        </w:numPr>
        <w:tabs>
          <w:tab w:pos="1101" w:val="left" w:leader="none"/>
          <w:tab w:pos="1102" w:val="left" w:leader="none"/>
        </w:tabs>
        <w:spacing w:line="264" w:lineRule="auto" w:before="21" w:after="0"/>
        <w:ind w:left="1102" w:right="1242" w:hanging="360"/>
        <w:jc w:val="left"/>
        <w:rPr>
          <w:sz w:val="18"/>
        </w:rPr>
      </w:pPr>
      <w:r>
        <w:rPr>
          <w:b/>
          <w:sz w:val="18"/>
        </w:rPr>
        <w:t>Ventetiden mellem investeringen og begyndelsen af gevinster varierer </w:t>
      </w:r>
      <w:r>
        <w:rPr>
          <w:sz w:val="18"/>
        </w:rPr>
        <w:t>fra program til program: Grundforskning og udforskning &gt; Infrastrukturkonstruktion &gt; Nærmarkeds innovati- on af eksisterende</w:t>
      </w:r>
      <w:r>
        <w:rPr>
          <w:spacing w:val="-6"/>
          <w:sz w:val="18"/>
        </w:rPr>
        <w:t> </w:t>
      </w:r>
      <w:r>
        <w:rPr>
          <w:sz w:val="18"/>
        </w:rPr>
        <w:t>teknologier,</w:t>
      </w:r>
    </w:p>
    <w:p>
      <w:pPr>
        <w:pStyle w:val="ListParagraph"/>
        <w:numPr>
          <w:ilvl w:val="0"/>
          <w:numId w:val="8"/>
        </w:numPr>
        <w:tabs>
          <w:tab w:pos="1101" w:val="left" w:leader="none"/>
          <w:tab w:pos="1102" w:val="left" w:leader="none"/>
        </w:tabs>
        <w:spacing w:line="264" w:lineRule="auto" w:before="0" w:after="0"/>
        <w:ind w:left="1102" w:right="1247" w:hanging="360"/>
        <w:jc w:val="left"/>
        <w:rPr>
          <w:sz w:val="18"/>
        </w:rPr>
      </w:pPr>
      <w:r>
        <w:rPr>
          <w:b/>
          <w:sz w:val="18"/>
        </w:rPr>
        <w:t>Forskellige gevinsttyper (direkte, afsmittende) høstes på forskellige stadier</w:t>
      </w:r>
      <w:r>
        <w:rPr>
          <w:sz w:val="18"/>
        </w:rPr>
        <w:t>, relateret til programfasen (udvikling, operativ,</w:t>
      </w:r>
      <w:r>
        <w:rPr>
          <w:spacing w:val="-7"/>
          <w:sz w:val="18"/>
        </w:rPr>
        <w:t> </w:t>
      </w:r>
      <w:r>
        <w:rPr>
          <w:sz w:val="18"/>
        </w:rPr>
        <w:t>eftermæle),</w:t>
      </w:r>
    </w:p>
    <w:p>
      <w:pPr>
        <w:pStyle w:val="ListParagraph"/>
        <w:numPr>
          <w:ilvl w:val="0"/>
          <w:numId w:val="8"/>
        </w:numPr>
        <w:tabs>
          <w:tab w:pos="1101" w:val="left" w:leader="none"/>
          <w:tab w:pos="1102" w:val="left" w:leader="none"/>
        </w:tabs>
        <w:spacing w:line="264" w:lineRule="auto" w:before="0" w:after="0"/>
        <w:ind w:left="1102" w:right="1292" w:hanging="360"/>
        <w:jc w:val="left"/>
        <w:rPr>
          <w:sz w:val="18"/>
        </w:rPr>
      </w:pPr>
      <w:r>
        <w:rPr>
          <w:b/>
          <w:sz w:val="18"/>
        </w:rPr>
        <w:t>Eftermælegevinster for </w:t>
      </w:r>
      <w:r>
        <w:rPr>
          <w:b/>
          <w:sz w:val="18"/>
          <w:u w:val="single"/>
        </w:rPr>
        <w:t>rum</w:t>
      </w:r>
      <w:r>
        <w:rPr>
          <w:b/>
          <w:sz w:val="18"/>
        </w:rPr>
        <w:t>-FoU-programmer er langt større end gennemsnittet for videnskab og innovation</w:t>
      </w:r>
      <w:r>
        <w:rPr>
          <w:sz w:val="18"/>
        </w:rPr>
        <w:t>. Disse optræder i form af vedholdende afsmittende gevinster gen- nem teknologioverførsel, spinoff og innovation af eksisterende</w:t>
      </w:r>
      <w:r>
        <w:rPr>
          <w:spacing w:val="-17"/>
          <w:sz w:val="18"/>
        </w:rPr>
        <w:t> </w:t>
      </w:r>
      <w:r>
        <w:rPr>
          <w:sz w:val="18"/>
        </w:rPr>
        <w:t>teknologier.</w:t>
      </w:r>
    </w:p>
    <w:p>
      <w:pPr>
        <w:pStyle w:val="BodyText"/>
        <w:spacing w:before="3"/>
        <w:rPr>
          <w:sz w:val="19"/>
        </w:rPr>
      </w:pPr>
    </w:p>
    <w:p>
      <w:pPr>
        <w:pStyle w:val="BodyText"/>
        <w:spacing w:line="264" w:lineRule="auto" w:before="1"/>
        <w:ind w:left="742" w:right="1176"/>
      </w:pPr>
      <w:r>
        <w:rPr/>
        <w:t>Litteraturen om den samfundsøkonomiske effekt af videnskabelige rummissioner er begrænset, og dækker primært analyser af NASA-missioner, som ikke kan sammenlignes med danske missioner.</w:t>
      </w:r>
      <w:r>
        <w:rPr>
          <w:w w:val="99"/>
          <w:position w:val="6"/>
          <w:sz w:val="8"/>
        </w:rPr>
        <w:t>30 </w:t>
      </w:r>
      <w:r>
        <w:rPr/>
        <w:t>Videnskabelige missioner har lange eftermælefaser, fordi den udviklede teknologi i visse tilfælde tager lang tid om at manifestere sig i det bredere samfund, der er således betydelig risiko for at investeringsafkastet underestimeres, fordi væsentlige vidensafsmittende effekter udelades, sim- pelthen fordi de endnu ikke er realiseret. Uden detailstudie af enkelte missioner er det derfor ikke muligt at præsentere troværdige, generelle estimater for investeringsafkastet ved videnskabelige missioner, som eksempelvis Københavns Universitets Mars missioner.</w:t>
      </w: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2936;mso-wrap-distance-left:0;mso-wrap-distance-right:0" from="85.103996pt,14.835185pt" to="229.123996pt,14.835185pt" stroked="true" strokeweight=".48004pt" strokecolor="#000000">
            <v:stroke dashstyle="solid"/>
            <w10:wrap type="topAndBottom"/>
          </v:line>
        </w:pict>
      </w:r>
    </w:p>
    <w:p>
      <w:pPr>
        <w:spacing w:line="319" w:lineRule="auto" w:before="99"/>
        <w:ind w:left="742" w:right="1154" w:firstLine="0"/>
        <w:jc w:val="left"/>
        <w:rPr>
          <w:sz w:val="13"/>
        </w:rPr>
      </w:pPr>
      <w:r>
        <w:rPr>
          <w:position w:val="6"/>
          <w:sz w:val="8"/>
        </w:rPr>
        <w:t>30 </w:t>
      </w:r>
      <w:r>
        <w:rPr>
          <w:sz w:val="13"/>
        </w:rPr>
        <w:t>Technopolis Group (2010) </w:t>
      </w:r>
      <w:r>
        <w:rPr>
          <w:i/>
          <w:sz w:val="13"/>
        </w:rPr>
        <w:t>Summary Report – Space Exploration and Innovation, Space Policy and Coordination Unit </w:t>
      </w:r>
      <w:r>
        <w:rPr>
          <w:sz w:val="13"/>
        </w:rPr>
        <w:t>har således bereg- net, at afkastet ved NASA’s rumforskningsmissioner er 12 gange større end for tilsvarende missioner i ESA-regi, hvilket formodentlig skyldes, at NASA’s investeringer generelt har været større end ESA’s samt NASA’s større globale varemærke, som kan gøre, at flere virksomheder får kendskab til teknologier og dermed hjælpe med kommercialisering deraf.</w:t>
      </w:r>
    </w:p>
    <w:p>
      <w:pPr>
        <w:spacing w:after="0" w:line="319" w:lineRule="auto"/>
        <w:jc w:val="left"/>
        <w:rPr>
          <w:sz w:val="13"/>
        </w:rPr>
        <w:sectPr>
          <w:pgSz w:w="11910" w:h="16840"/>
          <w:pgMar w:header="0" w:footer="1056" w:top="1580" w:bottom="1240" w:left="960" w:right="0"/>
        </w:sectPr>
      </w:pPr>
    </w:p>
    <w:p>
      <w:pPr>
        <w:pStyle w:val="ListParagraph"/>
        <w:numPr>
          <w:ilvl w:val="2"/>
          <w:numId w:val="7"/>
        </w:numPr>
        <w:tabs>
          <w:tab w:pos="743" w:val="left" w:leader="none"/>
        </w:tabs>
        <w:spacing w:line="240" w:lineRule="auto" w:before="126" w:after="0"/>
        <w:ind w:left="742" w:right="0" w:hanging="624"/>
        <w:jc w:val="left"/>
        <w:rPr>
          <w:b/>
          <w:sz w:val="18"/>
        </w:rPr>
      </w:pPr>
      <w:bookmarkStart w:name="_bookmark29" w:id="30"/>
      <w:bookmarkEnd w:id="30"/>
      <w:r>
        <w:rPr>
          <w:b/>
          <w:sz w:val="18"/>
        </w:rPr>
        <w:t>J</w:t>
      </w:r>
      <w:r>
        <w:rPr>
          <w:b/>
          <w:sz w:val="18"/>
        </w:rPr>
        <w:t>ordobservation</w:t>
      </w:r>
    </w:p>
    <w:p>
      <w:pPr>
        <w:pStyle w:val="BodyText"/>
        <w:spacing w:line="264" w:lineRule="auto" w:before="22"/>
        <w:ind w:left="742" w:right="1346"/>
      </w:pPr>
      <w:r>
        <w:rPr/>
        <w:t>EU's jordobservationsprogram, Copernicus (tidligere GMES – Global Monitoring for Environment and Security), blev grundlagt ved Bavano Manifestet i 1998. Programmet består af tre domæner,</w:t>
      </w:r>
    </w:p>
    <w:p>
      <w:pPr>
        <w:pStyle w:val="ListParagraph"/>
        <w:numPr>
          <w:ilvl w:val="0"/>
          <w:numId w:val="9"/>
        </w:numPr>
        <w:tabs>
          <w:tab w:pos="1002" w:val="left" w:leader="none"/>
        </w:tabs>
        <w:spacing w:line="217" w:lineRule="exact" w:before="0" w:after="0"/>
        <w:ind w:left="1001" w:right="0" w:hanging="259"/>
        <w:jc w:val="left"/>
        <w:rPr>
          <w:sz w:val="18"/>
        </w:rPr>
      </w:pPr>
      <w:r>
        <w:rPr>
          <w:sz w:val="18"/>
        </w:rPr>
        <w:t>rummet, 2) </w:t>
      </w:r>
      <w:r>
        <w:rPr>
          <w:i/>
          <w:sz w:val="18"/>
        </w:rPr>
        <w:t>in situ </w:t>
      </w:r>
      <w:r>
        <w:rPr>
          <w:sz w:val="18"/>
        </w:rPr>
        <w:t>og 3)</w:t>
      </w:r>
      <w:r>
        <w:rPr>
          <w:spacing w:val="-11"/>
          <w:sz w:val="18"/>
        </w:rPr>
        <w:t> </w:t>
      </w:r>
      <w:r>
        <w:rPr>
          <w:sz w:val="18"/>
        </w:rPr>
        <w:t>servicedomænet.</w:t>
      </w:r>
    </w:p>
    <w:p>
      <w:pPr>
        <w:pStyle w:val="BodyText"/>
        <w:spacing w:before="5"/>
        <w:rPr>
          <w:sz w:val="21"/>
        </w:rPr>
      </w:pPr>
    </w:p>
    <w:p>
      <w:pPr>
        <w:pStyle w:val="BodyText"/>
        <w:spacing w:line="264" w:lineRule="auto" w:before="1"/>
        <w:ind w:left="742" w:right="1123"/>
      </w:pPr>
      <w:r>
        <w:rPr/>
        <w:t>Rumdomænet hører under ESA og EUMETSAT og kommer til at bestå af syv satellitmissioner med i alt 13 sentineller.</w:t>
      </w:r>
      <w:r>
        <w:rPr>
          <w:w w:val="99"/>
          <w:position w:val="6"/>
          <w:sz w:val="8"/>
        </w:rPr>
        <w:t>31</w:t>
      </w:r>
      <w:r>
        <w:rPr>
          <w:position w:val="6"/>
          <w:sz w:val="8"/>
        </w:rPr>
        <w:t>  </w:t>
      </w:r>
      <w:r>
        <w:rPr/>
        <w:t>Indtil videre er fire satellitter i kredsløb. </w:t>
      </w:r>
      <w:r>
        <w:rPr>
          <w:i/>
        </w:rPr>
        <w:t>In situ</w:t>
      </w:r>
      <w:r>
        <w:rPr/>
        <w:t>-domænet koordineres af det Europæiske Miljøagentur (EEA – baseret i København) og er baseret på observationer fra jorden. Disse observationer bruges til at supplere og kalibrere satellitdata samt øge værdien og brugbar- heden af Copernicus’ data. Servicedomænet koordineres af Europa-Kommissionen gennem aftaler med ECMWF</w:t>
      </w:r>
      <w:r>
        <w:rPr>
          <w:w w:val="99"/>
          <w:position w:val="6"/>
          <w:sz w:val="8"/>
        </w:rPr>
        <w:t>32</w:t>
      </w:r>
      <w:r>
        <w:rPr/>
        <w:t>, Mercator Ocean, EEA, JRC</w:t>
      </w:r>
      <w:r>
        <w:rPr>
          <w:w w:val="99"/>
          <w:position w:val="6"/>
          <w:sz w:val="8"/>
        </w:rPr>
        <w:t>33</w:t>
      </w:r>
      <w:r>
        <w:rPr/>
        <w:t>, SatCen</w:t>
      </w:r>
      <w:r>
        <w:rPr>
          <w:w w:val="99"/>
          <w:position w:val="6"/>
          <w:sz w:val="8"/>
        </w:rPr>
        <w:t>34</w:t>
      </w:r>
      <w:r>
        <w:rPr/>
        <w:t>,Frontex og EMSA</w:t>
      </w:r>
      <w:r>
        <w:rPr>
          <w:w w:val="99"/>
          <w:position w:val="6"/>
          <w:sz w:val="8"/>
        </w:rPr>
        <w:t>35</w:t>
      </w:r>
      <w:r>
        <w:rPr/>
        <w:t>. Dets primære formål er at transformere rå data til brugbar information og give brugere mulighed for at sammenligne og gen- nemsøge observationer over mange år(tier). Copernicus tilbyder følgende seks specifikke tjenester:</w:t>
      </w:r>
    </w:p>
    <w:p>
      <w:pPr>
        <w:pStyle w:val="ListParagraph"/>
        <w:numPr>
          <w:ilvl w:val="1"/>
          <w:numId w:val="9"/>
        </w:numPr>
        <w:tabs>
          <w:tab w:pos="1461" w:val="left" w:leader="none"/>
          <w:tab w:pos="1462" w:val="left" w:leader="none"/>
        </w:tabs>
        <w:spacing w:line="215" w:lineRule="exact" w:before="0" w:after="0"/>
        <w:ind w:left="1462" w:right="0" w:hanging="360"/>
        <w:jc w:val="left"/>
        <w:rPr>
          <w:sz w:val="18"/>
        </w:rPr>
      </w:pPr>
      <w:r>
        <w:rPr>
          <w:sz w:val="18"/>
        </w:rPr>
        <w:t>Atmosfærisk</w:t>
      </w:r>
      <w:r>
        <w:rPr>
          <w:spacing w:val="-3"/>
          <w:sz w:val="18"/>
        </w:rPr>
        <w:t> </w:t>
      </w:r>
      <w:r>
        <w:rPr>
          <w:sz w:val="18"/>
        </w:rPr>
        <w:t>overvågning</w:t>
      </w:r>
    </w:p>
    <w:p>
      <w:pPr>
        <w:pStyle w:val="ListParagraph"/>
        <w:numPr>
          <w:ilvl w:val="1"/>
          <w:numId w:val="9"/>
        </w:numPr>
        <w:tabs>
          <w:tab w:pos="1461" w:val="left" w:leader="none"/>
          <w:tab w:pos="1462" w:val="left" w:leader="none"/>
        </w:tabs>
        <w:spacing w:line="240" w:lineRule="auto" w:before="19" w:after="0"/>
        <w:ind w:left="1462" w:right="0" w:hanging="360"/>
        <w:jc w:val="left"/>
        <w:rPr>
          <w:sz w:val="18"/>
        </w:rPr>
      </w:pPr>
      <w:r>
        <w:rPr>
          <w:sz w:val="18"/>
        </w:rPr>
        <w:t>Havmiljøovervågning</w:t>
      </w:r>
    </w:p>
    <w:p>
      <w:pPr>
        <w:pStyle w:val="ListParagraph"/>
        <w:numPr>
          <w:ilvl w:val="1"/>
          <w:numId w:val="9"/>
        </w:numPr>
        <w:tabs>
          <w:tab w:pos="1461" w:val="left" w:leader="none"/>
          <w:tab w:pos="1462" w:val="left" w:leader="none"/>
        </w:tabs>
        <w:spacing w:line="240" w:lineRule="auto" w:before="20" w:after="0"/>
        <w:ind w:left="1462" w:right="0" w:hanging="360"/>
        <w:jc w:val="left"/>
        <w:rPr>
          <w:sz w:val="18"/>
        </w:rPr>
      </w:pPr>
      <w:r>
        <w:rPr>
          <w:sz w:val="18"/>
        </w:rPr>
        <w:t>Landovervågning</w:t>
      </w:r>
    </w:p>
    <w:p>
      <w:pPr>
        <w:pStyle w:val="ListParagraph"/>
        <w:numPr>
          <w:ilvl w:val="1"/>
          <w:numId w:val="9"/>
        </w:numPr>
        <w:tabs>
          <w:tab w:pos="1461" w:val="left" w:leader="none"/>
          <w:tab w:pos="1462" w:val="left" w:leader="none"/>
        </w:tabs>
        <w:spacing w:line="240" w:lineRule="auto" w:before="20" w:after="0"/>
        <w:ind w:left="1462" w:right="0" w:hanging="360"/>
        <w:jc w:val="left"/>
        <w:rPr>
          <w:sz w:val="18"/>
        </w:rPr>
      </w:pPr>
      <w:r>
        <w:rPr>
          <w:sz w:val="18"/>
        </w:rPr>
        <w:t>Klimaforandringer</w:t>
      </w:r>
    </w:p>
    <w:p>
      <w:pPr>
        <w:pStyle w:val="ListParagraph"/>
        <w:numPr>
          <w:ilvl w:val="1"/>
          <w:numId w:val="9"/>
        </w:numPr>
        <w:tabs>
          <w:tab w:pos="1461" w:val="left" w:leader="none"/>
          <w:tab w:pos="1462" w:val="left" w:leader="none"/>
        </w:tabs>
        <w:spacing w:line="240" w:lineRule="auto" w:before="19" w:after="0"/>
        <w:ind w:left="1462" w:right="0" w:hanging="360"/>
        <w:jc w:val="left"/>
        <w:rPr>
          <w:sz w:val="18"/>
        </w:rPr>
      </w:pPr>
      <w:r>
        <w:rPr>
          <w:sz w:val="18"/>
        </w:rPr>
        <w:t>Styring i</w:t>
      </w:r>
      <w:r>
        <w:rPr>
          <w:spacing w:val="-2"/>
          <w:sz w:val="18"/>
        </w:rPr>
        <w:t> </w:t>
      </w:r>
      <w:r>
        <w:rPr>
          <w:sz w:val="18"/>
        </w:rPr>
        <w:t>nødsituationer</w:t>
      </w:r>
    </w:p>
    <w:p>
      <w:pPr>
        <w:pStyle w:val="ListParagraph"/>
        <w:numPr>
          <w:ilvl w:val="1"/>
          <w:numId w:val="9"/>
        </w:numPr>
        <w:tabs>
          <w:tab w:pos="1461" w:val="left" w:leader="none"/>
          <w:tab w:pos="1462" w:val="left" w:leader="none"/>
        </w:tabs>
        <w:spacing w:line="240" w:lineRule="auto" w:before="20" w:after="0"/>
        <w:ind w:left="1462" w:right="0" w:hanging="360"/>
        <w:jc w:val="left"/>
        <w:rPr>
          <w:sz w:val="18"/>
        </w:rPr>
      </w:pPr>
      <w:r>
        <w:rPr>
          <w:sz w:val="18"/>
        </w:rPr>
        <w:t>Sikkerhed.</w:t>
      </w:r>
    </w:p>
    <w:p>
      <w:pPr>
        <w:pStyle w:val="BodyText"/>
        <w:spacing w:before="4"/>
        <w:rPr>
          <w:sz w:val="21"/>
        </w:rPr>
      </w:pPr>
    </w:p>
    <w:p>
      <w:pPr>
        <w:pStyle w:val="BodyText"/>
        <w:spacing w:line="264" w:lineRule="auto"/>
        <w:ind w:left="742" w:right="1230"/>
      </w:pPr>
      <w:r>
        <w:rPr/>
        <w:t>De samfundsøkonomiske gevinster ved jordobservation generelt og specielt Copernicus skabes primært i form af </w:t>
      </w:r>
      <w:r>
        <w:rPr>
          <w:b/>
        </w:rPr>
        <w:t>afsmittende effekter</w:t>
      </w:r>
      <w:r>
        <w:rPr/>
        <w:t>. DMI, DHI, DTU m.fl. har vundet ESA-kontrakter i forbin- delse med tilblivelsen og udnyttelsen af GMES/Copernicus, men hovedparten af gevinsterne skal findes i andre instanser.</w:t>
      </w:r>
    </w:p>
    <w:p>
      <w:pPr>
        <w:pStyle w:val="BodyText"/>
        <w:spacing w:before="6"/>
        <w:rPr>
          <w:sz w:val="19"/>
        </w:rPr>
      </w:pPr>
    </w:p>
    <w:p>
      <w:pPr>
        <w:pStyle w:val="BodyText"/>
        <w:spacing w:line="264" w:lineRule="auto"/>
        <w:ind w:left="742" w:right="1132"/>
      </w:pPr>
      <w:r>
        <w:rPr/>
        <w:t>Fordelen ved jordobservation (JO) er, at informationsgabet lukkes, samt at strategiske og politiske gevinster i form af forbedringer af ekstern politikudvikling og internationalt samarbejde kan realise- res. Med andre ord, uden jordobservation er det meget bekosteligt at indsamle megen information, og resultaterne bliver derfor meget usikre, så den politik der vedtages på baggrund af disse data, er ikke nødvendigvis den bedste. Konkret kan nævnes overvågning af Brasiliens regnskov, hvor satellitbaseret overvågning krediteres for 60 % af faldet i ulovlig træfældning, fordi de brasilianske m</w:t>
      </w:r>
      <w:r>
        <w:rPr>
          <w:spacing w:val="-1"/>
        </w:rPr>
        <w:t>y</w:t>
      </w:r>
      <w:r>
        <w:rPr>
          <w:spacing w:val="-2"/>
        </w:rPr>
        <w:t>n</w:t>
      </w:r>
      <w:r>
        <w:rPr/>
        <w:t>dig</w:t>
      </w:r>
      <w:r>
        <w:rPr>
          <w:spacing w:val="-2"/>
        </w:rPr>
        <w:t>h</w:t>
      </w:r>
      <w:r>
        <w:rPr/>
        <w:t>eder</w:t>
      </w:r>
      <w:r>
        <w:rPr>
          <w:spacing w:val="-1"/>
        </w:rPr>
        <w:t> </w:t>
      </w:r>
      <w:r>
        <w:rPr/>
        <w:t>er</w:t>
      </w:r>
      <w:r>
        <w:rPr>
          <w:spacing w:val="-1"/>
        </w:rPr>
        <w:t> </w:t>
      </w:r>
      <w:r>
        <w:rPr/>
        <w:t>i sta</w:t>
      </w:r>
      <w:r>
        <w:rPr>
          <w:spacing w:val="-2"/>
        </w:rPr>
        <w:t>n</w:t>
      </w:r>
      <w:r>
        <w:rPr/>
        <w:t>d</w:t>
      </w:r>
      <w:r>
        <w:rPr>
          <w:spacing w:val="-1"/>
        </w:rPr>
        <w:t> </w:t>
      </w:r>
      <w:r>
        <w:rPr/>
        <w:t>til</w:t>
      </w:r>
      <w:r>
        <w:rPr>
          <w:spacing w:val="-3"/>
        </w:rPr>
        <w:t> </w:t>
      </w:r>
      <w:r>
        <w:rPr/>
        <w:t>at</w:t>
      </w:r>
      <w:r>
        <w:rPr>
          <w:spacing w:val="-1"/>
        </w:rPr>
        <w:t> </w:t>
      </w:r>
      <w:r>
        <w:rPr/>
        <w:t>reag</w:t>
      </w:r>
      <w:r>
        <w:rPr>
          <w:spacing w:val="1"/>
        </w:rPr>
        <w:t>e</w:t>
      </w:r>
      <w:r>
        <w:rPr/>
        <w:t>re</w:t>
      </w:r>
      <w:r>
        <w:rPr>
          <w:spacing w:val="-1"/>
        </w:rPr>
        <w:t> </w:t>
      </w:r>
      <w:r>
        <w:rPr/>
        <w:t>på</w:t>
      </w:r>
      <w:r>
        <w:rPr>
          <w:spacing w:val="-1"/>
        </w:rPr>
        <w:t> </w:t>
      </w:r>
      <w:r>
        <w:rPr>
          <w:spacing w:val="-2"/>
        </w:rPr>
        <w:t>u</w:t>
      </w:r>
      <w:r>
        <w:rPr/>
        <w:t>lo</w:t>
      </w:r>
      <w:r>
        <w:rPr>
          <w:spacing w:val="-1"/>
        </w:rPr>
        <w:t>v</w:t>
      </w:r>
      <w:r>
        <w:rPr>
          <w:spacing w:val="-2"/>
        </w:rPr>
        <w:t>l</w:t>
      </w:r>
      <w:r>
        <w:rPr/>
        <w:t>ig</w:t>
      </w:r>
      <w:r>
        <w:rPr>
          <w:spacing w:val="-1"/>
        </w:rPr>
        <w:t> </w:t>
      </w:r>
      <w:r>
        <w:rPr/>
        <w:t>træ</w:t>
      </w:r>
      <w:r>
        <w:rPr>
          <w:spacing w:val="-4"/>
        </w:rPr>
        <w:t>f</w:t>
      </w:r>
      <w:r>
        <w:rPr/>
        <w:t>æld</w:t>
      </w:r>
      <w:r>
        <w:rPr>
          <w:spacing w:val="-2"/>
        </w:rPr>
        <w:t>n</w:t>
      </w:r>
      <w:r>
        <w:rPr/>
        <w:t>i</w:t>
      </w:r>
      <w:r>
        <w:rPr>
          <w:spacing w:val="-2"/>
        </w:rPr>
        <w:t>n</w:t>
      </w:r>
      <w:r>
        <w:rPr/>
        <w:t>g</w:t>
      </w:r>
      <w:r>
        <w:rPr>
          <w:spacing w:val="-1"/>
        </w:rPr>
        <w:t> </w:t>
      </w:r>
      <w:r>
        <w:rPr/>
        <w:t>og</w:t>
      </w:r>
      <w:r>
        <w:rPr>
          <w:spacing w:val="-1"/>
        </w:rPr>
        <w:t> </w:t>
      </w:r>
      <w:r>
        <w:rPr/>
        <w:t>påg</w:t>
      </w:r>
      <w:r>
        <w:rPr>
          <w:spacing w:val="-2"/>
        </w:rPr>
        <w:t>r</w:t>
      </w:r>
      <w:r>
        <w:rPr/>
        <w:t>ibe</w:t>
      </w:r>
      <w:r>
        <w:rPr>
          <w:spacing w:val="-1"/>
        </w:rPr>
        <w:t> </w:t>
      </w:r>
      <w:r>
        <w:rPr>
          <w:spacing w:val="-2"/>
        </w:rPr>
        <w:t>g</w:t>
      </w:r>
      <w:r>
        <w:rPr/>
        <w:t>er</w:t>
      </w:r>
      <w:r>
        <w:rPr>
          <w:spacing w:val="-2"/>
        </w:rPr>
        <w:t>n</w:t>
      </w:r>
      <w:r>
        <w:rPr/>
        <w:t>i</w:t>
      </w:r>
      <w:r>
        <w:rPr>
          <w:spacing w:val="-2"/>
        </w:rPr>
        <w:t>n</w:t>
      </w:r>
      <w:r>
        <w:rPr/>
        <w:t>gsmæ</w:t>
      </w:r>
      <w:r>
        <w:rPr>
          <w:spacing w:val="-2"/>
        </w:rPr>
        <w:t>n</w:t>
      </w:r>
      <w:r>
        <w:rPr/>
        <w:t>d</w:t>
      </w:r>
      <w:r>
        <w:rPr>
          <w:spacing w:val="-1"/>
        </w:rPr>
        <w:t> </w:t>
      </w:r>
      <w:r>
        <w:rPr>
          <w:spacing w:val="-2"/>
        </w:rPr>
        <w:t>hu</w:t>
      </w:r>
      <w:r>
        <w:rPr/>
        <w:t>rtigere</w:t>
      </w:r>
      <w:r>
        <w:rPr>
          <w:spacing w:val="4"/>
        </w:rPr>
        <w:t>.</w:t>
      </w:r>
      <w:r>
        <w:rPr>
          <w:w w:val="99"/>
          <w:position w:val="6"/>
          <w:sz w:val="8"/>
        </w:rPr>
        <w:t>36 </w:t>
      </w:r>
      <w:r>
        <w:rPr/>
        <w:t>Fra den klimamæssige vinkel giver satellitovervågning af regnskove bedre mulighed for at beregne, hvor megen CO</w:t>
      </w:r>
      <w:r>
        <w:rPr>
          <w:vertAlign w:val="subscript"/>
        </w:rPr>
        <w:t>2</w:t>
      </w:r>
      <w:r>
        <w:rPr>
          <w:vertAlign w:val="baseline"/>
        </w:rPr>
        <w:t> der absorberes, og dermed øge præcisionen i de anvendte</w:t>
      </w:r>
      <w:r>
        <w:rPr>
          <w:spacing w:val="-22"/>
          <w:vertAlign w:val="baseline"/>
        </w:rPr>
        <w:t> </w:t>
      </w:r>
      <w:r>
        <w:rPr>
          <w:vertAlign w:val="baseline"/>
        </w:rPr>
        <w:t>modeller.</w:t>
      </w:r>
    </w:p>
    <w:p>
      <w:pPr>
        <w:pStyle w:val="BodyText"/>
        <w:spacing w:before="4"/>
        <w:rPr>
          <w:sz w:val="19"/>
        </w:rPr>
      </w:pPr>
    </w:p>
    <w:p>
      <w:pPr>
        <w:pStyle w:val="BodyText"/>
        <w:spacing w:line="264" w:lineRule="auto"/>
        <w:ind w:left="742" w:right="1211"/>
      </w:pPr>
      <w:r>
        <w:rPr/>
        <w:t>Derudover giver data mulighed for bedre overvågning af, hvordan landområder anvendes, og bi- drager til højere fødevaresikkerhed og bedre fødevareplanlægning. Inden for natur og råstoffer giver JO tilstrækkelig information til definition af aktioner, der forbedrer bevaring og styring, her- under aktioner og overvågning inden for landbrug, skovbrug, fiskeri, økosystemer og biodiversitet.</w:t>
      </w:r>
    </w:p>
    <w:p>
      <w:pPr>
        <w:pStyle w:val="BodyText"/>
        <w:spacing w:before="7"/>
        <w:rPr>
          <w:sz w:val="19"/>
        </w:rPr>
      </w:pPr>
    </w:p>
    <w:p>
      <w:pPr>
        <w:pStyle w:val="BodyText"/>
        <w:spacing w:line="264" w:lineRule="auto"/>
        <w:ind w:left="742" w:right="1159"/>
      </w:pPr>
      <w:r>
        <w:rPr/>
        <w:t>JO er også en effektiv måde at kontrollere grænser og giver adgang til store mængder information, der kan anvendes til hævdelse af suverænitet. Med viden om faktisk brug af landet er det</w:t>
      </w:r>
      <w:r>
        <w:rPr>
          <w:spacing w:val="-33"/>
        </w:rPr>
        <w:t> </w:t>
      </w:r>
      <w:r>
        <w:rPr/>
        <w:t>endvide-</w:t>
      </w:r>
    </w:p>
    <w:p>
      <w:pPr>
        <w:pStyle w:val="BodyText"/>
        <w:rPr>
          <w:sz w:val="20"/>
        </w:rPr>
      </w:pPr>
    </w:p>
    <w:p>
      <w:pPr>
        <w:pStyle w:val="BodyText"/>
        <w:spacing w:before="6"/>
        <w:rPr>
          <w:sz w:val="23"/>
        </w:rPr>
      </w:pPr>
      <w:r>
        <w:rPr/>
        <w:pict>
          <v:line style="position:absolute;mso-position-horizontal-relative:page;mso-position-vertical-relative:paragraph;z-index:2960;mso-wrap-distance-left:0;mso-wrap-distance-right:0" from="85.103996pt,16.512520pt" to="229.123996pt,16.512520pt" stroked="true" strokeweight=".48004pt" strokecolor="#000000">
            <v:stroke dashstyle="solid"/>
            <w10:wrap type="topAndBottom"/>
          </v:line>
        </w:pict>
      </w:r>
    </w:p>
    <w:p>
      <w:pPr>
        <w:spacing w:line="319" w:lineRule="auto" w:before="99"/>
        <w:ind w:left="742" w:right="1142" w:firstLine="0"/>
        <w:jc w:val="left"/>
        <w:rPr>
          <w:sz w:val="13"/>
        </w:rPr>
      </w:pPr>
      <w:r>
        <w:rPr>
          <w:position w:val="6"/>
          <w:sz w:val="8"/>
        </w:rPr>
        <w:t>31 </w:t>
      </w:r>
      <w:r>
        <w:rPr>
          <w:sz w:val="13"/>
        </w:rPr>
        <w:t>Det angivne antal af Sentinel satellitter knytter sig til indeværende budgetperiode (2014-2020). Budgettet for næste fase af Copernicus (programperiode 2021-2027) er godkendt og der er allerede indgået kontrakter med satellitproducenter om at bygge de Sentineller, der skal sikre programmets fortsættelse efter indeværende programperiode. Der er bl.a. indgået kontrakt om at bygge Sentinel 1C og 1D, som</w:t>
      </w:r>
      <w:r>
        <w:rPr>
          <w:spacing w:val="-2"/>
          <w:sz w:val="13"/>
        </w:rPr>
        <w:t> </w:t>
      </w:r>
      <w:r>
        <w:rPr>
          <w:sz w:val="13"/>
        </w:rPr>
        <w:t>vil</w:t>
      </w:r>
      <w:r>
        <w:rPr>
          <w:spacing w:val="-2"/>
          <w:sz w:val="13"/>
        </w:rPr>
        <w:t> </w:t>
      </w:r>
      <w:r>
        <w:rPr>
          <w:sz w:val="13"/>
        </w:rPr>
        <w:t>sikre</w:t>
      </w:r>
      <w:r>
        <w:rPr>
          <w:spacing w:val="-4"/>
          <w:sz w:val="13"/>
        </w:rPr>
        <w:t> </w:t>
      </w:r>
      <w:r>
        <w:rPr>
          <w:sz w:val="13"/>
        </w:rPr>
        <w:t>kontinuiteten</w:t>
      </w:r>
      <w:r>
        <w:rPr>
          <w:spacing w:val="-3"/>
          <w:sz w:val="13"/>
        </w:rPr>
        <w:t> </w:t>
      </w:r>
      <w:r>
        <w:rPr>
          <w:sz w:val="13"/>
        </w:rPr>
        <w:t>af</w:t>
      </w:r>
      <w:r>
        <w:rPr>
          <w:spacing w:val="-2"/>
          <w:sz w:val="13"/>
        </w:rPr>
        <w:t> </w:t>
      </w:r>
      <w:r>
        <w:rPr>
          <w:sz w:val="13"/>
        </w:rPr>
        <w:t>denne</w:t>
      </w:r>
      <w:r>
        <w:rPr>
          <w:spacing w:val="-2"/>
          <w:sz w:val="13"/>
        </w:rPr>
        <w:t> </w:t>
      </w:r>
      <w:r>
        <w:rPr>
          <w:sz w:val="13"/>
        </w:rPr>
        <w:t>mission</w:t>
      </w:r>
      <w:r>
        <w:rPr>
          <w:spacing w:val="-3"/>
          <w:sz w:val="13"/>
        </w:rPr>
        <w:t> </w:t>
      </w:r>
      <w:r>
        <w:rPr>
          <w:sz w:val="13"/>
        </w:rPr>
        <w:t>frem</w:t>
      </w:r>
      <w:r>
        <w:rPr>
          <w:spacing w:val="-2"/>
          <w:sz w:val="13"/>
        </w:rPr>
        <w:t> </w:t>
      </w:r>
      <w:r>
        <w:rPr>
          <w:sz w:val="13"/>
        </w:rPr>
        <w:t>til</w:t>
      </w:r>
      <w:r>
        <w:rPr>
          <w:spacing w:val="-3"/>
          <w:sz w:val="13"/>
        </w:rPr>
        <w:t> </w:t>
      </w:r>
      <w:r>
        <w:rPr>
          <w:sz w:val="13"/>
        </w:rPr>
        <w:t>2030.</w:t>
      </w:r>
      <w:r>
        <w:rPr>
          <w:spacing w:val="-2"/>
          <w:sz w:val="13"/>
        </w:rPr>
        <w:t> </w:t>
      </w:r>
      <w:r>
        <w:rPr>
          <w:sz w:val="13"/>
        </w:rPr>
        <w:t>Samlet</w:t>
      </w:r>
      <w:r>
        <w:rPr>
          <w:spacing w:val="-3"/>
          <w:sz w:val="13"/>
        </w:rPr>
        <w:t> </w:t>
      </w:r>
      <w:r>
        <w:rPr>
          <w:sz w:val="13"/>
        </w:rPr>
        <w:t>set</w:t>
      </w:r>
      <w:r>
        <w:rPr>
          <w:spacing w:val="2"/>
          <w:sz w:val="13"/>
        </w:rPr>
        <w:t> </w:t>
      </w:r>
      <w:r>
        <w:rPr>
          <w:sz w:val="13"/>
        </w:rPr>
        <w:t>vil</w:t>
      </w:r>
      <w:r>
        <w:rPr>
          <w:spacing w:val="-2"/>
          <w:sz w:val="13"/>
        </w:rPr>
        <w:t> </w:t>
      </w:r>
      <w:r>
        <w:rPr>
          <w:sz w:val="13"/>
        </w:rPr>
        <w:t>Copernicus-programmet</w:t>
      </w:r>
      <w:r>
        <w:rPr>
          <w:spacing w:val="-3"/>
          <w:sz w:val="13"/>
        </w:rPr>
        <w:t> </w:t>
      </w:r>
      <w:r>
        <w:rPr>
          <w:sz w:val="13"/>
        </w:rPr>
        <w:t>derfor</w:t>
      </w:r>
      <w:r>
        <w:rPr>
          <w:spacing w:val="-2"/>
          <w:sz w:val="13"/>
        </w:rPr>
        <w:t> </w:t>
      </w:r>
      <w:r>
        <w:rPr>
          <w:sz w:val="13"/>
        </w:rPr>
        <w:t>omfatte</w:t>
      </w:r>
      <w:r>
        <w:rPr>
          <w:spacing w:val="-2"/>
          <w:sz w:val="13"/>
        </w:rPr>
        <w:t> </w:t>
      </w:r>
      <w:r>
        <w:rPr>
          <w:sz w:val="13"/>
        </w:rPr>
        <w:t>flere</w:t>
      </w:r>
      <w:r>
        <w:rPr>
          <w:spacing w:val="-3"/>
          <w:sz w:val="13"/>
        </w:rPr>
        <w:t> </w:t>
      </w:r>
      <w:r>
        <w:rPr>
          <w:sz w:val="13"/>
        </w:rPr>
        <w:t>Sentineller</w:t>
      </w:r>
      <w:r>
        <w:rPr>
          <w:spacing w:val="-4"/>
          <w:sz w:val="13"/>
        </w:rPr>
        <w:t> </w:t>
      </w:r>
      <w:r>
        <w:rPr>
          <w:sz w:val="13"/>
        </w:rPr>
        <w:t>end 13</w:t>
      </w:r>
    </w:p>
    <w:p>
      <w:pPr>
        <w:spacing w:line="157" w:lineRule="exact" w:before="0"/>
        <w:ind w:left="742" w:right="0" w:firstLine="0"/>
        <w:jc w:val="left"/>
        <w:rPr>
          <w:sz w:val="13"/>
        </w:rPr>
      </w:pPr>
      <w:r>
        <w:rPr>
          <w:position w:val="6"/>
          <w:sz w:val="8"/>
        </w:rPr>
        <w:t>32 </w:t>
      </w:r>
      <w:r>
        <w:rPr>
          <w:sz w:val="13"/>
        </w:rPr>
        <w:t>European Centre for Medium-Range Weather Forecasts.</w:t>
      </w:r>
    </w:p>
    <w:p>
      <w:pPr>
        <w:spacing w:before="42"/>
        <w:ind w:left="742" w:right="0" w:firstLine="0"/>
        <w:jc w:val="left"/>
        <w:rPr>
          <w:sz w:val="13"/>
        </w:rPr>
      </w:pPr>
      <w:r>
        <w:rPr>
          <w:position w:val="6"/>
          <w:sz w:val="8"/>
        </w:rPr>
        <w:t>33 </w:t>
      </w:r>
      <w:r>
        <w:rPr>
          <w:sz w:val="13"/>
        </w:rPr>
        <w:t>Joint Research Centre.</w:t>
      </w:r>
    </w:p>
    <w:p>
      <w:pPr>
        <w:spacing w:before="43"/>
        <w:ind w:left="742" w:right="0" w:firstLine="0"/>
        <w:jc w:val="left"/>
        <w:rPr>
          <w:sz w:val="13"/>
        </w:rPr>
      </w:pPr>
      <w:r>
        <w:rPr>
          <w:position w:val="6"/>
          <w:sz w:val="8"/>
        </w:rPr>
        <w:t>34 </w:t>
      </w:r>
      <w:r>
        <w:rPr>
          <w:sz w:val="13"/>
        </w:rPr>
        <w:t>European Union Satellite Centre.</w:t>
      </w:r>
    </w:p>
    <w:p>
      <w:pPr>
        <w:spacing w:before="41"/>
        <w:ind w:left="742" w:right="0" w:firstLine="0"/>
        <w:jc w:val="left"/>
        <w:rPr>
          <w:sz w:val="13"/>
        </w:rPr>
      </w:pPr>
      <w:r>
        <w:rPr>
          <w:position w:val="6"/>
          <w:sz w:val="8"/>
        </w:rPr>
        <w:t>35 </w:t>
      </w:r>
      <w:r>
        <w:rPr>
          <w:sz w:val="13"/>
        </w:rPr>
        <w:t>European Maritime Safety Agency.</w:t>
      </w:r>
    </w:p>
    <w:p>
      <w:pPr>
        <w:spacing w:line="316" w:lineRule="auto" w:before="44"/>
        <w:ind w:left="742" w:right="1181" w:firstLine="0"/>
        <w:jc w:val="left"/>
        <w:rPr>
          <w:sz w:val="13"/>
        </w:rPr>
      </w:pPr>
      <w:r>
        <w:rPr>
          <w:position w:val="6"/>
          <w:sz w:val="8"/>
        </w:rPr>
        <w:t>36 </w:t>
      </w:r>
      <w:r>
        <w:rPr>
          <w:sz w:val="13"/>
        </w:rPr>
        <w:t>Se </w:t>
      </w:r>
      <w:hyperlink r:id="rId67">
        <w:r>
          <w:rPr>
            <w:color w:val="009DDF"/>
            <w:sz w:val="13"/>
          </w:rPr>
          <w:t>https://news.mongabay.com/2013/05/brazils-satellite-monitoring-reduced-amazon-deforestation-by-60000-sq-km-in-5-years/ </w:t>
        </w:r>
      </w:hyperlink>
      <w:r>
        <w:rPr>
          <w:sz w:val="13"/>
        </w:rPr>
        <w:t>for mere information. (tilgået 5. maj 2016).</w:t>
      </w:r>
    </w:p>
    <w:p>
      <w:pPr>
        <w:spacing w:after="0" w:line="316" w:lineRule="auto"/>
        <w:jc w:val="left"/>
        <w:rPr>
          <w:sz w:val="13"/>
        </w:rPr>
        <w:sectPr>
          <w:pgSz w:w="11910" w:h="16840"/>
          <w:pgMar w:header="0" w:footer="1056" w:top="1580" w:bottom="1240" w:left="960" w:right="0"/>
        </w:sectPr>
      </w:pPr>
    </w:p>
    <w:p>
      <w:pPr>
        <w:pStyle w:val="BodyText"/>
        <w:spacing w:line="264" w:lineRule="auto" w:before="126"/>
        <w:ind w:left="742" w:right="1468"/>
      </w:pPr>
      <w:r>
        <w:rPr/>
        <w:t>re muligt at gennemføre mere effektiv by- og landplanlægning, og man kan også anvende JO til overvågning af luftkvalitet og implementere politik til forbedring af folkesundheden.</w:t>
      </w:r>
    </w:p>
    <w:p>
      <w:pPr>
        <w:pStyle w:val="BodyText"/>
        <w:spacing w:before="8"/>
        <w:rPr>
          <w:sz w:val="19"/>
        </w:rPr>
      </w:pPr>
    </w:p>
    <w:p>
      <w:pPr>
        <w:pStyle w:val="BodyText"/>
        <w:spacing w:line="264" w:lineRule="auto"/>
        <w:ind w:left="742" w:right="1154"/>
      </w:pPr>
      <w:r>
        <w:rPr/>
        <w:t>Endelig bruges JO til risikostyring, evidensindsamling og overvågning ved naturkatastrofer (eksem- pelvis gennem International Charter on Space &amp; Major Disasters) og til sikring af befolkningen.</w:t>
      </w:r>
    </w:p>
    <w:p>
      <w:pPr>
        <w:pStyle w:val="BodyText"/>
        <w:spacing w:before="8"/>
        <w:rPr>
          <w:sz w:val="19"/>
        </w:rPr>
      </w:pPr>
    </w:p>
    <w:p>
      <w:pPr>
        <w:pStyle w:val="BodyText"/>
        <w:spacing w:line="264" w:lineRule="auto"/>
        <w:ind w:left="742" w:right="1497"/>
      </w:pPr>
      <w:r>
        <w:rPr/>
        <w:t>De samfundsøkonomiske gevinster af GMES/Copernicus er analyseret i forskellige rapporter på Europæisk niveau.</w:t>
      </w:r>
      <w:r>
        <w:rPr>
          <w:w w:val="99"/>
          <w:position w:val="6"/>
          <w:sz w:val="8"/>
        </w:rPr>
        <w:t>37</w:t>
      </w:r>
      <w:r>
        <w:rPr>
          <w:position w:val="6"/>
          <w:sz w:val="8"/>
        </w:rPr>
        <w:t>  </w:t>
      </w:r>
      <w:r>
        <w:rPr/>
        <w:t>De beregnede gevinster konverteres til danske forhold baseret på generelle koefficienter. Gevinsterne kategoriseres i tre grupper:</w:t>
      </w:r>
    </w:p>
    <w:p>
      <w:pPr>
        <w:pStyle w:val="ListParagraph"/>
        <w:numPr>
          <w:ilvl w:val="0"/>
          <w:numId w:val="10"/>
        </w:numPr>
        <w:tabs>
          <w:tab w:pos="1102" w:val="left" w:leader="none"/>
        </w:tabs>
        <w:spacing w:line="264" w:lineRule="auto" w:before="0" w:after="0"/>
        <w:ind w:left="1102" w:right="1402" w:hanging="360"/>
        <w:jc w:val="left"/>
        <w:rPr>
          <w:sz w:val="18"/>
        </w:rPr>
      </w:pPr>
      <w:r>
        <w:rPr>
          <w:b/>
          <w:sz w:val="18"/>
        </w:rPr>
        <w:t>Effektivisering af national politik</w:t>
      </w:r>
      <w:r>
        <w:rPr>
          <w:sz w:val="18"/>
        </w:rPr>
        <w:t>: Billigere implementering, håndhævelse og vurdering af politik på områder, hvor JO kan gøre en</w:t>
      </w:r>
      <w:r>
        <w:rPr>
          <w:spacing w:val="-12"/>
          <w:sz w:val="18"/>
        </w:rPr>
        <w:t> </w:t>
      </w:r>
      <w:r>
        <w:rPr>
          <w:sz w:val="18"/>
        </w:rPr>
        <w:t>forskel.</w:t>
      </w:r>
    </w:p>
    <w:p>
      <w:pPr>
        <w:pStyle w:val="ListParagraph"/>
        <w:numPr>
          <w:ilvl w:val="0"/>
          <w:numId w:val="10"/>
        </w:numPr>
        <w:tabs>
          <w:tab w:pos="1102" w:val="left" w:leader="none"/>
        </w:tabs>
        <w:spacing w:line="264" w:lineRule="auto" w:before="0" w:after="0"/>
        <w:ind w:left="1102" w:right="1175" w:hanging="360"/>
        <w:jc w:val="both"/>
        <w:rPr>
          <w:sz w:val="18"/>
        </w:rPr>
      </w:pPr>
      <w:r>
        <w:rPr>
          <w:b/>
          <w:sz w:val="18"/>
        </w:rPr>
        <w:t>Europæisk og national politikudvikling</w:t>
      </w:r>
      <w:r>
        <w:rPr>
          <w:sz w:val="18"/>
        </w:rPr>
        <w:t>: Den højere informationskvalitet, der er til rådighed fra JO-satellitter, tillader bedre definitioner, fokus og effektivitet, når politik bliver udviklet. Ge- vinsterne bliver først rigtig relevante, når politik på EU-niveau gennemføres med vægtige input fra</w:t>
      </w:r>
      <w:r>
        <w:rPr>
          <w:spacing w:val="-3"/>
          <w:sz w:val="18"/>
        </w:rPr>
        <w:t> </w:t>
      </w:r>
      <w:r>
        <w:rPr>
          <w:sz w:val="18"/>
        </w:rPr>
        <w:t>Copernicus.</w:t>
      </w:r>
    </w:p>
    <w:p>
      <w:pPr>
        <w:pStyle w:val="ListParagraph"/>
        <w:numPr>
          <w:ilvl w:val="0"/>
          <w:numId w:val="10"/>
        </w:numPr>
        <w:tabs>
          <w:tab w:pos="1102" w:val="left" w:leader="none"/>
        </w:tabs>
        <w:spacing w:line="264" w:lineRule="auto" w:before="0" w:after="0"/>
        <w:ind w:left="1102" w:right="1293" w:hanging="360"/>
        <w:jc w:val="left"/>
        <w:rPr>
          <w:sz w:val="18"/>
        </w:rPr>
      </w:pPr>
      <w:r>
        <w:rPr>
          <w:b/>
          <w:sz w:val="18"/>
        </w:rPr>
        <w:t>Global politikudvikling</w:t>
      </w:r>
      <w:r>
        <w:rPr>
          <w:sz w:val="18"/>
        </w:rPr>
        <w:t>: Koordineret tackling af globale udfordringer som klimaforandringer, hvor EU kan spille en større rolle grundet bedre datagrundlag fra</w:t>
      </w:r>
      <w:r>
        <w:rPr>
          <w:spacing w:val="-18"/>
          <w:sz w:val="18"/>
        </w:rPr>
        <w:t> </w:t>
      </w:r>
      <w:r>
        <w:rPr>
          <w:sz w:val="18"/>
        </w:rPr>
        <w:t>Copernicus.</w:t>
      </w:r>
    </w:p>
    <w:p>
      <w:pPr>
        <w:spacing w:before="139"/>
        <w:ind w:left="175" w:right="0" w:firstLine="0"/>
        <w:jc w:val="left"/>
        <w:rPr>
          <w:b/>
          <w:sz w:val="15"/>
        </w:rPr>
      </w:pPr>
      <w:bookmarkStart w:name="_bookmark30" w:id="31"/>
      <w:bookmarkEnd w:id="31"/>
      <w:r>
        <w:rPr/>
      </w:r>
      <w:r>
        <w:rPr>
          <w:b/>
          <w:color w:val="009DDF"/>
          <w:sz w:val="15"/>
        </w:rPr>
        <w:t>Tabel 8. Samfundsøkonomiske gevinster ved Copernicus/GMES, EU og Danmark, (2011-2030), NV(2011)</w:t>
      </w:r>
    </w:p>
    <w:p>
      <w:pPr>
        <w:pStyle w:val="BodyText"/>
        <w:spacing w:after="1"/>
        <w:rPr>
          <w:b/>
          <w:sz w:val="9"/>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812"/>
        <w:gridCol w:w="875"/>
        <w:gridCol w:w="4487"/>
        <w:gridCol w:w="789"/>
        <w:gridCol w:w="1164"/>
      </w:tblGrid>
      <w:tr>
        <w:trPr>
          <w:trHeight w:val="506" w:hRule="atLeast"/>
        </w:trPr>
        <w:tc>
          <w:tcPr>
            <w:tcW w:w="2812" w:type="dxa"/>
            <w:tcBorders>
              <w:top w:val="nil"/>
              <w:left w:val="nil"/>
              <w:bottom w:val="nil"/>
              <w:right w:val="nil"/>
            </w:tcBorders>
            <w:shd w:val="clear" w:color="auto" w:fill="A7D2F5"/>
          </w:tcPr>
          <w:p>
            <w:pPr>
              <w:pStyle w:val="TableParagraph"/>
              <w:spacing w:before="51"/>
              <w:ind w:left="115"/>
              <w:rPr>
                <w:b/>
                <w:sz w:val="14"/>
              </w:rPr>
            </w:pPr>
            <w:r>
              <w:rPr>
                <w:b/>
                <w:color w:val="FFFFFF"/>
                <w:sz w:val="14"/>
              </w:rPr>
              <w:t>Kategori</w:t>
            </w:r>
          </w:p>
        </w:tc>
        <w:tc>
          <w:tcPr>
            <w:tcW w:w="875" w:type="dxa"/>
            <w:tcBorders>
              <w:top w:val="nil"/>
              <w:left w:val="nil"/>
              <w:bottom w:val="nil"/>
              <w:right w:val="nil"/>
            </w:tcBorders>
            <w:shd w:val="clear" w:color="auto" w:fill="A7D2F5"/>
          </w:tcPr>
          <w:p>
            <w:pPr>
              <w:pStyle w:val="TableParagraph"/>
              <w:spacing w:before="51"/>
              <w:ind w:left="109" w:right="82"/>
              <w:jc w:val="center"/>
              <w:rPr>
                <w:b/>
                <w:sz w:val="14"/>
              </w:rPr>
            </w:pPr>
            <w:r>
              <w:rPr>
                <w:b/>
                <w:color w:val="FFFFFF"/>
                <w:sz w:val="14"/>
              </w:rPr>
              <w:t>EU</w:t>
            </w:r>
          </w:p>
          <w:p>
            <w:pPr>
              <w:pStyle w:val="TableParagraph"/>
              <w:spacing w:before="15"/>
              <w:ind w:left="109" w:right="86"/>
              <w:jc w:val="center"/>
              <w:rPr>
                <w:b/>
                <w:sz w:val="14"/>
              </w:rPr>
            </w:pPr>
            <w:r>
              <w:rPr>
                <w:b/>
                <w:color w:val="FFFFFF"/>
                <w:sz w:val="14"/>
              </w:rPr>
              <w:t>(mia. €)</w:t>
            </w:r>
          </w:p>
        </w:tc>
        <w:tc>
          <w:tcPr>
            <w:tcW w:w="4487" w:type="dxa"/>
            <w:tcBorders>
              <w:top w:val="nil"/>
              <w:left w:val="nil"/>
              <w:bottom w:val="nil"/>
              <w:right w:val="nil"/>
            </w:tcBorders>
            <w:shd w:val="clear" w:color="auto" w:fill="A7D2F5"/>
          </w:tcPr>
          <w:p>
            <w:pPr>
              <w:pStyle w:val="TableParagraph"/>
              <w:spacing w:before="51"/>
              <w:ind w:left="115"/>
              <w:rPr>
                <w:b/>
                <w:sz w:val="14"/>
              </w:rPr>
            </w:pPr>
            <w:r>
              <w:rPr>
                <w:b/>
                <w:color w:val="FFFFFF"/>
                <w:sz w:val="14"/>
              </w:rPr>
              <w:t>Fordelingsnøgle, EU </w:t>
            </w:r>
            <w:r>
              <w:rPr>
                <w:rFonts w:ascii="Wingdings" w:hAnsi="Wingdings"/>
                <w:b/>
                <w:color w:val="FFFFFF"/>
                <w:sz w:val="14"/>
              </w:rPr>
              <w:t></w:t>
            </w:r>
            <w:r>
              <w:rPr>
                <w:rFonts w:ascii="Times New Roman" w:hAnsi="Times New Roman"/>
                <w:b/>
                <w:color w:val="FFFFFF"/>
                <w:sz w:val="14"/>
              </w:rPr>
              <w:t> </w:t>
            </w:r>
            <w:r>
              <w:rPr>
                <w:b/>
                <w:color w:val="FFFFFF"/>
                <w:sz w:val="14"/>
              </w:rPr>
              <w:t>DK</w:t>
            </w:r>
          </w:p>
        </w:tc>
        <w:tc>
          <w:tcPr>
            <w:tcW w:w="789" w:type="dxa"/>
            <w:tcBorders>
              <w:top w:val="nil"/>
              <w:left w:val="nil"/>
              <w:bottom w:val="nil"/>
              <w:right w:val="nil"/>
            </w:tcBorders>
            <w:shd w:val="clear" w:color="auto" w:fill="A7D2F5"/>
          </w:tcPr>
          <w:p>
            <w:pPr>
              <w:pStyle w:val="TableParagraph"/>
              <w:spacing w:before="51"/>
              <w:ind w:left="181" w:right="134"/>
              <w:jc w:val="center"/>
              <w:rPr>
                <w:b/>
                <w:sz w:val="14"/>
              </w:rPr>
            </w:pPr>
            <w:r>
              <w:rPr>
                <w:b/>
                <w:color w:val="FFFFFF"/>
                <w:sz w:val="14"/>
              </w:rPr>
              <w:t>DK</w:t>
            </w:r>
          </w:p>
          <w:p>
            <w:pPr>
              <w:pStyle w:val="TableParagraph"/>
              <w:spacing w:before="15"/>
              <w:ind w:left="183" w:right="134"/>
              <w:jc w:val="center"/>
              <w:rPr>
                <w:b/>
                <w:sz w:val="14"/>
              </w:rPr>
            </w:pPr>
            <w:r>
              <w:rPr>
                <w:b/>
                <w:color w:val="FFFFFF"/>
                <w:sz w:val="14"/>
              </w:rPr>
              <w:t>andel</w:t>
            </w:r>
          </w:p>
        </w:tc>
        <w:tc>
          <w:tcPr>
            <w:tcW w:w="1164" w:type="dxa"/>
            <w:tcBorders>
              <w:top w:val="nil"/>
              <w:left w:val="nil"/>
              <w:bottom w:val="nil"/>
              <w:right w:val="nil"/>
            </w:tcBorders>
            <w:shd w:val="clear" w:color="auto" w:fill="A7D2F5"/>
          </w:tcPr>
          <w:p>
            <w:pPr>
              <w:pStyle w:val="TableParagraph"/>
              <w:spacing w:before="51"/>
              <w:ind w:left="149" w:right="96"/>
              <w:jc w:val="center"/>
              <w:rPr>
                <w:b/>
                <w:sz w:val="14"/>
              </w:rPr>
            </w:pPr>
            <w:r>
              <w:rPr>
                <w:b/>
                <w:color w:val="FFFFFF"/>
                <w:sz w:val="14"/>
              </w:rPr>
              <w:t>DK</w:t>
            </w:r>
          </w:p>
          <w:p>
            <w:pPr>
              <w:pStyle w:val="TableParagraph"/>
              <w:spacing w:before="15"/>
              <w:ind w:left="149" w:right="99"/>
              <w:jc w:val="center"/>
              <w:rPr>
                <w:b/>
                <w:sz w:val="14"/>
              </w:rPr>
            </w:pPr>
            <w:r>
              <w:rPr>
                <w:b/>
                <w:color w:val="FFFFFF"/>
                <w:sz w:val="14"/>
              </w:rPr>
              <w:t>(mio. DKK)</w:t>
            </w:r>
          </w:p>
        </w:tc>
      </w:tr>
      <w:tr>
        <w:trPr>
          <w:trHeight w:val="452" w:hRule="atLeast"/>
        </w:trPr>
        <w:tc>
          <w:tcPr>
            <w:tcW w:w="2812" w:type="dxa"/>
            <w:tcBorders>
              <w:right w:val="nil"/>
            </w:tcBorders>
          </w:tcPr>
          <w:p>
            <w:pPr>
              <w:pStyle w:val="TableParagraph"/>
              <w:spacing w:before="39"/>
              <w:ind w:left="105"/>
              <w:rPr>
                <w:b/>
                <w:sz w:val="14"/>
              </w:rPr>
            </w:pPr>
            <w:r>
              <w:rPr>
                <w:b/>
                <w:sz w:val="14"/>
              </w:rPr>
              <w:t>Effektiviseringsgevinster</w:t>
            </w:r>
          </w:p>
        </w:tc>
        <w:tc>
          <w:tcPr>
            <w:tcW w:w="875" w:type="dxa"/>
            <w:tcBorders>
              <w:left w:val="nil"/>
              <w:right w:val="nil"/>
            </w:tcBorders>
          </w:tcPr>
          <w:p>
            <w:pPr>
              <w:pStyle w:val="TableParagraph"/>
              <w:spacing w:before="39"/>
              <w:ind w:left="109" w:right="82"/>
              <w:jc w:val="center"/>
              <w:rPr>
                <w:sz w:val="14"/>
              </w:rPr>
            </w:pPr>
            <w:r>
              <w:rPr>
                <w:sz w:val="14"/>
              </w:rPr>
              <w:t>3,4</w:t>
            </w:r>
          </w:p>
        </w:tc>
        <w:tc>
          <w:tcPr>
            <w:tcW w:w="4487" w:type="dxa"/>
            <w:tcBorders>
              <w:left w:val="nil"/>
              <w:right w:val="nil"/>
            </w:tcBorders>
          </w:tcPr>
          <w:p>
            <w:pPr>
              <w:pStyle w:val="TableParagraph"/>
              <w:spacing w:line="264" w:lineRule="auto" w:before="39"/>
              <w:ind w:left="115" w:right="177"/>
              <w:rPr>
                <w:sz w:val="14"/>
              </w:rPr>
            </w:pPr>
            <w:r>
              <w:rPr>
                <w:sz w:val="14"/>
              </w:rPr>
              <w:t>Det antages, at Danmarks andel af politik på områder hvor JO kan gøre en forskel, kan approksimeres ved BNP.</w:t>
            </w:r>
          </w:p>
        </w:tc>
        <w:tc>
          <w:tcPr>
            <w:tcW w:w="789" w:type="dxa"/>
            <w:tcBorders>
              <w:left w:val="nil"/>
              <w:right w:val="nil"/>
            </w:tcBorders>
          </w:tcPr>
          <w:p>
            <w:pPr>
              <w:pStyle w:val="TableParagraph"/>
              <w:spacing w:before="39"/>
              <w:ind w:left="180" w:right="134"/>
              <w:jc w:val="center"/>
              <w:rPr>
                <w:sz w:val="14"/>
              </w:rPr>
            </w:pPr>
            <w:r>
              <w:rPr>
                <w:sz w:val="14"/>
              </w:rPr>
              <w:t>1,9 %</w:t>
            </w:r>
          </w:p>
        </w:tc>
        <w:tc>
          <w:tcPr>
            <w:tcW w:w="1164" w:type="dxa"/>
            <w:tcBorders>
              <w:left w:val="nil"/>
            </w:tcBorders>
          </w:tcPr>
          <w:p>
            <w:pPr>
              <w:pStyle w:val="TableParagraph"/>
              <w:spacing w:before="39"/>
              <w:ind w:left="363" w:right="300"/>
              <w:jc w:val="center"/>
              <w:rPr>
                <w:sz w:val="14"/>
              </w:rPr>
            </w:pPr>
            <w:r>
              <w:rPr>
                <w:sz w:val="14"/>
              </w:rPr>
              <w:t>482</w:t>
            </w:r>
          </w:p>
        </w:tc>
      </w:tr>
      <w:tr>
        <w:trPr>
          <w:trHeight w:val="268" w:hRule="atLeast"/>
        </w:trPr>
        <w:tc>
          <w:tcPr>
            <w:tcW w:w="2812" w:type="dxa"/>
            <w:tcBorders>
              <w:right w:val="nil"/>
            </w:tcBorders>
          </w:tcPr>
          <w:p>
            <w:pPr>
              <w:pStyle w:val="TableParagraph"/>
              <w:spacing w:before="41"/>
              <w:ind w:left="105"/>
              <w:rPr>
                <w:b/>
                <w:sz w:val="14"/>
              </w:rPr>
            </w:pPr>
            <w:r>
              <w:rPr>
                <w:b/>
                <w:sz w:val="14"/>
              </w:rPr>
              <w:t>Politikudvikling, herunder</w:t>
            </w:r>
          </w:p>
        </w:tc>
        <w:tc>
          <w:tcPr>
            <w:tcW w:w="875" w:type="dxa"/>
            <w:tcBorders>
              <w:left w:val="nil"/>
              <w:right w:val="nil"/>
            </w:tcBorders>
          </w:tcPr>
          <w:p>
            <w:pPr>
              <w:pStyle w:val="TableParagraph"/>
              <w:spacing w:before="41"/>
              <w:ind w:left="109" w:right="84"/>
              <w:jc w:val="center"/>
              <w:rPr>
                <w:sz w:val="14"/>
              </w:rPr>
            </w:pPr>
            <w:r>
              <w:rPr>
                <w:sz w:val="14"/>
              </w:rPr>
              <w:t>17,7</w:t>
            </w:r>
          </w:p>
        </w:tc>
        <w:tc>
          <w:tcPr>
            <w:tcW w:w="4487" w:type="dxa"/>
            <w:tcBorders>
              <w:left w:val="nil"/>
              <w:right w:val="nil"/>
            </w:tcBorders>
          </w:tcPr>
          <w:p>
            <w:pPr>
              <w:pStyle w:val="TableParagraph"/>
              <w:spacing w:before="0"/>
              <w:ind w:left="0"/>
              <w:rPr>
                <w:rFonts w:ascii="Times New Roman"/>
                <w:sz w:val="14"/>
              </w:rPr>
            </w:pPr>
          </w:p>
        </w:tc>
        <w:tc>
          <w:tcPr>
            <w:tcW w:w="789" w:type="dxa"/>
            <w:tcBorders>
              <w:left w:val="nil"/>
              <w:right w:val="nil"/>
            </w:tcBorders>
          </w:tcPr>
          <w:p>
            <w:pPr>
              <w:pStyle w:val="TableParagraph"/>
              <w:spacing w:before="0"/>
              <w:ind w:left="0"/>
              <w:rPr>
                <w:rFonts w:ascii="Times New Roman"/>
                <w:sz w:val="14"/>
              </w:rPr>
            </w:pPr>
          </w:p>
        </w:tc>
        <w:tc>
          <w:tcPr>
            <w:tcW w:w="1164" w:type="dxa"/>
            <w:tcBorders>
              <w:left w:val="nil"/>
            </w:tcBorders>
          </w:tcPr>
          <w:p>
            <w:pPr>
              <w:pStyle w:val="TableParagraph"/>
              <w:spacing w:before="41"/>
              <w:ind w:left="360" w:right="302"/>
              <w:jc w:val="center"/>
              <w:rPr>
                <w:sz w:val="14"/>
              </w:rPr>
            </w:pPr>
            <w:r>
              <w:rPr>
                <w:sz w:val="14"/>
              </w:rPr>
              <w:t>4.091</w:t>
            </w:r>
          </w:p>
        </w:tc>
      </w:tr>
      <w:tr>
        <w:trPr>
          <w:trHeight w:val="267" w:hRule="atLeast"/>
        </w:trPr>
        <w:tc>
          <w:tcPr>
            <w:tcW w:w="2812" w:type="dxa"/>
            <w:tcBorders>
              <w:right w:val="nil"/>
            </w:tcBorders>
          </w:tcPr>
          <w:p>
            <w:pPr>
              <w:pStyle w:val="TableParagraph"/>
              <w:spacing w:before="39"/>
              <w:ind w:left="275"/>
              <w:rPr>
                <w:b/>
                <w:sz w:val="14"/>
              </w:rPr>
            </w:pPr>
            <w:r>
              <w:rPr>
                <w:b/>
                <w:sz w:val="14"/>
              </w:rPr>
              <w:t>Luftkvalitet</w:t>
            </w:r>
          </w:p>
        </w:tc>
        <w:tc>
          <w:tcPr>
            <w:tcW w:w="875" w:type="dxa"/>
            <w:tcBorders>
              <w:left w:val="nil"/>
              <w:right w:val="nil"/>
            </w:tcBorders>
          </w:tcPr>
          <w:p>
            <w:pPr>
              <w:pStyle w:val="TableParagraph"/>
              <w:spacing w:before="39"/>
              <w:ind w:left="109" w:right="82"/>
              <w:jc w:val="center"/>
              <w:rPr>
                <w:sz w:val="14"/>
              </w:rPr>
            </w:pPr>
            <w:r>
              <w:rPr>
                <w:sz w:val="14"/>
              </w:rPr>
              <w:t>5,1</w:t>
            </w:r>
          </w:p>
        </w:tc>
        <w:tc>
          <w:tcPr>
            <w:tcW w:w="4487" w:type="dxa"/>
            <w:tcBorders>
              <w:left w:val="nil"/>
              <w:right w:val="nil"/>
            </w:tcBorders>
          </w:tcPr>
          <w:p>
            <w:pPr>
              <w:pStyle w:val="TableParagraph"/>
              <w:spacing w:before="39"/>
              <w:ind w:left="115"/>
              <w:rPr>
                <w:sz w:val="14"/>
              </w:rPr>
            </w:pPr>
            <w:r>
              <w:rPr>
                <w:sz w:val="14"/>
              </w:rPr>
              <w:t>Det antages at landareal kan bruges som fordelingsnøgle</w:t>
            </w:r>
          </w:p>
        </w:tc>
        <w:tc>
          <w:tcPr>
            <w:tcW w:w="789" w:type="dxa"/>
            <w:tcBorders>
              <w:left w:val="nil"/>
              <w:right w:val="nil"/>
            </w:tcBorders>
          </w:tcPr>
          <w:p>
            <w:pPr>
              <w:pStyle w:val="TableParagraph"/>
              <w:spacing w:before="39"/>
              <w:ind w:left="180" w:right="134"/>
              <w:jc w:val="center"/>
              <w:rPr>
                <w:sz w:val="14"/>
              </w:rPr>
            </w:pPr>
            <w:r>
              <w:rPr>
                <w:sz w:val="14"/>
              </w:rPr>
              <w:t>1,0 %</w:t>
            </w:r>
          </w:p>
        </w:tc>
        <w:tc>
          <w:tcPr>
            <w:tcW w:w="1164" w:type="dxa"/>
            <w:tcBorders>
              <w:left w:val="nil"/>
            </w:tcBorders>
          </w:tcPr>
          <w:p>
            <w:pPr>
              <w:pStyle w:val="TableParagraph"/>
              <w:spacing w:before="39"/>
              <w:ind w:left="363" w:right="300"/>
              <w:jc w:val="center"/>
              <w:rPr>
                <w:sz w:val="14"/>
              </w:rPr>
            </w:pPr>
            <w:r>
              <w:rPr>
                <w:sz w:val="14"/>
              </w:rPr>
              <w:t>376</w:t>
            </w:r>
          </w:p>
        </w:tc>
      </w:tr>
      <w:tr>
        <w:trPr>
          <w:trHeight w:val="640" w:hRule="atLeast"/>
        </w:trPr>
        <w:tc>
          <w:tcPr>
            <w:tcW w:w="2812" w:type="dxa"/>
            <w:tcBorders>
              <w:right w:val="nil"/>
            </w:tcBorders>
          </w:tcPr>
          <w:p>
            <w:pPr>
              <w:pStyle w:val="TableParagraph"/>
              <w:spacing w:before="39"/>
              <w:ind w:left="275"/>
              <w:rPr>
                <w:b/>
                <w:sz w:val="14"/>
              </w:rPr>
            </w:pPr>
            <w:r>
              <w:rPr>
                <w:b/>
                <w:sz w:val="14"/>
              </w:rPr>
              <w:t>Maritim</w:t>
            </w:r>
          </w:p>
        </w:tc>
        <w:tc>
          <w:tcPr>
            <w:tcW w:w="875" w:type="dxa"/>
            <w:tcBorders>
              <w:left w:val="nil"/>
              <w:right w:val="nil"/>
            </w:tcBorders>
          </w:tcPr>
          <w:p>
            <w:pPr>
              <w:pStyle w:val="TableParagraph"/>
              <w:spacing w:before="39"/>
              <w:ind w:left="109" w:right="82"/>
              <w:jc w:val="center"/>
              <w:rPr>
                <w:sz w:val="14"/>
              </w:rPr>
            </w:pPr>
            <w:r>
              <w:rPr>
                <w:sz w:val="14"/>
              </w:rPr>
              <w:t>4,4</w:t>
            </w:r>
          </w:p>
        </w:tc>
        <w:tc>
          <w:tcPr>
            <w:tcW w:w="4487" w:type="dxa"/>
            <w:tcBorders>
              <w:left w:val="nil"/>
              <w:right w:val="nil"/>
            </w:tcBorders>
          </w:tcPr>
          <w:p>
            <w:pPr>
              <w:pStyle w:val="TableParagraph"/>
              <w:spacing w:line="261" w:lineRule="auto" w:before="39"/>
              <w:ind w:left="115" w:right="151"/>
              <w:rPr>
                <w:sz w:val="14"/>
              </w:rPr>
            </w:pPr>
            <w:r>
              <w:rPr>
                <w:sz w:val="14"/>
              </w:rPr>
              <w:t>Eksklusiv Økonomisk Zone (EØZ) anvendes som fordelings- nøgle. Bemærk, at Rigsfællesskabets (EØZ) er større en kontinental-EU's.</w:t>
            </w:r>
          </w:p>
        </w:tc>
        <w:tc>
          <w:tcPr>
            <w:tcW w:w="789" w:type="dxa"/>
            <w:tcBorders>
              <w:left w:val="nil"/>
              <w:right w:val="nil"/>
            </w:tcBorders>
          </w:tcPr>
          <w:p>
            <w:pPr>
              <w:pStyle w:val="TableParagraph"/>
              <w:spacing w:before="39"/>
              <w:ind w:left="180" w:right="134"/>
              <w:jc w:val="center"/>
              <w:rPr>
                <w:sz w:val="14"/>
              </w:rPr>
            </w:pPr>
            <w:r>
              <w:rPr>
                <w:sz w:val="14"/>
              </w:rPr>
              <w:t>9,0 %</w:t>
            </w:r>
          </w:p>
        </w:tc>
        <w:tc>
          <w:tcPr>
            <w:tcW w:w="1164" w:type="dxa"/>
            <w:tcBorders>
              <w:left w:val="nil"/>
            </w:tcBorders>
          </w:tcPr>
          <w:p>
            <w:pPr>
              <w:pStyle w:val="TableParagraph"/>
              <w:spacing w:before="39"/>
              <w:ind w:left="360" w:right="302"/>
              <w:jc w:val="center"/>
              <w:rPr>
                <w:sz w:val="14"/>
              </w:rPr>
            </w:pPr>
            <w:r>
              <w:rPr>
                <w:sz w:val="14"/>
              </w:rPr>
              <w:t>2.951</w:t>
            </w:r>
          </w:p>
        </w:tc>
      </w:tr>
      <w:tr>
        <w:trPr>
          <w:trHeight w:val="642" w:hRule="atLeast"/>
        </w:trPr>
        <w:tc>
          <w:tcPr>
            <w:tcW w:w="2812" w:type="dxa"/>
            <w:tcBorders>
              <w:right w:val="nil"/>
            </w:tcBorders>
          </w:tcPr>
          <w:p>
            <w:pPr>
              <w:pStyle w:val="TableParagraph"/>
              <w:spacing w:before="39"/>
              <w:ind w:left="275"/>
              <w:rPr>
                <w:b/>
                <w:sz w:val="14"/>
              </w:rPr>
            </w:pPr>
            <w:r>
              <w:rPr>
                <w:b/>
                <w:sz w:val="14"/>
              </w:rPr>
              <w:t>Oversvømmelser</w:t>
            </w:r>
          </w:p>
        </w:tc>
        <w:tc>
          <w:tcPr>
            <w:tcW w:w="875" w:type="dxa"/>
            <w:tcBorders>
              <w:left w:val="nil"/>
              <w:right w:val="nil"/>
            </w:tcBorders>
          </w:tcPr>
          <w:p>
            <w:pPr>
              <w:pStyle w:val="TableParagraph"/>
              <w:spacing w:before="39"/>
              <w:ind w:left="109" w:right="82"/>
              <w:jc w:val="center"/>
              <w:rPr>
                <w:sz w:val="14"/>
              </w:rPr>
            </w:pPr>
            <w:r>
              <w:rPr>
                <w:sz w:val="14"/>
              </w:rPr>
              <w:t>3,1</w:t>
            </w:r>
          </w:p>
        </w:tc>
        <w:tc>
          <w:tcPr>
            <w:tcW w:w="4487" w:type="dxa"/>
            <w:tcBorders>
              <w:left w:val="nil"/>
              <w:right w:val="nil"/>
            </w:tcBorders>
          </w:tcPr>
          <w:p>
            <w:pPr>
              <w:pStyle w:val="TableParagraph"/>
              <w:spacing w:line="264" w:lineRule="auto" w:before="39"/>
              <w:ind w:left="115" w:right="99"/>
              <w:rPr>
                <w:sz w:val="14"/>
              </w:rPr>
            </w:pPr>
            <w:r>
              <w:rPr>
                <w:sz w:val="14"/>
              </w:rPr>
              <w:t>Gevinster ved oversvømmelsesundgåelse fordeles ved 10 % af areal, da ingen af EU's alvorlige oversvømmelser mellem 2000 og 2010 ramte Danmark.</w:t>
            </w:r>
          </w:p>
        </w:tc>
        <w:tc>
          <w:tcPr>
            <w:tcW w:w="789" w:type="dxa"/>
            <w:tcBorders>
              <w:left w:val="nil"/>
              <w:right w:val="nil"/>
            </w:tcBorders>
          </w:tcPr>
          <w:p>
            <w:pPr>
              <w:pStyle w:val="TableParagraph"/>
              <w:spacing w:before="39"/>
              <w:ind w:left="180" w:right="134"/>
              <w:jc w:val="center"/>
              <w:rPr>
                <w:sz w:val="14"/>
              </w:rPr>
            </w:pPr>
            <w:r>
              <w:rPr>
                <w:sz w:val="14"/>
              </w:rPr>
              <w:t>0,1 %</w:t>
            </w:r>
          </w:p>
        </w:tc>
        <w:tc>
          <w:tcPr>
            <w:tcW w:w="1164" w:type="dxa"/>
            <w:tcBorders>
              <w:left w:val="nil"/>
            </w:tcBorders>
          </w:tcPr>
          <w:p>
            <w:pPr>
              <w:pStyle w:val="TableParagraph"/>
              <w:spacing w:before="39"/>
              <w:ind w:left="363" w:right="302"/>
              <w:jc w:val="center"/>
              <w:rPr>
                <w:sz w:val="14"/>
              </w:rPr>
            </w:pPr>
            <w:r>
              <w:rPr>
                <w:sz w:val="14"/>
              </w:rPr>
              <w:t>23</w:t>
            </w:r>
          </w:p>
        </w:tc>
      </w:tr>
      <w:tr>
        <w:trPr>
          <w:trHeight w:val="452" w:hRule="atLeast"/>
        </w:trPr>
        <w:tc>
          <w:tcPr>
            <w:tcW w:w="2812" w:type="dxa"/>
            <w:tcBorders>
              <w:right w:val="nil"/>
            </w:tcBorders>
          </w:tcPr>
          <w:p>
            <w:pPr>
              <w:pStyle w:val="TableParagraph"/>
              <w:spacing w:before="39"/>
              <w:ind w:left="275"/>
              <w:rPr>
                <w:b/>
                <w:sz w:val="14"/>
              </w:rPr>
            </w:pPr>
            <w:r>
              <w:rPr>
                <w:b/>
                <w:sz w:val="14"/>
              </w:rPr>
              <w:t>Konfliktløsning</w:t>
            </w:r>
          </w:p>
        </w:tc>
        <w:tc>
          <w:tcPr>
            <w:tcW w:w="875" w:type="dxa"/>
            <w:tcBorders>
              <w:left w:val="nil"/>
              <w:right w:val="nil"/>
            </w:tcBorders>
          </w:tcPr>
          <w:p>
            <w:pPr>
              <w:pStyle w:val="TableParagraph"/>
              <w:spacing w:before="39"/>
              <w:ind w:left="109" w:right="82"/>
              <w:jc w:val="center"/>
              <w:rPr>
                <w:sz w:val="14"/>
              </w:rPr>
            </w:pPr>
            <w:r>
              <w:rPr>
                <w:sz w:val="14"/>
              </w:rPr>
              <w:t>2,7</w:t>
            </w:r>
          </w:p>
        </w:tc>
        <w:tc>
          <w:tcPr>
            <w:tcW w:w="4487" w:type="dxa"/>
            <w:tcBorders>
              <w:left w:val="nil"/>
              <w:right w:val="nil"/>
            </w:tcBorders>
          </w:tcPr>
          <w:p>
            <w:pPr>
              <w:pStyle w:val="TableParagraph"/>
              <w:spacing w:line="264" w:lineRule="auto" w:before="39"/>
              <w:ind w:left="115"/>
              <w:rPr>
                <w:sz w:val="14"/>
              </w:rPr>
            </w:pPr>
            <w:r>
              <w:rPr>
                <w:sz w:val="14"/>
              </w:rPr>
              <w:t>Jordobservationsgevinster til konfliktløsning approksimeres ved andel af EU's samlede forsvarsudgifter.</w:t>
            </w:r>
          </w:p>
        </w:tc>
        <w:tc>
          <w:tcPr>
            <w:tcW w:w="789" w:type="dxa"/>
            <w:tcBorders>
              <w:left w:val="nil"/>
              <w:right w:val="nil"/>
            </w:tcBorders>
          </w:tcPr>
          <w:p>
            <w:pPr>
              <w:pStyle w:val="TableParagraph"/>
              <w:spacing w:before="39"/>
              <w:ind w:left="180" w:right="134"/>
              <w:jc w:val="center"/>
              <w:rPr>
                <w:sz w:val="14"/>
              </w:rPr>
            </w:pPr>
            <w:r>
              <w:rPr>
                <w:sz w:val="14"/>
              </w:rPr>
              <w:t>1,4 %</w:t>
            </w:r>
          </w:p>
        </w:tc>
        <w:tc>
          <w:tcPr>
            <w:tcW w:w="1164" w:type="dxa"/>
            <w:tcBorders>
              <w:left w:val="nil"/>
            </w:tcBorders>
          </w:tcPr>
          <w:p>
            <w:pPr>
              <w:pStyle w:val="TableParagraph"/>
              <w:spacing w:before="39"/>
              <w:ind w:left="363" w:right="300"/>
              <w:jc w:val="center"/>
              <w:rPr>
                <w:sz w:val="14"/>
              </w:rPr>
            </w:pPr>
            <w:r>
              <w:rPr>
                <w:sz w:val="14"/>
              </w:rPr>
              <w:t>288</w:t>
            </w:r>
          </w:p>
        </w:tc>
      </w:tr>
      <w:tr>
        <w:trPr>
          <w:trHeight w:val="267" w:hRule="atLeast"/>
        </w:trPr>
        <w:tc>
          <w:tcPr>
            <w:tcW w:w="2812" w:type="dxa"/>
            <w:tcBorders>
              <w:right w:val="nil"/>
            </w:tcBorders>
          </w:tcPr>
          <w:p>
            <w:pPr>
              <w:pStyle w:val="TableParagraph"/>
              <w:spacing w:before="41"/>
              <w:ind w:left="275"/>
              <w:rPr>
                <w:b/>
                <w:sz w:val="14"/>
              </w:rPr>
            </w:pPr>
            <w:r>
              <w:rPr>
                <w:b/>
                <w:sz w:val="14"/>
              </w:rPr>
              <w:t>Humanitær bistand</w:t>
            </w:r>
          </w:p>
        </w:tc>
        <w:tc>
          <w:tcPr>
            <w:tcW w:w="875" w:type="dxa"/>
            <w:tcBorders>
              <w:left w:val="nil"/>
              <w:right w:val="nil"/>
            </w:tcBorders>
          </w:tcPr>
          <w:p>
            <w:pPr>
              <w:pStyle w:val="TableParagraph"/>
              <w:spacing w:before="41"/>
              <w:ind w:left="109" w:right="82"/>
              <w:jc w:val="center"/>
              <w:rPr>
                <w:sz w:val="14"/>
              </w:rPr>
            </w:pPr>
            <w:r>
              <w:rPr>
                <w:sz w:val="14"/>
              </w:rPr>
              <w:t>1,1</w:t>
            </w:r>
          </w:p>
        </w:tc>
        <w:tc>
          <w:tcPr>
            <w:tcW w:w="4487" w:type="dxa"/>
            <w:tcBorders>
              <w:left w:val="nil"/>
              <w:right w:val="nil"/>
            </w:tcBorders>
          </w:tcPr>
          <w:p>
            <w:pPr>
              <w:pStyle w:val="TableParagraph"/>
              <w:spacing w:before="41"/>
              <w:ind w:left="115"/>
              <w:rPr>
                <w:sz w:val="14"/>
              </w:rPr>
            </w:pPr>
            <w:r>
              <w:rPr>
                <w:sz w:val="14"/>
              </w:rPr>
              <w:t>Budget til humanitære formål bruges som fordelingsnøgle.</w:t>
            </w:r>
          </w:p>
        </w:tc>
        <w:tc>
          <w:tcPr>
            <w:tcW w:w="789" w:type="dxa"/>
            <w:tcBorders>
              <w:left w:val="nil"/>
              <w:right w:val="nil"/>
            </w:tcBorders>
          </w:tcPr>
          <w:p>
            <w:pPr>
              <w:pStyle w:val="TableParagraph"/>
              <w:spacing w:before="41"/>
              <w:ind w:left="180" w:right="134"/>
              <w:jc w:val="center"/>
              <w:rPr>
                <w:sz w:val="14"/>
              </w:rPr>
            </w:pPr>
            <w:r>
              <w:rPr>
                <w:sz w:val="14"/>
              </w:rPr>
              <w:t>4,9 %</w:t>
            </w:r>
          </w:p>
        </w:tc>
        <w:tc>
          <w:tcPr>
            <w:tcW w:w="1164" w:type="dxa"/>
            <w:tcBorders>
              <w:left w:val="nil"/>
            </w:tcBorders>
          </w:tcPr>
          <w:p>
            <w:pPr>
              <w:pStyle w:val="TableParagraph"/>
              <w:spacing w:before="41"/>
              <w:ind w:left="363" w:right="300"/>
              <w:jc w:val="center"/>
              <w:rPr>
                <w:sz w:val="14"/>
              </w:rPr>
            </w:pPr>
            <w:r>
              <w:rPr>
                <w:sz w:val="14"/>
              </w:rPr>
              <w:t>397</w:t>
            </w:r>
          </w:p>
        </w:tc>
      </w:tr>
      <w:tr>
        <w:trPr>
          <w:trHeight w:val="455" w:hRule="atLeast"/>
        </w:trPr>
        <w:tc>
          <w:tcPr>
            <w:tcW w:w="2812" w:type="dxa"/>
            <w:tcBorders>
              <w:right w:val="nil"/>
            </w:tcBorders>
          </w:tcPr>
          <w:p>
            <w:pPr>
              <w:pStyle w:val="TableParagraph"/>
              <w:spacing w:before="39"/>
              <w:ind w:left="275"/>
              <w:rPr>
                <w:b/>
                <w:sz w:val="14"/>
              </w:rPr>
            </w:pPr>
            <w:r>
              <w:rPr>
                <w:b/>
                <w:sz w:val="14"/>
              </w:rPr>
              <w:t>Seismiske applikationer</w:t>
            </w:r>
          </w:p>
        </w:tc>
        <w:tc>
          <w:tcPr>
            <w:tcW w:w="875" w:type="dxa"/>
            <w:tcBorders>
              <w:left w:val="nil"/>
              <w:right w:val="nil"/>
            </w:tcBorders>
          </w:tcPr>
          <w:p>
            <w:pPr>
              <w:pStyle w:val="TableParagraph"/>
              <w:spacing w:before="39"/>
              <w:ind w:left="109" w:right="82"/>
              <w:jc w:val="center"/>
              <w:rPr>
                <w:sz w:val="14"/>
              </w:rPr>
            </w:pPr>
            <w:r>
              <w:rPr>
                <w:sz w:val="14"/>
              </w:rPr>
              <w:t>0,6</w:t>
            </w:r>
          </w:p>
        </w:tc>
        <w:tc>
          <w:tcPr>
            <w:tcW w:w="4487" w:type="dxa"/>
            <w:tcBorders>
              <w:left w:val="nil"/>
              <w:right w:val="nil"/>
            </w:tcBorders>
          </w:tcPr>
          <w:p>
            <w:pPr>
              <w:pStyle w:val="TableParagraph"/>
              <w:spacing w:line="264" w:lineRule="auto" w:before="39"/>
              <w:ind w:left="115"/>
              <w:rPr>
                <w:sz w:val="14"/>
              </w:rPr>
            </w:pPr>
            <w:r>
              <w:rPr>
                <w:sz w:val="14"/>
              </w:rPr>
              <w:t>Der forventes ingen nævneværdige gevinster fra seismiske applikationer vha. JO i Danmark.</w:t>
            </w:r>
          </w:p>
        </w:tc>
        <w:tc>
          <w:tcPr>
            <w:tcW w:w="789" w:type="dxa"/>
            <w:tcBorders>
              <w:left w:val="nil"/>
              <w:right w:val="nil"/>
            </w:tcBorders>
          </w:tcPr>
          <w:p>
            <w:pPr>
              <w:pStyle w:val="TableParagraph"/>
              <w:spacing w:before="39"/>
              <w:ind w:left="180" w:right="134"/>
              <w:jc w:val="center"/>
              <w:rPr>
                <w:sz w:val="14"/>
              </w:rPr>
            </w:pPr>
            <w:r>
              <w:rPr>
                <w:sz w:val="14"/>
              </w:rPr>
              <w:t>0,0 %</w:t>
            </w:r>
          </w:p>
        </w:tc>
        <w:tc>
          <w:tcPr>
            <w:tcW w:w="1164" w:type="dxa"/>
            <w:tcBorders>
              <w:left w:val="nil"/>
            </w:tcBorders>
          </w:tcPr>
          <w:p>
            <w:pPr>
              <w:pStyle w:val="TableParagraph"/>
              <w:spacing w:before="39"/>
              <w:ind w:left="63"/>
              <w:jc w:val="center"/>
              <w:rPr>
                <w:sz w:val="14"/>
              </w:rPr>
            </w:pPr>
            <w:r>
              <w:rPr>
                <w:w w:val="99"/>
                <w:sz w:val="14"/>
              </w:rPr>
              <w:t>0</w:t>
            </w:r>
          </w:p>
        </w:tc>
      </w:tr>
      <w:tr>
        <w:trPr>
          <w:trHeight w:val="265" w:hRule="atLeast"/>
        </w:trPr>
        <w:tc>
          <w:tcPr>
            <w:tcW w:w="2812" w:type="dxa"/>
            <w:tcBorders>
              <w:right w:val="nil"/>
            </w:tcBorders>
          </w:tcPr>
          <w:p>
            <w:pPr>
              <w:pStyle w:val="TableParagraph"/>
              <w:spacing w:before="39"/>
              <w:ind w:left="275"/>
              <w:rPr>
                <w:b/>
                <w:sz w:val="14"/>
              </w:rPr>
            </w:pPr>
            <w:r>
              <w:rPr>
                <w:b/>
                <w:sz w:val="14"/>
              </w:rPr>
              <w:t>Skovbrande</w:t>
            </w:r>
          </w:p>
        </w:tc>
        <w:tc>
          <w:tcPr>
            <w:tcW w:w="875" w:type="dxa"/>
            <w:tcBorders>
              <w:left w:val="nil"/>
              <w:right w:val="nil"/>
            </w:tcBorders>
          </w:tcPr>
          <w:p>
            <w:pPr>
              <w:pStyle w:val="TableParagraph"/>
              <w:spacing w:before="39"/>
              <w:ind w:left="109" w:right="82"/>
              <w:jc w:val="center"/>
              <w:rPr>
                <w:sz w:val="14"/>
              </w:rPr>
            </w:pPr>
            <w:r>
              <w:rPr>
                <w:sz w:val="14"/>
              </w:rPr>
              <w:t>0,3</w:t>
            </w:r>
          </w:p>
        </w:tc>
        <w:tc>
          <w:tcPr>
            <w:tcW w:w="4487" w:type="dxa"/>
            <w:tcBorders>
              <w:left w:val="nil"/>
              <w:right w:val="nil"/>
            </w:tcBorders>
          </w:tcPr>
          <w:p>
            <w:pPr>
              <w:pStyle w:val="TableParagraph"/>
              <w:spacing w:before="39"/>
              <w:ind w:left="115"/>
              <w:rPr>
                <w:sz w:val="14"/>
              </w:rPr>
            </w:pPr>
            <w:r>
              <w:rPr>
                <w:sz w:val="14"/>
              </w:rPr>
              <w:t>Andelen af EU's skovdække bruges som fordelingsnøgle.</w:t>
            </w:r>
          </w:p>
        </w:tc>
        <w:tc>
          <w:tcPr>
            <w:tcW w:w="789" w:type="dxa"/>
            <w:tcBorders>
              <w:left w:val="nil"/>
              <w:right w:val="nil"/>
            </w:tcBorders>
          </w:tcPr>
          <w:p>
            <w:pPr>
              <w:pStyle w:val="TableParagraph"/>
              <w:spacing w:before="39"/>
              <w:ind w:left="180" w:right="134"/>
              <w:jc w:val="center"/>
              <w:rPr>
                <w:sz w:val="14"/>
              </w:rPr>
            </w:pPr>
            <w:r>
              <w:rPr>
                <w:sz w:val="14"/>
              </w:rPr>
              <w:t>0,4 %</w:t>
            </w:r>
          </w:p>
        </w:tc>
        <w:tc>
          <w:tcPr>
            <w:tcW w:w="1164" w:type="dxa"/>
            <w:tcBorders>
              <w:left w:val="nil"/>
            </w:tcBorders>
          </w:tcPr>
          <w:p>
            <w:pPr>
              <w:pStyle w:val="TableParagraph"/>
              <w:spacing w:before="39"/>
              <w:ind w:left="63"/>
              <w:jc w:val="center"/>
              <w:rPr>
                <w:sz w:val="14"/>
              </w:rPr>
            </w:pPr>
            <w:r>
              <w:rPr>
                <w:w w:val="99"/>
                <w:sz w:val="14"/>
              </w:rPr>
              <w:t>9</w:t>
            </w:r>
          </w:p>
        </w:tc>
      </w:tr>
      <w:tr>
        <w:trPr>
          <w:trHeight w:val="455" w:hRule="atLeast"/>
        </w:trPr>
        <w:tc>
          <w:tcPr>
            <w:tcW w:w="2812" w:type="dxa"/>
            <w:tcBorders>
              <w:right w:val="nil"/>
            </w:tcBorders>
          </w:tcPr>
          <w:p>
            <w:pPr>
              <w:pStyle w:val="TableParagraph"/>
              <w:spacing w:before="41"/>
              <w:ind w:left="275"/>
              <w:rPr>
                <w:b/>
                <w:sz w:val="14"/>
              </w:rPr>
            </w:pPr>
            <w:r>
              <w:rPr>
                <w:b/>
                <w:sz w:val="14"/>
              </w:rPr>
              <w:t>’Anden’ risiko og sikkerhed</w:t>
            </w:r>
          </w:p>
        </w:tc>
        <w:tc>
          <w:tcPr>
            <w:tcW w:w="875" w:type="dxa"/>
            <w:tcBorders>
              <w:left w:val="nil"/>
              <w:right w:val="nil"/>
            </w:tcBorders>
          </w:tcPr>
          <w:p>
            <w:pPr>
              <w:pStyle w:val="TableParagraph"/>
              <w:spacing w:before="41"/>
              <w:ind w:left="109" w:right="82"/>
              <w:jc w:val="center"/>
              <w:rPr>
                <w:sz w:val="14"/>
              </w:rPr>
            </w:pPr>
            <w:r>
              <w:rPr>
                <w:sz w:val="14"/>
              </w:rPr>
              <w:t>0,3</w:t>
            </w:r>
          </w:p>
        </w:tc>
        <w:tc>
          <w:tcPr>
            <w:tcW w:w="4487" w:type="dxa"/>
            <w:tcBorders>
              <w:left w:val="nil"/>
              <w:right w:val="nil"/>
            </w:tcBorders>
          </w:tcPr>
          <w:p>
            <w:pPr>
              <w:pStyle w:val="TableParagraph"/>
              <w:spacing w:line="261" w:lineRule="auto" w:before="41"/>
              <w:ind w:left="115" w:right="179"/>
              <w:rPr>
                <w:sz w:val="14"/>
              </w:rPr>
            </w:pPr>
            <w:r>
              <w:rPr>
                <w:sz w:val="14"/>
              </w:rPr>
              <w:t>BNP antages at være den bedste fordelingsnøgle for gevin- ster inden for ’andre’ risiko- og sikkerhedsaktiviteter.</w:t>
            </w:r>
          </w:p>
        </w:tc>
        <w:tc>
          <w:tcPr>
            <w:tcW w:w="789" w:type="dxa"/>
            <w:tcBorders>
              <w:left w:val="nil"/>
              <w:right w:val="nil"/>
            </w:tcBorders>
          </w:tcPr>
          <w:p>
            <w:pPr>
              <w:pStyle w:val="TableParagraph"/>
              <w:spacing w:before="41"/>
              <w:ind w:left="180" w:right="134"/>
              <w:jc w:val="center"/>
              <w:rPr>
                <w:sz w:val="14"/>
              </w:rPr>
            </w:pPr>
            <w:r>
              <w:rPr>
                <w:sz w:val="14"/>
              </w:rPr>
              <w:t>1,9 %</w:t>
            </w:r>
          </w:p>
        </w:tc>
        <w:tc>
          <w:tcPr>
            <w:tcW w:w="1164" w:type="dxa"/>
            <w:tcBorders>
              <w:left w:val="nil"/>
            </w:tcBorders>
          </w:tcPr>
          <w:p>
            <w:pPr>
              <w:pStyle w:val="TableParagraph"/>
              <w:spacing w:before="41"/>
              <w:ind w:left="363" w:right="302"/>
              <w:jc w:val="center"/>
              <w:rPr>
                <w:sz w:val="14"/>
              </w:rPr>
            </w:pPr>
            <w:r>
              <w:rPr>
                <w:sz w:val="14"/>
              </w:rPr>
              <w:t>44</w:t>
            </w:r>
          </w:p>
        </w:tc>
      </w:tr>
      <w:tr>
        <w:trPr>
          <w:trHeight w:val="268" w:hRule="atLeast"/>
        </w:trPr>
        <w:tc>
          <w:tcPr>
            <w:tcW w:w="2812" w:type="dxa"/>
            <w:tcBorders>
              <w:right w:val="nil"/>
            </w:tcBorders>
          </w:tcPr>
          <w:p>
            <w:pPr>
              <w:pStyle w:val="TableParagraph"/>
              <w:spacing w:before="39"/>
              <w:ind w:left="275"/>
              <w:rPr>
                <w:b/>
                <w:sz w:val="14"/>
              </w:rPr>
            </w:pPr>
            <w:r>
              <w:rPr>
                <w:b/>
                <w:sz w:val="14"/>
              </w:rPr>
              <w:t>Skoves økosystemer (EU)</w:t>
            </w:r>
          </w:p>
        </w:tc>
        <w:tc>
          <w:tcPr>
            <w:tcW w:w="875" w:type="dxa"/>
            <w:tcBorders>
              <w:left w:val="nil"/>
              <w:right w:val="nil"/>
            </w:tcBorders>
          </w:tcPr>
          <w:p>
            <w:pPr>
              <w:pStyle w:val="TableParagraph"/>
              <w:spacing w:before="39"/>
              <w:ind w:left="109" w:right="82"/>
              <w:jc w:val="center"/>
              <w:rPr>
                <w:sz w:val="14"/>
              </w:rPr>
            </w:pPr>
            <w:r>
              <w:rPr>
                <w:sz w:val="14"/>
              </w:rPr>
              <w:t>0,1</w:t>
            </w:r>
          </w:p>
        </w:tc>
        <w:tc>
          <w:tcPr>
            <w:tcW w:w="4487" w:type="dxa"/>
            <w:tcBorders>
              <w:left w:val="nil"/>
              <w:right w:val="nil"/>
            </w:tcBorders>
          </w:tcPr>
          <w:p>
            <w:pPr>
              <w:pStyle w:val="TableParagraph"/>
              <w:spacing w:before="39"/>
              <w:ind w:left="115"/>
              <w:rPr>
                <w:sz w:val="14"/>
              </w:rPr>
            </w:pPr>
            <w:r>
              <w:rPr>
                <w:sz w:val="14"/>
              </w:rPr>
              <w:t>Andelen af EU's skovdække bruges som fordelingsnøgle.</w:t>
            </w:r>
          </w:p>
        </w:tc>
        <w:tc>
          <w:tcPr>
            <w:tcW w:w="789" w:type="dxa"/>
            <w:tcBorders>
              <w:left w:val="nil"/>
              <w:right w:val="nil"/>
            </w:tcBorders>
          </w:tcPr>
          <w:p>
            <w:pPr>
              <w:pStyle w:val="TableParagraph"/>
              <w:spacing w:before="39"/>
              <w:ind w:left="180" w:right="134"/>
              <w:jc w:val="center"/>
              <w:rPr>
                <w:sz w:val="14"/>
              </w:rPr>
            </w:pPr>
            <w:r>
              <w:rPr>
                <w:sz w:val="14"/>
              </w:rPr>
              <w:t>0,4 %</w:t>
            </w:r>
          </w:p>
        </w:tc>
        <w:tc>
          <w:tcPr>
            <w:tcW w:w="1164" w:type="dxa"/>
            <w:tcBorders>
              <w:left w:val="nil"/>
            </w:tcBorders>
          </w:tcPr>
          <w:p>
            <w:pPr>
              <w:pStyle w:val="TableParagraph"/>
              <w:spacing w:before="39"/>
              <w:ind w:left="63"/>
              <w:jc w:val="center"/>
              <w:rPr>
                <w:sz w:val="14"/>
              </w:rPr>
            </w:pPr>
            <w:r>
              <w:rPr>
                <w:w w:val="99"/>
                <w:sz w:val="14"/>
              </w:rPr>
              <w:t>2</w:t>
            </w:r>
          </w:p>
        </w:tc>
      </w:tr>
      <w:tr>
        <w:trPr>
          <w:trHeight w:val="265" w:hRule="atLeast"/>
        </w:trPr>
        <w:tc>
          <w:tcPr>
            <w:tcW w:w="2812" w:type="dxa"/>
            <w:tcBorders>
              <w:right w:val="nil"/>
            </w:tcBorders>
          </w:tcPr>
          <w:p>
            <w:pPr>
              <w:pStyle w:val="TableParagraph"/>
              <w:spacing w:before="39"/>
              <w:ind w:left="0" w:right="114"/>
              <w:jc w:val="right"/>
              <w:rPr>
                <w:b/>
                <w:sz w:val="14"/>
              </w:rPr>
            </w:pPr>
            <w:r>
              <w:rPr>
                <w:b/>
                <w:sz w:val="14"/>
              </w:rPr>
              <w:t>Global politikudvikling, herunder</w:t>
            </w:r>
          </w:p>
        </w:tc>
        <w:tc>
          <w:tcPr>
            <w:tcW w:w="875" w:type="dxa"/>
            <w:tcBorders>
              <w:left w:val="nil"/>
              <w:right w:val="nil"/>
            </w:tcBorders>
          </w:tcPr>
          <w:p>
            <w:pPr>
              <w:pStyle w:val="TableParagraph"/>
              <w:spacing w:before="39"/>
              <w:ind w:left="109" w:right="84"/>
              <w:jc w:val="center"/>
              <w:rPr>
                <w:sz w:val="14"/>
              </w:rPr>
            </w:pPr>
            <w:r>
              <w:rPr>
                <w:sz w:val="14"/>
              </w:rPr>
              <w:t>21,0</w:t>
            </w:r>
          </w:p>
        </w:tc>
        <w:tc>
          <w:tcPr>
            <w:tcW w:w="4487" w:type="dxa"/>
            <w:tcBorders>
              <w:left w:val="nil"/>
              <w:right w:val="nil"/>
            </w:tcBorders>
          </w:tcPr>
          <w:p>
            <w:pPr>
              <w:pStyle w:val="TableParagraph"/>
              <w:spacing w:before="0"/>
              <w:ind w:left="0"/>
              <w:rPr>
                <w:rFonts w:ascii="Times New Roman"/>
                <w:sz w:val="14"/>
              </w:rPr>
            </w:pPr>
          </w:p>
        </w:tc>
        <w:tc>
          <w:tcPr>
            <w:tcW w:w="789" w:type="dxa"/>
            <w:tcBorders>
              <w:left w:val="nil"/>
              <w:right w:val="nil"/>
            </w:tcBorders>
          </w:tcPr>
          <w:p>
            <w:pPr>
              <w:pStyle w:val="TableParagraph"/>
              <w:spacing w:before="0"/>
              <w:ind w:left="0"/>
              <w:rPr>
                <w:rFonts w:ascii="Times New Roman"/>
                <w:sz w:val="14"/>
              </w:rPr>
            </w:pPr>
          </w:p>
        </w:tc>
        <w:tc>
          <w:tcPr>
            <w:tcW w:w="1164" w:type="dxa"/>
            <w:tcBorders>
              <w:left w:val="nil"/>
            </w:tcBorders>
          </w:tcPr>
          <w:p>
            <w:pPr>
              <w:pStyle w:val="TableParagraph"/>
              <w:spacing w:before="39"/>
              <w:ind w:left="360" w:right="302"/>
              <w:jc w:val="center"/>
              <w:rPr>
                <w:sz w:val="14"/>
              </w:rPr>
            </w:pPr>
            <w:r>
              <w:rPr>
                <w:sz w:val="14"/>
              </w:rPr>
              <w:t>2.985</w:t>
            </w:r>
          </w:p>
        </w:tc>
      </w:tr>
      <w:tr>
        <w:trPr>
          <w:trHeight w:val="268" w:hRule="atLeast"/>
        </w:trPr>
        <w:tc>
          <w:tcPr>
            <w:tcW w:w="2812" w:type="dxa"/>
            <w:tcBorders>
              <w:right w:val="nil"/>
            </w:tcBorders>
          </w:tcPr>
          <w:p>
            <w:pPr>
              <w:pStyle w:val="TableParagraph"/>
              <w:spacing w:before="41"/>
              <w:ind w:left="0" w:right="109"/>
              <w:jc w:val="right"/>
              <w:rPr>
                <w:b/>
                <w:sz w:val="14"/>
              </w:rPr>
            </w:pPr>
            <w:r>
              <w:rPr>
                <w:b/>
                <w:sz w:val="14"/>
              </w:rPr>
              <w:t>Klimaforandringer (tilpasning)</w:t>
            </w:r>
          </w:p>
        </w:tc>
        <w:tc>
          <w:tcPr>
            <w:tcW w:w="875" w:type="dxa"/>
            <w:tcBorders>
              <w:left w:val="nil"/>
              <w:right w:val="nil"/>
            </w:tcBorders>
          </w:tcPr>
          <w:p>
            <w:pPr>
              <w:pStyle w:val="TableParagraph"/>
              <w:spacing w:before="41"/>
              <w:ind w:left="109" w:right="84"/>
              <w:jc w:val="center"/>
              <w:rPr>
                <w:sz w:val="14"/>
              </w:rPr>
            </w:pPr>
            <w:r>
              <w:rPr>
                <w:sz w:val="14"/>
              </w:rPr>
              <w:t>17,0</w:t>
            </w:r>
          </w:p>
        </w:tc>
        <w:tc>
          <w:tcPr>
            <w:tcW w:w="4487" w:type="dxa"/>
            <w:vMerge w:val="restart"/>
            <w:tcBorders>
              <w:left w:val="nil"/>
              <w:right w:val="nil"/>
            </w:tcBorders>
          </w:tcPr>
          <w:p>
            <w:pPr>
              <w:pStyle w:val="TableParagraph"/>
              <w:spacing w:line="261" w:lineRule="auto" w:before="41"/>
              <w:ind w:left="115"/>
              <w:rPr>
                <w:sz w:val="14"/>
              </w:rPr>
            </w:pPr>
            <w:r>
              <w:rPr>
                <w:sz w:val="14"/>
              </w:rPr>
              <w:t>Danmarks andel af gevinster som følge af bedre information på EU-niveau til tackling af globale udfordringer antages at kunne approksimeres ved BNP.</w:t>
            </w:r>
          </w:p>
        </w:tc>
        <w:tc>
          <w:tcPr>
            <w:tcW w:w="789" w:type="dxa"/>
            <w:tcBorders>
              <w:left w:val="nil"/>
              <w:right w:val="nil"/>
            </w:tcBorders>
          </w:tcPr>
          <w:p>
            <w:pPr>
              <w:pStyle w:val="TableParagraph"/>
              <w:spacing w:before="41"/>
              <w:ind w:left="180" w:right="134"/>
              <w:jc w:val="center"/>
              <w:rPr>
                <w:sz w:val="14"/>
              </w:rPr>
            </w:pPr>
            <w:r>
              <w:rPr>
                <w:sz w:val="14"/>
              </w:rPr>
              <w:t>1,9 %</w:t>
            </w:r>
          </w:p>
        </w:tc>
        <w:tc>
          <w:tcPr>
            <w:tcW w:w="1164" w:type="dxa"/>
            <w:tcBorders>
              <w:left w:val="nil"/>
            </w:tcBorders>
          </w:tcPr>
          <w:p>
            <w:pPr>
              <w:pStyle w:val="TableParagraph"/>
              <w:spacing w:before="41"/>
              <w:ind w:left="360" w:right="302"/>
              <w:jc w:val="center"/>
              <w:rPr>
                <w:sz w:val="14"/>
              </w:rPr>
            </w:pPr>
            <w:r>
              <w:rPr>
                <w:sz w:val="14"/>
              </w:rPr>
              <w:t>2.418</w:t>
            </w:r>
          </w:p>
        </w:tc>
      </w:tr>
      <w:tr>
        <w:trPr>
          <w:trHeight w:val="268" w:hRule="atLeast"/>
        </w:trPr>
        <w:tc>
          <w:tcPr>
            <w:tcW w:w="2812" w:type="dxa"/>
            <w:tcBorders>
              <w:right w:val="nil"/>
            </w:tcBorders>
          </w:tcPr>
          <w:p>
            <w:pPr>
              <w:pStyle w:val="TableParagraph"/>
              <w:spacing w:before="39"/>
              <w:ind w:left="275"/>
              <w:rPr>
                <w:b/>
                <w:sz w:val="14"/>
              </w:rPr>
            </w:pPr>
            <w:r>
              <w:rPr>
                <w:b/>
                <w:sz w:val="14"/>
              </w:rPr>
              <w:t>Skovrydning</w:t>
            </w:r>
          </w:p>
        </w:tc>
        <w:tc>
          <w:tcPr>
            <w:tcW w:w="875" w:type="dxa"/>
            <w:tcBorders>
              <w:left w:val="nil"/>
              <w:right w:val="nil"/>
            </w:tcBorders>
          </w:tcPr>
          <w:p>
            <w:pPr>
              <w:pStyle w:val="TableParagraph"/>
              <w:spacing w:before="39"/>
              <w:ind w:left="109" w:right="82"/>
              <w:jc w:val="center"/>
              <w:rPr>
                <w:sz w:val="14"/>
              </w:rPr>
            </w:pPr>
            <w:r>
              <w:rPr>
                <w:sz w:val="14"/>
              </w:rPr>
              <w:t>3,0</w:t>
            </w:r>
          </w:p>
        </w:tc>
        <w:tc>
          <w:tcPr>
            <w:tcW w:w="4487" w:type="dxa"/>
            <w:vMerge/>
            <w:tcBorders>
              <w:top w:val="nil"/>
              <w:left w:val="nil"/>
              <w:right w:val="nil"/>
            </w:tcBorders>
          </w:tcPr>
          <w:p>
            <w:pPr>
              <w:rPr>
                <w:sz w:val="2"/>
                <w:szCs w:val="2"/>
              </w:rPr>
            </w:pPr>
          </w:p>
        </w:tc>
        <w:tc>
          <w:tcPr>
            <w:tcW w:w="789" w:type="dxa"/>
            <w:tcBorders>
              <w:left w:val="nil"/>
              <w:right w:val="nil"/>
            </w:tcBorders>
          </w:tcPr>
          <w:p>
            <w:pPr>
              <w:pStyle w:val="TableParagraph"/>
              <w:spacing w:before="39"/>
              <w:ind w:left="180" w:right="134"/>
              <w:jc w:val="center"/>
              <w:rPr>
                <w:sz w:val="14"/>
              </w:rPr>
            </w:pPr>
            <w:r>
              <w:rPr>
                <w:sz w:val="14"/>
              </w:rPr>
              <w:t>1,9 %</w:t>
            </w:r>
          </w:p>
        </w:tc>
        <w:tc>
          <w:tcPr>
            <w:tcW w:w="1164" w:type="dxa"/>
            <w:tcBorders>
              <w:left w:val="nil"/>
            </w:tcBorders>
          </w:tcPr>
          <w:p>
            <w:pPr>
              <w:pStyle w:val="TableParagraph"/>
              <w:spacing w:before="39"/>
              <w:ind w:left="363" w:right="300"/>
              <w:jc w:val="center"/>
              <w:rPr>
                <w:sz w:val="14"/>
              </w:rPr>
            </w:pPr>
            <w:r>
              <w:rPr>
                <w:sz w:val="14"/>
              </w:rPr>
              <w:t>429</w:t>
            </w:r>
          </w:p>
        </w:tc>
      </w:tr>
      <w:tr>
        <w:trPr>
          <w:trHeight w:val="266" w:hRule="atLeast"/>
        </w:trPr>
        <w:tc>
          <w:tcPr>
            <w:tcW w:w="2812" w:type="dxa"/>
            <w:tcBorders>
              <w:right w:val="nil"/>
            </w:tcBorders>
          </w:tcPr>
          <w:p>
            <w:pPr>
              <w:pStyle w:val="TableParagraph"/>
              <w:spacing w:before="39"/>
              <w:ind w:left="275"/>
              <w:rPr>
                <w:b/>
                <w:sz w:val="14"/>
              </w:rPr>
            </w:pPr>
            <w:r>
              <w:rPr>
                <w:b/>
                <w:sz w:val="14"/>
              </w:rPr>
              <w:t>Ørkenspredning</w:t>
            </w:r>
          </w:p>
        </w:tc>
        <w:tc>
          <w:tcPr>
            <w:tcW w:w="875" w:type="dxa"/>
            <w:tcBorders>
              <w:left w:val="nil"/>
              <w:right w:val="nil"/>
            </w:tcBorders>
          </w:tcPr>
          <w:p>
            <w:pPr>
              <w:pStyle w:val="TableParagraph"/>
              <w:spacing w:before="39"/>
              <w:ind w:left="109" w:right="82"/>
              <w:jc w:val="center"/>
              <w:rPr>
                <w:sz w:val="14"/>
              </w:rPr>
            </w:pPr>
            <w:r>
              <w:rPr>
                <w:sz w:val="14"/>
              </w:rPr>
              <w:t>0,7</w:t>
            </w:r>
          </w:p>
        </w:tc>
        <w:tc>
          <w:tcPr>
            <w:tcW w:w="4487" w:type="dxa"/>
            <w:vMerge/>
            <w:tcBorders>
              <w:top w:val="nil"/>
              <w:left w:val="nil"/>
              <w:right w:val="nil"/>
            </w:tcBorders>
          </w:tcPr>
          <w:p>
            <w:pPr>
              <w:rPr>
                <w:sz w:val="2"/>
                <w:szCs w:val="2"/>
              </w:rPr>
            </w:pPr>
          </w:p>
        </w:tc>
        <w:tc>
          <w:tcPr>
            <w:tcW w:w="789" w:type="dxa"/>
            <w:tcBorders>
              <w:left w:val="nil"/>
              <w:right w:val="nil"/>
            </w:tcBorders>
          </w:tcPr>
          <w:p>
            <w:pPr>
              <w:pStyle w:val="TableParagraph"/>
              <w:spacing w:before="39"/>
              <w:ind w:left="180" w:right="134"/>
              <w:jc w:val="center"/>
              <w:rPr>
                <w:sz w:val="14"/>
              </w:rPr>
            </w:pPr>
            <w:r>
              <w:rPr>
                <w:sz w:val="14"/>
              </w:rPr>
              <w:t>1,9 %</w:t>
            </w:r>
          </w:p>
        </w:tc>
        <w:tc>
          <w:tcPr>
            <w:tcW w:w="1164" w:type="dxa"/>
            <w:tcBorders>
              <w:left w:val="nil"/>
            </w:tcBorders>
          </w:tcPr>
          <w:p>
            <w:pPr>
              <w:pStyle w:val="TableParagraph"/>
              <w:spacing w:before="39"/>
              <w:ind w:left="363" w:right="300"/>
              <w:jc w:val="center"/>
              <w:rPr>
                <w:sz w:val="14"/>
              </w:rPr>
            </w:pPr>
            <w:r>
              <w:rPr>
                <w:sz w:val="14"/>
              </w:rPr>
              <w:t>106</w:t>
            </w:r>
          </w:p>
        </w:tc>
      </w:tr>
      <w:tr>
        <w:trPr>
          <w:trHeight w:val="267" w:hRule="atLeast"/>
        </w:trPr>
        <w:tc>
          <w:tcPr>
            <w:tcW w:w="2812" w:type="dxa"/>
            <w:tcBorders>
              <w:right w:val="nil"/>
            </w:tcBorders>
          </w:tcPr>
          <w:p>
            <w:pPr>
              <w:pStyle w:val="TableParagraph"/>
              <w:spacing w:before="41"/>
              <w:ind w:left="275"/>
              <w:rPr>
                <w:b/>
                <w:sz w:val="14"/>
              </w:rPr>
            </w:pPr>
            <w:r>
              <w:rPr>
                <w:b/>
                <w:sz w:val="14"/>
              </w:rPr>
              <w:t>Skovrydning – økosystem</w:t>
            </w:r>
          </w:p>
        </w:tc>
        <w:tc>
          <w:tcPr>
            <w:tcW w:w="875" w:type="dxa"/>
            <w:tcBorders>
              <w:left w:val="nil"/>
              <w:right w:val="nil"/>
            </w:tcBorders>
          </w:tcPr>
          <w:p>
            <w:pPr>
              <w:pStyle w:val="TableParagraph"/>
              <w:spacing w:before="41"/>
              <w:ind w:left="109" w:right="82"/>
              <w:jc w:val="center"/>
              <w:rPr>
                <w:sz w:val="14"/>
              </w:rPr>
            </w:pPr>
            <w:r>
              <w:rPr>
                <w:sz w:val="14"/>
              </w:rPr>
              <w:t>0,2</w:t>
            </w:r>
          </w:p>
        </w:tc>
        <w:tc>
          <w:tcPr>
            <w:tcW w:w="4487" w:type="dxa"/>
            <w:vMerge/>
            <w:tcBorders>
              <w:top w:val="nil"/>
              <w:left w:val="nil"/>
              <w:right w:val="nil"/>
            </w:tcBorders>
          </w:tcPr>
          <w:p>
            <w:pPr>
              <w:rPr>
                <w:sz w:val="2"/>
                <w:szCs w:val="2"/>
              </w:rPr>
            </w:pPr>
          </w:p>
        </w:tc>
        <w:tc>
          <w:tcPr>
            <w:tcW w:w="789" w:type="dxa"/>
            <w:tcBorders>
              <w:left w:val="nil"/>
              <w:right w:val="nil"/>
            </w:tcBorders>
          </w:tcPr>
          <w:p>
            <w:pPr>
              <w:pStyle w:val="TableParagraph"/>
              <w:spacing w:before="41"/>
              <w:ind w:left="180" w:right="134"/>
              <w:jc w:val="center"/>
              <w:rPr>
                <w:sz w:val="14"/>
              </w:rPr>
            </w:pPr>
            <w:r>
              <w:rPr>
                <w:sz w:val="14"/>
              </w:rPr>
              <w:t>1,9 %</w:t>
            </w:r>
          </w:p>
        </w:tc>
        <w:tc>
          <w:tcPr>
            <w:tcW w:w="1164" w:type="dxa"/>
            <w:tcBorders>
              <w:left w:val="nil"/>
            </w:tcBorders>
          </w:tcPr>
          <w:p>
            <w:pPr>
              <w:pStyle w:val="TableParagraph"/>
              <w:spacing w:before="41"/>
              <w:ind w:left="363" w:right="302"/>
              <w:jc w:val="center"/>
              <w:rPr>
                <w:sz w:val="14"/>
              </w:rPr>
            </w:pPr>
            <w:r>
              <w:rPr>
                <w:sz w:val="14"/>
              </w:rPr>
              <w:t>32</w:t>
            </w:r>
          </w:p>
        </w:tc>
      </w:tr>
      <w:tr>
        <w:trPr>
          <w:trHeight w:val="455" w:hRule="atLeast"/>
        </w:trPr>
        <w:tc>
          <w:tcPr>
            <w:tcW w:w="2812" w:type="dxa"/>
            <w:tcBorders>
              <w:right w:val="nil"/>
            </w:tcBorders>
          </w:tcPr>
          <w:p>
            <w:pPr>
              <w:pStyle w:val="TableParagraph"/>
              <w:spacing w:line="264" w:lineRule="auto" w:before="39"/>
              <w:ind w:left="105" w:right="47"/>
              <w:rPr>
                <w:b/>
                <w:sz w:val="14"/>
              </w:rPr>
            </w:pPr>
            <w:r>
              <w:rPr>
                <w:b/>
                <w:sz w:val="14"/>
              </w:rPr>
              <w:t>Resterende værdi efter 2030 (ikke vurderet)</w:t>
            </w:r>
          </w:p>
        </w:tc>
        <w:tc>
          <w:tcPr>
            <w:tcW w:w="875" w:type="dxa"/>
            <w:tcBorders>
              <w:left w:val="nil"/>
              <w:right w:val="nil"/>
            </w:tcBorders>
          </w:tcPr>
          <w:p>
            <w:pPr>
              <w:pStyle w:val="TableParagraph"/>
              <w:spacing w:before="39"/>
              <w:ind w:left="108" w:right="86"/>
              <w:jc w:val="center"/>
              <w:rPr>
                <w:sz w:val="14"/>
              </w:rPr>
            </w:pPr>
            <w:r>
              <w:rPr>
                <w:sz w:val="14"/>
              </w:rPr>
              <w:t>125,0</w:t>
            </w:r>
          </w:p>
        </w:tc>
        <w:tc>
          <w:tcPr>
            <w:tcW w:w="4487" w:type="dxa"/>
            <w:tcBorders>
              <w:left w:val="nil"/>
              <w:right w:val="nil"/>
            </w:tcBorders>
          </w:tcPr>
          <w:p>
            <w:pPr>
              <w:pStyle w:val="TableParagraph"/>
              <w:spacing w:before="39"/>
              <w:ind w:left="115"/>
              <w:rPr>
                <w:sz w:val="14"/>
              </w:rPr>
            </w:pPr>
            <w:r>
              <w:rPr>
                <w:sz w:val="14"/>
              </w:rPr>
              <w:t>Restværdi efter 2030 tilskrives ikke Danmark.</w:t>
            </w:r>
          </w:p>
        </w:tc>
        <w:tc>
          <w:tcPr>
            <w:tcW w:w="789" w:type="dxa"/>
            <w:tcBorders>
              <w:left w:val="nil"/>
              <w:right w:val="nil"/>
            </w:tcBorders>
          </w:tcPr>
          <w:p>
            <w:pPr>
              <w:pStyle w:val="TableParagraph"/>
              <w:spacing w:before="39"/>
              <w:ind w:left="51"/>
              <w:jc w:val="center"/>
              <w:rPr>
                <w:sz w:val="14"/>
              </w:rPr>
            </w:pPr>
            <w:r>
              <w:rPr>
                <w:w w:val="99"/>
                <w:sz w:val="14"/>
              </w:rPr>
              <w:t>-</w:t>
            </w:r>
          </w:p>
        </w:tc>
        <w:tc>
          <w:tcPr>
            <w:tcW w:w="1164" w:type="dxa"/>
            <w:tcBorders>
              <w:left w:val="nil"/>
            </w:tcBorders>
          </w:tcPr>
          <w:p>
            <w:pPr>
              <w:pStyle w:val="TableParagraph"/>
              <w:spacing w:before="39"/>
              <w:ind w:left="62"/>
              <w:jc w:val="center"/>
              <w:rPr>
                <w:sz w:val="14"/>
              </w:rPr>
            </w:pPr>
            <w:r>
              <w:rPr>
                <w:w w:val="99"/>
                <w:sz w:val="14"/>
              </w:rPr>
              <w:t>-</w:t>
            </w:r>
          </w:p>
        </w:tc>
      </w:tr>
      <w:tr>
        <w:trPr>
          <w:trHeight w:val="265" w:hRule="atLeast"/>
        </w:trPr>
        <w:tc>
          <w:tcPr>
            <w:tcW w:w="2812" w:type="dxa"/>
            <w:tcBorders>
              <w:right w:val="nil"/>
            </w:tcBorders>
          </w:tcPr>
          <w:p>
            <w:pPr>
              <w:pStyle w:val="TableParagraph"/>
              <w:spacing w:before="39"/>
              <w:ind w:left="105"/>
              <w:rPr>
                <w:b/>
                <w:sz w:val="14"/>
              </w:rPr>
            </w:pPr>
            <w:r>
              <w:rPr>
                <w:b/>
                <w:sz w:val="14"/>
              </w:rPr>
              <w:t>TOTAL (2011-2030)</w:t>
            </w:r>
          </w:p>
        </w:tc>
        <w:tc>
          <w:tcPr>
            <w:tcW w:w="875" w:type="dxa"/>
            <w:tcBorders>
              <w:left w:val="nil"/>
              <w:right w:val="nil"/>
            </w:tcBorders>
          </w:tcPr>
          <w:p>
            <w:pPr>
              <w:pStyle w:val="TableParagraph"/>
              <w:spacing w:before="39"/>
              <w:ind w:left="109" w:right="84"/>
              <w:jc w:val="center"/>
              <w:rPr>
                <w:b/>
                <w:sz w:val="14"/>
              </w:rPr>
            </w:pPr>
            <w:r>
              <w:rPr>
                <w:b/>
                <w:sz w:val="14"/>
              </w:rPr>
              <w:t>167,1</w:t>
            </w:r>
          </w:p>
        </w:tc>
        <w:tc>
          <w:tcPr>
            <w:tcW w:w="4487" w:type="dxa"/>
            <w:tcBorders>
              <w:left w:val="nil"/>
              <w:right w:val="nil"/>
            </w:tcBorders>
          </w:tcPr>
          <w:p>
            <w:pPr>
              <w:pStyle w:val="TableParagraph"/>
              <w:spacing w:before="0"/>
              <w:ind w:left="0"/>
              <w:rPr>
                <w:rFonts w:ascii="Times New Roman"/>
                <w:sz w:val="14"/>
              </w:rPr>
            </w:pPr>
          </w:p>
        </w:tc>
        <w:tc>
          <w:tcPr>
            <w:tcW w:w="789" w:type="dxa"/>
            <w:tcBorders>
              <w:left w:val="nil"/>
              <w:right w:val="nil"/>
            </w:tcBorders>
          </w:tcPr>
          <w:p>
            <w:pPr>
              <w:pStyle w:val="TableParagraph"/>
              <w:spacing w:before="39"/>
              <w:ind w:left="50"/>
              <w:jc w:val="center"/>
              <w:rPr>
                <w:b/>
                <w:sz w:val="14"/>
              </w:rPr>
            </w:pPr>
            <w:r>
              <w:rPr>
                <w:b/>
                <w:w w:val="99"/>
                <w:sz w:val="14"/>
              </w:rPr>
              <w:t>-</w:t>
            </w:r>
          </w:p>
        </w:tc>
        <w:tc>
          <w:tcPr>
            <w:tcW w:w="1164" w:type="dxa"/>
            <w:tcBorders>
              <w:left w:val="nil"/>
            </w:tcBorders>
          </w:tcPr>
          <w:p>
            <w:pPr>
              <w:pStyle w:val="TableParagraph"/>
              <w:spacing w:before="39"/>
              <w:ind w:left="363" w:right="302"/>
              <w:jc w:val="center"/>
              <w:rPr>
                <w:b/>
                <w:sz w:val="14"/>
              </w:rPr>
            </w:pPr>
            <w:r>
              <w:rPr>
                <w:b/>
                <w:sz w:val="14"/>
              </w:rPr>
              <w:t>7.558</w:t>
            </w:r>
          </w:p>
        </w:tc>
      </w:tr>
    </w:tbl>
    <w:p>
      <w:pPr>
        <w:pStyle w:val="BodyText"/>
        <w:spacing w:before="1"/>
        <w:rPr>
          <w:b/>
          <w:sz w:val="15"/>
        </w:rPr>
      </w:pPr>
      <w:r>
        <w:rPr/>
        <w:pict>
          <v:line style="position:absolute;mso-position-horizontal-relative:page;mso-position-vertical-relative:paragraph;z-index:2984;mso-wrap-distance-left:0;mso-wrap-distance-right:0" from="85.103996pt,11.39998pt" to="229.123996pt,11.39998pt" stroked="true" strokeweight=".48004pt" strokecolor="#000000">
            <v:stroke dashstyle="solid"/>
            <w10:wrap type="topAndBottom"/>
          </v:line>
        </w:pict>
      </w:r>
    </w:p>
    <w:p>
      <w:pPr>
        <w:spacing w:line="319" w:lineRule="auto" w:before="99"/>
        <w:ind w:left="742" w:right="1181" w:firstLine="0"/>
        <w:jc w:val="left"/>
        <w:rPr>
          <w:sz w:val="13"/>
        </w:rPr>
      </w:pPr>
      <w:r>
        <w:rPr>
          <w:position w:val="6"/>
          <w:sz w:val="8"/>
        </w:rPr>
        <w:t>37 </w:t>
      </w:r>
      <w:r>
        <w:rPr>
          <w:sz w:val="13"/>
        </w:rPr>
        <w:t>PwC (2006) </w:t>
      </w:r>
      <w:r>
        <w:rPr>
          <w:i/>
          <w:sz w:val="13"/>
        </w:rPr>
        <w:t>Main Report Socio-Economic Benefits Analysis of GMES</w:t>
      </w:r>
      <w:r>
        <w:rPr>
          <w:sz w:val="13"/>
        </w:rPr>
        <w:t>. ESA Contract 18868/05; booz&amp;co. (2011) Cost-Benefit Analysis of GMES, European Commission: Directorate-General for Enterprise &amp; Industry; og European Space Policy Institute (2011) The Socio- Economic Benefits of GMES.</w:t>
      </w:r>
    </w:p>
    <w:p>
      <w:pPr>
        <w:spacing w:after="0" w:line="319" w:lineRule="auto"/>
        <w:jc w:val="left"/>
        <w:rPr>
          <w:sz w:val="13"/>
        </w:rPr>
        <w:sectPr>
          <w:pgSz w:w="11910" w:h="16840"/>
          <w:pgMar w:header="0" w:footer="1056" w:top="1580" w:bottom="1240" w:left="960" w:right="0"/>
        </w:sectPr>
      </w:pPr>
    </w:p>
    <w:p>
      <w:pPr>
        <w:pStyle w:val="BodyText"/>
        <w:spacing w:before="4"/>
        <w:rPr>
          <w:sz w:val="15"/>
        </w:rPr>
      </w:pPr>
    </w:p>
    <w:p>
      <w:pPr>
        <w:spacing w:line="364" w:lineRule="auto" w:before="0"/>
        <w:ind w:left="175" w:right="1422" w:firstLine="0"/>
        <w:jc w:val="left"/>
        <w:rPr>
          <w:sz w:val="13"/>
        </w:rPr>
      </w:pPr>
      <w:r>
        <w:rPr>
          <w:sz w:val="13"/>
        </w:rPr>
        <w:t>Kilde: PWC (2006) </w:t>
      </w:r>
      <w:r>
        <w:rPr>
          <w:i/>
          <w:sz w:val="13"/>
        </w:rPr>
        <w:t>Executive Summary: Socio-Economic Benefits Analysis of GMES</w:t>
      </w:r>
      <w:r>
        <w:rPr>
          <w:sz w:val="13"/>
        </w:rPr>
        <w:t>, konverteret fra 2005€ til 2011€ i European Space Policy Institute (2011) </w:t>
      </w:r>
      <w:r>
        <w:rPr>
          <w:i/>
          <w:sz w:val="13"/>
        </w:rPr>
        <w:t>The Socio-Economic Benefits of GMES – A Synthesis Derived from a Comprehensive Analysis of Previous Results, Focusing on </w:t>
      </w:r>
      <w:r>
        <w:rPr>
          <w:i/>
          <w:sz w:val="13"/>
        </w:rPr>
        <w:t>Disaster Management </w:t>
      </w:r>
      <w:r>
        <w:rPr>
          <w:sz w:val="13"/>
        </w:rPr>
        <w:t>samt Eurostat, European Defence Agency, Forsvarsministeriet, OECD.</w:t>
      </w:r>
    </w:p>
    <w:p>
      <w:pPr>
        <w:spacing w:line="364" w:lineRule="auto" w:before="0"/>
        <w:ind w:left="175" w:right="1312" w:firstLine="0"/>
        <w:jc w:val="left"/>
        <w:rPr>
          <w:sz w:val="13"/>
        </w:rPr>
      </w:pPr>
      <w:r>
        <w:rPr>
          <w:sz w:val="13"/>
        </w:rPr>
        <w:t>Bemærk: Værdien af JO-gevinster er specielt svær at kvantificere og oversætte til økonomisk værdi. Skønt nogle gevinster kan kvantificeres og bidrager til den estimerede værdi, er mange andre meget svære at vurdere, og de er derfor ikke kvantificerede.</w:t>
      </w:r>
    </w:p>
    <w:p>
      <w:pPr>
        <w:pStyle w:val="BodyText"/>
        <w:spacing w:before="9"/>
        <w:rPr>
          <w:sz w:val="14"/>
        </w:rPr>
      </w:pPr>
    </w:p>
    <w:p>
      <w:pPr>
        <w:pStyle w:val="BodyText"/>
        <w:spacing w:line="264" w:lineRule="auto"/>
        <w:ind w:left="742" w:right="1185"/>
      </w:pPr>
      <w:r>
        <w:rPr/>
        <w:t>Konverteringen til danske værdier er baseret på et subjektivt skøn af den bedste fordelingsnøgle for hver gevinsttype. I alle tilfælde kan der argumenteres for, at andre nøgler måske er bedre, og resultatet er derfor meget usikkert. Gevinster ved JO (og rummet i det hele taget) er svære at vurdere og kvantificere over længere tid, fordi gevinsterne er begrænsede af forfatterens fantasi om brug af data og tjenester, som ikke rækker lige så vidt som kommercielle virksomheder og brugeres. Det er således sandsynligt, at kommercielle gevinster, som ikke indgår i analysen, vil blive realiseret i løbet af perioden. Den største enkelte gevinsttype for Danmark er de maritime aspekter, som blandt andet dækker oprensning af olieudslip og derfor baseres på Danmarks hav- areal (EØZ). Hvis de polare ruter åbnes yderligere og derved tillader transport i Arktis, er det me- get sandsynligt, at de fordele Danmark kan drage af satellitbaseret overvågning vil stige markant sammenlignet med </w:t>
      </w:r>
      <w:hyperlink w:history="true" w:anchor="_bookmark30">
        <w:r>
          <w:rPr/>
          <w:t>tabel 8</w:t>
        </w:r>
      </w:hyperlink>
      <w:r>
        <w:rPr/>
        <w:t>. European Space Policy Institute (2011) beretter, at hvis man betragter et dynamisk system, hvor der tages højde for forholdet mellem miljø-, økonomiske og sociale øko- systemer foruden de eksisterende anvendelser af JO, vil gevinsterne vokse med en faktor på 2,9. Med det resultat in mente kan værdierne i </w:t>
      </w:r>
      <w:hyperlink w:history="true" w:anchor="_bookmark30">
        <w:r>
          <w:rPr/>
          <w:t>tabel 8 </w:t>
        </w:r>
      </w:hyperlink>
      <w:r>
        <w:rPr/>
        <w:t>betragtes som konservative estimater.</w:t>
      </w:r>
    </w:p>
    <w:p>
      <w:pPr>
        <w:pStyle w:val="BodyText"/>
        <w:spacing w:before="1"/>
        <w:rPr>
          <w:sz w:val="19"/>
        </w:rPr>
      </w:pPr>
    </w:p>
    <w:p>
      <w:pPr>
        <w:pStyle w:val="BodyText"/>
        <w:spacing w:line="264" w:lineRule="auto"/>
        <w:ind w:left="742" w:right="1271"/>
      </w:pPr>
      <w:r>
        <w:rPr/>
        <w:t>Danmarks bevilligede bidrag til Copernicus i perioden 2014-2020 er beregnet til ca. 92 mio. DKK pr. år i løbende priser. Hvis det antages, at dette bidrag fortsætter til 2030 vil nutidsværdien af Danmarks bidrag til GMES/Copernicus beløbe sig til omkring </w:t>
      </w:r>
      <w:r>
        <w:rPr>
          <w:b/>
        </w:rPr>
        <w:t>1,1 mia. DKK</w:t>
      </w:r>
      <w:r>
        <w:rPr>
          <w:b/>
          <w:w w:val="99"/>
          <w:position w:val="6"/>
          <w:sz w:val="8"/>
        </w:rPr>
        <w:t>38</w:t>
      </w:r>
      <w:r>
        <w:rPr>
          <w:b/>
          <w:position w:val="6"/>
          <w:sz w:val="8"/>
        </w:rPr>
        <w:t>  </w:t>
      </w:r>
      <w:r>
        <w:rPr/>
        <w:t>Med disse antagelser og beregninger har Copernicus været en god investering for Danmark.</w:t>
      </w:r>
    </w:p>
    <w:p>
      <w:pPr>
        <w:pStyle w:val="BodyText"/>
        <w:spacing w:before="4"/>
        <w:rPr>
          <w:sz w:val="11"/>
        </w:rPr>
      </w:pPr>
    </w:p>
    <w:p>
      <w:pPr>
        <w:spacing w:after="0"/>
        <w:rPr>
          <w:sz w:val="11"/>
        </w:rPr>
        <w:sectPr>
          <w:pgSz w:w="11910" w:h="16840"/>
          <w:pgMar w:header="0" w:footer="1056" w:top="1580" w:bottom="1240" w:left="960" w:right="0"/>
        </w:sectPr>
      </w:pPr>
    </w:p>
    <w:p>
      <w:pPr>
        <w:pStyle w:val="ListParagraph"/>
        <w:numPr>
          <w:ilvl w:val="2"/>
          <w:numId w:val="7"/>
        </w:numPr>
        <w:tabs>
          <w:tab w:pos="743" w:val="left" w:leader="none"/>
        </w:tabs>
        <w:spacing w:line="240" w:lineRule="auto" w:before="100" w:after="0"/>
        <w:ind w:left="742" w:right="0" w:hanging="624"/>
        <w:jc w:val="left"/>
        <w:rPr>
          <w:b/>
          <w:sz w:val="18"/>
        </w:rPr>
      </w:pPr>
      <w:r>
        <w:rPr>
          <w:b/>
          <w:sz w:val="18"/>
        </w:rPr>
        <w:t>EUMETSAT</w:t>
      </w:r>
    </w:p>
    <w:p>
      <w:pPr>
        <w:pStyle w:val="BodyText"/>
        <w:spacing w:line="264" w:lineRule="auto" w:before="21"/>
        <w:ind w:left="742" w:right="95"/>
      </w:pPr>
      <w:r>
        <w:rPr/>
        <w:t>EUMETSAT</w:t>
      </w:r>
      <w:r>
        <w:rPr>
          <w:w w:val="99"/>
          <w:position w:val="6"/>
          <w:sz w:val="8"/>
        </w:rPr>
        <w:t>39</w:t>
      </w:r>
      <w:r>
        <w:rPr>
          <w:position w:val="6"/>
          <w:sz w:val="8"/>
        </w:rPr>
        <w:t>  </w:t>
      </w:r>
      <w:r>
        <w:rPr/>
        <w:t>er en overstatslig organisation, som blev grundlagt i 1986 med det formål at levere vejr- og klimarelaterede satellitdata, -billeder og</w:t>
      </w:r>
    </w:p>
    <w:p>
      <w:pPr>
        <w:pStyle w:val="BodyText"/>
        <w:spacing w:line="264" w:lineRule="auto"/>
        <w:ind w:left="742" w:right="38"/>
      </w:pPr>
      <w:r>
        <w:rPr>
          <w:spacing w:val="-1"/>
        </w:rPr>
        <w:t>-</w:t>
      </w:r>
      <w:r>
        <w:rPr/>
        <w:t>prod</w:t>
      </w:r>
      <w:r>
        <w:rPr>
          <w:spacing w:val="-2"/>
        </w:rPr>
        <w:t>u</w:t>
      </w:r>
      <w:r>
        <w:rPr>
          <w:spacing w:val="-1"/>
        </w:rPr>
        <w:t>k</w:t>
      </w:r>
      <w:r>
        <w:rPr/>
        <w:t>ter</w:t>
      </w:r>
      <w:r>
        <w:rPr>
          <w:spacing w:val="-1"/>
        </w:rPr>
        <w:t> </w:t>
      </w:r>
      <w:r>
        <w:rPr/>
        <w:t>døg</w:t>
      </w:r>
      <w:r>
        <w:rPr>
          <w:spacing w:val="-2"/>
        </w:rPr>
        <w:t>ne</w:t>
      </w:r>
      <w:r>
        <w:rPr/>
        <w:t>t r</w:t>
      </w:r>
      <w:r>
        <w:rPr>
          <w:spacing w:val="-2"/>
        </w:rPr>
        <w:t>un</w:t>
      </w:r>
      <w:r>
        <w:rPr/>
        <w:t>dt</w:t>
      </w:r>
      <w:r>
        <w:rPr>
          <w:spacing w:val="1"/>
        </w:rPr>
        <w:t>.</w:t>
      </w:r>
      <w:r>
        <w:rPr>
          <w:w w:val="99"/>
          <w:position w:val="6"/>
          <w:sz w:val="8"/>
        </w:rPr>
        <w:t>40</w:t>
      </w:r>
      <w:r>
        <w:rPr>
          <w:position w:val="6"/>
          <w:sz w:val="8"/>
        </w:rPr>
        <w:t> </w:t>
      </w:r>
      <w:r>
        <w:rPr>
          <w:spacing w:val="6"/>
          <w:position w:val="6"/>
          <w:sz w:val="8"/>
        </w:rPr>
        <w:t> </w:t>
      </w:r>
      <w:r>
        <w:rPr/>
        <w:t>Da</w:t>
      </w:r>
      <w:r>
        <w:rPr>
          <w:spacing w:val="-1"/>
        </w:rPr>
        <w:t>n</w:t>
      </w:r>
      <w:r>
        <w:rPr/>
        <w:t>mark</w:t>
      </w:r>
      <w:r>
        <w:rPr>
          <w:spacing w:val="-2"/>
        </w:rPr>
        <w:t> </w:t>
      </w:r>
      <w:r>
        <w:rPr>
          <w:spacing w:val="1"/>
        </w:rPr>
        <w:t>v</w:t>
      </w:r>
      <w:r>
        <w:rPr/>
        <w:t>ar</w:t>
      </w:r>
      <w:r>
        <w:rPr>
          <w:spacing w:val="-2"/>
        </w:rPr>
        <w:t> </w:t>
      </w:r>
      <w:r>
        <w:rPr/>
        <w:t>med</w:t>
      </w:r>
      <w:r>
        <w:rPr>
          <w:spacing w:val="-1"/>
        </w:rPr>
        <w:t> </w:t>
      </w:r>
      <w:r>
        <w:rPr/>
        <w:t>til at grundlægge EUMETSAT sammen med 13 an- dre lande. EUMETSAT kontrollerer syv satellitter</w:t>
      </w:r>
      <w:r>
        <w:rPr>
          <w:spacing w:val="-22"/>
        </w:rPr>
        <w:t> </w:t>
      </w:r>
      <w:r>
        <w:rPr/>
        <w:t>i tre forskellige kredsløb og nedtager data gen- nem seks jordstationer, hvoraf en er i Kanger- lussuaq (Søndre Strømfjord, Grønland) og drives i samarbejde med</w:t>
      </w:r>
      <w:r>
        <w:rPr>
          <w:spacing w:val="-3"/>
        </w:rPr>
        <w:t> </w:t>
      </w:r>
      <w:r>
        <w:rPr/>
        <w:t>DMI.</w:t>
      </w:r>
    </w:p>
    <w:p>
      <w:pPr>
        <w:pStyle w:val="BodyText"/>
        <w:spacing w:before="3"/>
        <w:rPr>
          <w:sz w:val="19"/>
        </w:rPr>
      </w:pPr>
    </w:p>
    <w:p>
      <w:pPr>
        <w:pStyle w:val="BodyText"/>
        <w:spacing w:line="264" w:lineRule="auto"/>
        <w:ind w:left="742" w:right="225"/>
      </w:pPr>
      <w:r>
        <w:rPr/>
        <w:t>Gennem EUMETSAT har medlemslandene ad- gang til egne observationer, men har også ad- gang til data fra NOAA’s</w:t>
      </w:r>
      <w:r>
        <w:rPr>
          <w:w w:val="99"/>
          <w:position w:val="6"/>
          <w:sz w:val="8"/>
        </w:rPr>
        <w:t>41</w:t>
      </w:r>
      <w:r>
        <w:rPr>
          <w:position w:val="6"/>
          <w:sz w:val="8"/>
        </w:rPr>
        <w:t>  </w:t>
      </w:r>
      <w:r>
        <w:rPr/>
        <w:t>satellitter gennem en aftale om gensidig brug.</w:t>
      </w:r>
    </w:p>
    <w:p>
      <w:pPr>
        <w:pStyle w:val="BodyText"/>
        <w:spacing w:before="6"/>
        <w:rPr>
          <w:sz w:val="19"/>
        </w:rPr>
      </w:pPr>
    </w:p>
    <w:p>
      <w:pPr>
        <w:pStyle w:val="BodyText"/>
        <w:spacing w:line="264" w:lineRule="auto" w:before="1"/>
        <w:ind w:left="742" w:right="66"/>
      </w:pPr>
      <w:r>
        <w:rPr/>
        <w:t>DMI driver foruden den danske vejrmeldingstje- neste også en såkaldt Satellite Application Facili- ty om Radio-Okkultations Meteorologi, hvor</w:t>
      </w:r>
    </w:p>
    <w:p>
      <w:pPr>
        <w:pStyle w:val="BodyText"/>
      </w:pPr>
      <w:r>
        <w:rPr/>
        <w:br w:type="column"/>
      </w:r>
      <w:r>
        <w:rPr/>
      </w:r>
    </w:p>
    <w:p>
      <w:pPr>
        <w:pStyle w:val="BodyText"/>
        <w:spacing w:before="11"/>
        <w:rPr>
          <w:sz w:val="21"/>
        </w:rPr>
      </w:pPr>
    </w:p>
    <w:p>
      <w:pPr>
        <w:spacing w:before="0"/>
        <w:ind w:left="119" w:right="0" w:firstLine="0"/>
        <w:jc w:val="left"/>
        <w:rPr>
          <w:b/>
          <w:sz w:val="15"/>
        </w:rPr>
      </w:pPr>
      <w:r>
        <w:rPr>
          <w:b/>
          <w:color w:val="009DDF"/>
          <w:sz w:val="15"/>
        </w:rPr>
        <w:t>Figur 15. Danmark fra en vejrsatellit</w:t>
      </w:r>
    </w:p>
    <w:p>
      <w:pPr>
        <w:pStyle w:val="BodyText"/>
        <w:spacing w:before="4"/>
        <w:rPr>
          <w:b/>
          <w:sz w:val="8"/>
        </w:rPr>
      </w:pPr>
    </w:p>
    <w:p>
      <w:pPr>
        <w:pStyle w:val="BodyText"/>
        <w:ind w:left="118"/>
        <w:rPr>
          <w:sz w:val="20"/>
        </w:rPr>
      </w:pPr>
      <w:r>
        <w:rPr>
          <w:sz w:val="20"/>
        </w:rPr>
        <w:drawing>
          <wp:inline distT="0" distB="0" distL="0" distR="0">
            <wp:extent cx="2438399" cy="2438400"/>
            <wp:effectExtent l="0" t="0" r="0" b="0"/>
            <wp:docPr id="49" name="image40.jpeg" descr=""/>
            <wp:cNvGraphicFramePr>
              <a:graphicFrameLocks noChangeAspect="1"/>
            </wp:cNvGraphicFramePr>
            <a:graphic>
              <a:graphicData uri="http://schemas.openxmlformats.org/drawingml/2006/picture">
                <pic:pic>
                  <pic:nvPicPr>
                    <pic:cNvPr id="50" name="image40.jpeg"/>
                    <pic:cNvPicPr/>
                  </pic:nvPicPr>
                  <pic:blipFill>
                    <a:blip r:embed="rId68" cstate="print"/>
                    <a:stretch>
                      <a:fillRect/>
                    </a:stretch>
                  </pic:blipFill>
                  <pic:spPr>
                    <a:xfrm>
                      <a:off x="0" y="0"/>
                      <a:ext cx="2438399" cy="2438400"/>
                    </a:xfrm>
                    <a:prstGeom prst="rect">
                      <a:avLst/>
                    </a:prstGeom>
                  </pic:spPr>
                </pic:pic>
              </a:graphicData>
            </a:graphic>
          </wp:inline>
        </w:drawing>
      </w:r>
      <w:r>
        <w:rPr>
          <w:sz w:val="20"/>
        </w:rPr>
      </w:r>
    </w:p>
    <w:p>
      <w:pPr>
        <w:spacing w:before="58"/>
        <w:ind w:left="119" w:right="0" w:firstLine="0"/>
        <w:jc w:val="left"/>
        <w:rPr>
          <w:sz w:val="16"/>
        </w:rPr>
      </w:pPr>
      <w:r>
        <w:rPr>
          <w:sz w:val="16"/>
        </w:rPr>
        <w:t>Kilde: DMI, fra den amerikanske Suomi NPP satellit</w:t>
      </w:r>
    </w:p>
    <w:p>
      <w:pPr>
        <w:spacing w:after="0"/>
        <w:jc w:val="left"/>
        <w:rPr>
          <w:sz w:val="16"/>
        </w:rPr>
        <w:sectPr>
          <w:type w:val="continuous"/>
          <w:pgSz w:w="11910" w:h="16840"/>
          <w:pgMar w:top="1400" w:bottom="280" w:left="960" w:right="0"/>
          <w:cols w:num="2" w:equalWidth="0">
            <w:col w:w="5257" w:space="152"/>
            <w:col w:w="5541"/>
          </w:cols>
        </w:sectPr>
      </w:pPr>
    </w:p>
    <w:p>
      <w:pPr>
        <w:pStyle w:val="BodyText"/>
        <w:spacing w:before="6"/>
        <w:rPr>
          <w:sz w:val="19"/>
        </w:rPr>
      </w:pPr>
    </w:p>
    <w:p>
      <w:pPr>
        <w:pStyle w:val="BodyText"/>
        <w:spacing w:line="20" w:lineRule="exact"/>
        <w:ind w:left="737"/>
        <w:rPr>
          <w:sz w:val="2"/>
        </w:rPr>
      </w:pPr>
      <w:r>
        <w:rPr>
          <w:sz w:val="2"/>
        </w:rPr>
        <w:pict>
          <v:group style="width:144.050pt;height:.5pt;mso-position-horizontal-relative:char;mso-position-vertical-relative:line" coordorigin="0,0" coordsize="2881,10">
            <v:line style="position:absolute" from="0,5" to="2880,5" stroked="true" strokeweight=".48004pt" strokecolor="#000000">
              <v:stroke dashstyle="solid"/>
            </v:line>
          </v:group>
        </w:pict>
      </w:r>
      <w:r>
        <w:rPr>
          <w:sz w:val="2"/>
        </w:rPr>
      </w:r>
    </w:p>
    <w:p>
      <w:pPr>
        <w:spacing w:line="319" w:lineRule="auto" w:before="118"/>
        <w:ind w:left="742" w:right="1186" w:firstLine="0"/>
        <w:jc w:val="left"/>
        <w:rPr>
          <w:sz w:val="13"/>
        </w:rPr>
      </w:pPr>
      <w:r>
        <w:rPr>
          <w:position w:val="6"/>
          <w:sz w:val="8"/>
        </w:rPr>
        <w:t>38 </w:t>
      </w:r>
      <w:r>
        <w:rPr>
          <w:sz w:val="13"/>
        </w:rPr>
        <w:t>Nutidsværdi 2011, med 4 % diskontering i henhold til Europa-Kommissionens Impact Assessment-vejledning. Det antages, at væksten i BNP-deflatoren 2010-2014 fortsætter til 2030. Dækker kun Danmarks bidrag til Copernicus gennem EU, dvs. udgifter afholdt af ESA’s budget i programmets tidlige år er ikke behandlet.</w:t>
      </w:r>
    </w:p>
    <w:p>
      <w:pPr>
        <w:spacing w:line="159" w:lineRule="exact" w:before="0"/>
        <w:ind w:left="742" w:right="0" w:firstLine="0"/>
        <w:jc w:val="left"/>
        <w:rPr>
          <w:sz w:val="13"/>
        </w:rPr>
      </w:pPr>
      <w:r>
        <w:rPr>
          <w:position w:val="6"/>
          <w:sz w:val="8"/>
        </w:rPr>
        <w:t>39 </w:t>
      </w:r>
      <w:r>
        <w:rPr>
          <w:sz w:val="13"/>
        </w:rPr>
        <w:t>European Organisation for the Exploitation of Meteorological Satellites.</w:t>
      </w:r>
    </w:p>
    <w:p>
      <w:pPr>
        <w:spacing w:line="321" w:lineRule="auto" w:before="41"/>
        <w:ind w:left="742" w:right="0" w:firstLine="0"/>
        <w:jc w:val="left"/>
        <w:rPr>
          <w:sz w:val="13"/>
        </w:rPr>
      </w:pPr>
      <w:r>
        <w:rPr>
          <w:position w:val="6"/>
          <w:sz w:val="8"/>
        </w:rPr>
        <w:t>40 </w:t>
      </w:r>
      <w:r>
        <w:rPr>
          <w:sz w:val="13"/>
        </w:rPr>
        <w:t>EUMETSAT, We are the European Organisation for the Exploitation of Meteorological Satellites (EUMETSAT). Tilgængelig her: </w:t>
      </w:r>
      <w:hyperlink r:id="rId69">
        <w:r>
          <w:rPr>
            <w:color w:val="009DDF"/>
            <w:sz w:val="13"/>
          </w:rPr>
          <w:t>http://www.eumetsat.int/website/home/AboutUs/WhoWeAre/index.html </w:t>
        </w:r>
      </w:hyperlink>
      <w:r>
        <w:rPr>
          <w:sz w:val="13"/>
        </w:rPr>
        <w:t>(tilgået 18. april 2016)</w:t>
      </w:r>
    </w:p>
    <w:p>
      <w:pPr>
        <w:spacing w:line="155" w:lineRule="exact" w:before="0"/>
        <w:ind w:left="742" w:right="0" w:firstLine="0"/>
        <w:jc w:val="left"/>
        <w:rPr>
          <w:sz w:val="13"/>
        </w:rPr>
      </w:pPr>
      <w:r>
        <w:rPr>
          <w:position w:val="6"/>
          <w:sz w:val="8"/>
        </w:rPr>
        <w:t>41 </w:t>
      </w:r>
      <w:r>
        <w:rPr>
          <w:sz w:val="13"/>
        </w:rPr>
        <w:t>USA’s National Oceanic and Atmospheric Administration.</w:t>
      </w:r>
    </w:p>
    <w:p>
      <w:pPr>
        <w:spacing w:after="0" w:line="155" w:lineRule="exact"/>
        <w:jc w:val="left"/>
        <w:rPr>
          <w:sz w:val="13"/>
        </w:rPr>
        <w:sectPr>
          <w:type w:val="continuous"/>
          <w:pgSz w:w="11910" w:h="16840"/>
          <w:pgMar w:top="1400" w:bottom="280" w:left="960" w:right="0"/>
        </w:sectPr>
      </w:pPr>
    </w:p>
    <w:p>
      <w:pPr>
        <w:pStyle w:val="BodyText"/>
        <w:spacing w:before="126"/>
        <w:ind w:left="742"/>
        <w:rPr>
          <w:sz w:val="8"/>
        </w:rPr>
      </w:pPr>
      <w:r>
        <w:rPr>
          <w:spacing w:val="-1"/>
        </w:rPr>
        <w:t>GNSS-</w:t>
      </w:r>
      <w:r>
        <w:rPr/>
        <w:t>sig</w:t>
      </w:r>
      <w:r>
        <w:rPr>
          <w:spacing w:val="-2"/>
        </w:rPr>
        <w:t>n</w:t>
      </w:r>
      <w:r>
        <w:rPr/>
        <w:t>aler</w:t>
      </w:r>
      <w:r>
        <w:rPr>
          <w:spacing w:val="-1"/>
        </w:rPr>
        <w:t> </w:t>
      </w:r>
      <w:r>
        <w:rPr/>
        <w:t>a</w:t>
      </w:r>
      <w:r>
        <w:rPr>
          <w:spacing w:val="-2"/>
        </w:rPr>
        <w:t>n</w:t>
      </w:r>
      <w:r>
        <w:rPr>
          <w:spacing w:val="-1"/>
        </w:rPr>
        <w:t>v</w:t>
      </w:r>
      <w:r>
        <w:rPr/>
        <w:t>e</w:t>
      </w:r>
      <w:r>
        <w:rPr>
          <w:spacing w:val="-2"/>
        </w:rPr>
        <w:t>n</w:t>
      </w:r>
      <w:r>
        <w:rPr/>
        <w:t>des</w:t>
      </w:r>
      <w:r>
        <w:rPr>
          <w:spacing w:val="-1"/>
        </w:rPr>
        <w:t> </w:t>
      </w:r>
      <w:r>
        <w:rPr/>
        <w:t>til at</w:t>
      </w:r>
      <w:r>
        <w:rPr>
          <w:spacing w:val="-1"/>
        </w:rPr>
        <w:t> </w:t>
      </w:r>
      <w:r>
        <w:rPr/>
        <w:t>bestem</w:t>
      </w:r>
      <w:r>
        <w:rPr>
          <w:spacing w:val="-3"/>
        </w:rPr>
        <w:t>m</w:t>
      </w:r>
      <w:r>
        <w:rPr/>
        <w:t>e</w:t>
      </w:r>
      <w:r>
        <w:rPr>
          <w:spacing w:val="-1"/>
        </w:rPr>
        <w:t> </w:t>
      </w:r>
      <w:r>
        <w:rPr/>
        <w:t>at</w:t>
      </w:r>
      <w:r>
        <w:rPr>
          <w:spacing w:val="3"/>
        </w:rPr>
        <w:t>m</w:t>
      </w:r>
      <w:r>
        <w:rPr>
          <w:spacing w:val="1"/>
        </w:rPr>
        <w:t>o</w:t>
      </w:r>
      <w:r>
        <w:rPr/>
        <w:t>s</w:t>
      </w:r>
      <w:r>
        <w:rPr>
          <w:spacing w:val="-2"/>
        </w:rPr>
        <w:t>f</w:t>
      </w:r>
      <w:r>
        <w:rPr/>
        <w:t>æ</w:t>
      </w:r>
      <w:r>
        <w:rPr>
          <w:spacing w:val="-3"/>
        </w:rPr>
        <w:t>r</w:t>
      </w:r>
      <w:r>
        <w:rPr>
          <w:spacing w:val="-2"/>
        </w:rPr>
        <w:t>en</w:t>
      </w:r>
      <w:r>
        <w:rPr/>
        <w:t>s</w:t>
      </w:r>
      <w:r>
        <w:rPr>
          <w:spacing w:val="-1"/>
        </w:rPr>
        <w:t> </w:t>
      </w:r>
      <w:r>
        <w:rPr/>
        <w:t>temperat</w:t>
      </w:r>
      <w:r>
        <w:rPr>
          <w:spacing w:val="-2"/>
        </w:rPr>
        <w:t>u</w:t>
      </w:r>
      <w:r>
        <w:rPr/>
        <w:t>r</w:t>
      </w:r>
      <w:r>
        <w:rPr>
          <w:spacing w:val="-1"/>
        </w:rPr>
        <w:t> </w:t>
      </w:r>
      <w:r>
        <w:rPr/>
        <w:t>og</w:t>
      </w:r>
      <w:r>
        <w:rPr>
          <w:spacing w:val="-1"/>
        </w:rPr>
        <w:t> </w:t>
      </w:r>
      <w:r>
        <w:rPr/>
        <w:t>l</w:t>
      </w:r>
      <w:r>
        <w:rPr>
          <w:spacing w:val="-2"/>
        </w:rPr>
        <w:t>u</w:t>
      </w:r>
      <w:r>
        <w:rPr>
          <w:spacing w:val="-1"/>
        </w:rPr>
        <w:t>f</w:t>
      </w:r>
      <w:r>
        <w:rPr/>
        <w:t>t</w:t>
      </w:r>
      <w:r>
        <w:rPr>
          <w:spacing w:val="-1"/>
        </w:rPr>
        <w:t>f</w:t>
      </w:r>
      <w:r>
        <w:rPr>
          <w:spacing w:val="-2"/>
        </w:rPr>
        <w:t>u</w:t>
      </w:r>
      <w:r>
        <w:rPr/>
        <w:t>gt</w:t>
      </w:r>
      <w:r>
        <w:rPr>
          <w:spacing w:val="-2"/>
        </w:rPr>
        <w:t>i</w:t>
      </w:r>
      <w:r>
        <w:rPr/>
        <w:t>g</w:t>
      </w:r>
      <w:r>
        <w:rPr>
          <w:spacing w:val="-2"/>
        </w:rPr>
        <w:t>h</w:t>
      </w:r>
      <w:r>
        <w:rPr/>
        <w:t>ed</w:t>
      </w:r>
      <w:r>
        <w:rPr>
          <w:spacing w:val="1"/>
        </w:rPr>
        <w:t>.</w:t>
      </w:r>
      <w:r>
        <w:rPr>
          <w:w w:val="99"/>
          <w:position w:val="6"/>
          <w:sz w:val="8"/>
        </w:rPr>
        <w:t>42</w:t>
      </w:r>
    </w:p>
    <w:p>
      <w:pPr>
        <w:pStyle w:val="BodyText"/>
        <w:spacing w:before="6"/>
        <w:rPr>
          <w:sz w:val="21"/>
        </w:rPr>
      </w:pPr>
    </w:p>
    <w:p>
      <w:pPr>
        <w:pStyle w:val="BodyText"/>
        <w:spacing w:line="264" w:lineRule="auto"/>
        <w:ind w:left="742" w:right="1126"/>
      </w:pPr>
      <w:r>
        <w:rPr/>
        <w:t>Vejrudsigters nøjagtighed før og efter adgangen til satellitdata er svære at sammenligne, men der er næppe tvivl om, nøjagtigheden er steget markant. Det britiske MET Office har beregnet, at 64 % af den samlede reduktion af den kortsigtede usikkerhed på vejrudsigter kan tilskrives de satellitob- servationsdata, der indgår i analysen, mens de øvrige observationsdata stammer fra andre kilder. EUMETSAT antager, at observationsdatas bidrag til nøjagtigheden er 50 %, mens resten tilskrives beregningsalgoritmer og metoder til dataanalyse.</w:t>
      </w:r>
      <w:r>
        <w:rPr>
          <w:w w:val="99"/>
          <w:position w:val="6"/>
          <w:sz w:val="8"/>
        </w:rPr>
        <w:t>43</w:t>
      </w:r>
      <w:r>
        <w:rPr>
          <w:position w:val="6"/>
          <w:sz w:val="8"/>
        </w:rPr>
        <w:t>  </w:t>
      </w:r>
      <w:r>
        <w:rPr/>
        <w:t>Tilsammen kan satellitter således tilskrives</w:t>
      </w:r>
    </w:p>
    <w:p>
      <w:pPr>
        <w:pStyle w:val="BodyText"/>
        <w:spacing w:line="264" w:lineRule="auto"/>
        <w:ind w:left="742" w:right="1508"/>
      </w:pPr>
      <w:r>
        <w:rPr/>
        <w:t>32 % af nøjagtigheden af vejrudsigter. Dette betragtes som et konservativt estimat.</w:t>
      </w:r>
      <w:r>
        <w:rPr>
          <w:w w:val="99"/>
          <w:position w:val="6"/>
          <w:sz w:val="8"/>
        </w:rPr>
        <w:t>44</w:t>
      </w:r>
      <w:r>
        <w:rPr>
          <w:position w:val="6"/>
          <w:sz w:val="8"/>
        </w:rPr>
        <w:t>  </w:t>
      </w:r>
      <w:r>
        <w:rPr/>
        <w:t>De sam- fundsøkonomiske gevinster ved vejrmeldinger skabes primært i form af afsmittende virkninger. Nogle af disse er kvantificeret i tabellen nedenfor:</w:t>
      </w:r>
    </w:p>
    <w:p>
      <w:pPr>
        <w:pStyle w:val="BodyText"/>
        <w:spacing w:before="10"/>
        <w:rPr>
          <w:sz w:val="32"/>
        </w:rPr>
      </w:pPr>
    </w:p>
    <w:p>
      <w:pPr>
        <w:spacing w:before="0"/>
        <w:ind w:left="742" w:right="0" w:firstLine="0"/>
        <w:jc w:val="left"/>
        <w:rPr>
          <w:b/>
          <w:sz w:val="15"/>
        </w:rPr>
      </w:pPr>
      <w:r>
        <w:rPr>
          <w:b/>
          <w:color w:val="009DDF"/>
          <w:sz w:val="15"/>
        </w:rPr>
        <w:t>Tabel 9. Samfundsøkonomiske gevinster ved EUMETSAT (2015)</w:t>
      </w:r>
    </w:p>
    <w:p>
      <w:pPr>
        <w:pStyle w:val="BodyText"/>
        <w:spacing w:before="3"/>
        <w:rPr>
          <w:b/>
          <w:sz w:val="9"/>
        </w:rPr>
      </w:pPr>
    </w:p>
    <w:tbl>
      <w:tblPr>
        <w:tblW w:w="0" w:type="auto"/>
        <w:jc w:val="left"/>
        <w:tblInd w:w="644"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904"/>
        <w:gridCol w:w="962"/>
        <w:gridCol w:w="3976"/>
        <w:gridCol w:w="1457"/>
      </w:tblGrid>
      <w:tr>
        <w:trPr>
          <w:trHeight w:val="482" w:hRule="atLeast"/>
        </w:trPr>
        <w:tc>
          <w:tcPr>
            <w:tcW w:w="2904" w:type="dxa"/>
            <w:tcBorders>
              <w:top w:val="nil"/>
              <w:left w:val="nil"/>
              <w:bottom w:val="nil"/>
              <w:right w:val="nil"/>
            </w:tcBorders>
            <w:shd w:val="clear" w:color="auto" w:fill="A7D2F5"/>
          </w:tcPr>
          <w:p>
            <w:pPr>
              <w:pStyle w:val="TableParagraph"/>
              <w:spacing w:before="49"/>
              <w:ind w:left="117"/>
              <w:rPr>
                <w:b/>
                <w:sz w:val="14"/>
              </w:rPr>
            </w:pPr>
            <w:r>
              <w:rPr>
                <w:b/>
                <w:color w:val="FFFFFF"/>
                <w:sz w:val="14"/>
              </w:rPr>
              <w:t>Kategori (2015)</w:t>
            </w:r>
          </w:p>
        </w:tc>
        <w:tc>
          <w:tcPr>
            <w:tcW w:w="962" w:type="dxa"/>
            <w:tcBorders>
              <w:top w:val="nil"/>
              <w:left w:val="nil"/>
              <w:bottom w:val="nil"/>
              <w:right w:val="nil"/>
            </w:tcBorders>
            <w:shd w:val="clear" w:color="auto" w:fill="A7D2F5"/>
          </w:tcPr>
          <w:p>
            <w:pPr>
              <w:pStyle w:val="TableParagraph"/>
              <w:spacing w:line="264" w:lineRule="auto" w:before="49"/>
              <w:ind w:left="156"/>
              <w:rPr>
                <w:b/>
                <w:sz w:val="14"/>
              </w:rPr>
            </w:pPr>
            <w:r>
              <w:rPr>
                <w:b/>
                <w:color w:val="FFFFFF"/>
                <w:sz w:val="14"/>
              </w:rPr>
              <w:t>Værdi (mio. £)</w:t>
            </w:r>
          </w:p>
        </w:tc>
        <w:tc>
          <w:tcPr>
            <w:tcW w:w="3976" w:type="dxa"/>
            <w:tcBorders>
              <w:top w:val="nil"/>
              <w:left w:val="nil"/>
              <w:bottom w:val="nil"/>
              <w:right w:val="nil"/>
            </w:tcBorders>
            <w:shd w:val="clear" w:color="auto" w:fill="A7D2F5"/>
          </w:tcPr>
          <w:p>
            <w:pPr>
              <w:pStyle w:val="TableParagraph"/>
              <w:spacing w:before="49"/>
              <w:ind w:left="186"/>
              <w:rPr>
                <w:b/>
                <w:sz w:val="14"/>
              </w:rPr>
            </w:pPr>
            <w:r>
              <w:rPr>
                <w:b/>
                <w:color w:val="FFFFFF"/>
                <w:sz w:val="14"/>
              </w:rPr>
              <w:t>Antagelse, fordelingsnøgle</w:t>
            </w:r>
          </w:p>
        </w:tc>
        <w:tc>
          <w:tcPr>
            <w:tcW w:w="1457" w:type="dxa"/>
            <w:tcBorders>
              <w:top w:val="nil"/>
              <w:left w:val="nil"/>
              <w:bottom w:val="nil"/>
              <w:right w:val="nil"/>
            </w:tcBorders>
            <w:shd w:val="clear" w:color="auto" w:fill="A7D2F5"/>
          </w:tcPr>
          <w:p>
            <w:pPr>
              <w:pStyle w:val="TableParagraph"/>
              <w:spacing w:line="264" w:lineRule="auto" w:before="49"/>
              <w:ind w:left="156"/>
              <w:rPr>
                <w:b/>
                <w:sz w:val="14"/>
              </w:rPr>
            </w:pPr>
            <w:r>
              <w:rPr>
                <w:b/>
                <w:color w:val="FFFFFF"/>
                <w:sz w:val="14"/>
              </w:rPr>
              <w:t>Rumværdi DK (mio. DKK)</w:t>
            </w:r>
          </w:p>
        </w:tc>
      </w:tr>
      <w:tr>
        <w:trPr>
          <w:trHeight w:val="642" w:hRule="atLeast"/>
        </w:trPr>
        <w:tc>
          <w:tcPr>
            <w:tcW w:w="2904" w:type="dxa"/>
            <w:tcBorders>
              <w:top w:val="nil"/>
              <w:right w:val="nil"/>
            </w:tcBorders>
          </w:tcPr>
          <w:p>
            <w:pPr>
              <w:pStyle w:val="TableParagraph"/>
              <w:spacing w:line="261" w:lineRule="auto" w:before="41"/>
              <w:rPr>
                <w:sz w:val="14"/>
              </w:rPr>
            </w:pPr>
            <w:r>
              <w:rPr>
                <w:sz w:val="14"/>
              </w:rPr>
              <w:t>Værdi af gratis vejrmeldinger for befolkningen (WTP*)</w:t>
            </w:r>
          </w:p>
        </w:tc>
        <w:tc>
          <w:tcPr>
            <w:tcW w:w="962" w:type="dxa"/>
            <w:tcBorders>
              <w:top w:val="nil"/>
              <w:left w:val="nil"/>
              <w:right w:val="nil"/>
            </w:tcBorders>
          </w:tcPr>
          <w:p>
            <w:pPr>
              <w:pStyle w:val="TableParagraph"/>
              <w:spacing w:before="41"/>
              <w:ind w:left="0" w:right="215"/>
              <w:jc w:val="right"/>
              <w:rPr>
                <w:sz w:val="14"/>
              </w:rPr>
            </w:pPr>
            <w:r>
              <w:rPr>
                <w:w w:val="95"/>
                <w:sz w:val="14"/>
              </w:rPr>
              <w:t>445,1</w:t>
            </w:r>
          </w:p>
        </w:tc>
        <w:tc>
          <w:tcPr>
            <w:tcW w:w="3976" w:type="dxa"/>
            <w:tcBorders>
              <w:top w:val="nil"/>
              <w:left w:val="nil"/>
              <w:right w:val="nil"/>
            </w:tcBorders>
          </w:tcPr>
          <w:p>
            <w:pPr>
              <w:pStyle w:val="TableParagraph"/>
              <w:spacing w:line="261" w:lineRule="auto" w:before="41"/>
              <w:ind w:left="186" w:right="212"/>
              <w:jc w:val="both"/>
              <w:rPr>
                <w:sz w:val="14"/>
              </w:rPr>
            </w:pPr>
            <w:r>
              <w:rPr>
                <w:sz w:val="14"/>
              </w:rPr>
              <w:t>Samme værdi pr. borger som i Storbritannien.</w:t>
            </w:r>
            <w:r>
              <w:rPr>
                <w:spacing w:val="-24"/>
                <w:sz w:val="14"/>
              </w:rPr>
              <w:t> </w:t>
            </w:r>
            <w:r>
              <w:rPr>
                <w:sz w:val="14"/>
              </w:rPr>
              <w:t>Det antages, at det mere ekstreme vejr i Storbritanni- en</w:t>
            </w:r>
            <w:r>
              <w:rPr>
                <w:position w:val="6"/>
                <w:sz w:val="8"/>
              </w:rPr>
              <w:t>45 </w:t>
            </w:r>
            <w:r>
              <w:rPr>
                <w:sz w:val="14"/>
              </w:rPr>
              <w:t>opvejer den store danske interesse for</w:t>
            </w:r>
            <w:r>
              <w:rPr>
                <w:spacing w:val="-28"/>
                <w:sz w:val="14"/>
              </w:rPr>
              <w:t> </w:t>
            </w:r>
            <w:r>
              <w:rPr>
                <w:sz w:val="14"/>
              </w:rPr>
              <w:t>vejret.</w:t>
            </w:r>
          </w:p>
        </w:tc>
        <w:tc>
          <w:tcPr>
            <w:tcW w:w="1457" w:type="dxa"/>
            <w:tcBorders>
              <w:top w:val="nil"/>
              <w:left w:val="nil"/>
            </w:tcBorders>
          </w:tcPr>
          <w:p>
            <w:pPr>
              <w:pStyle w:val="TableParagraph"/>
              <w:spacing w:before="41"/>
              <w:ind w:left="552"/>
              <w:rPr>
                <w:sz w:val="14"/>
              </w:rPr>
            </w:pPr>
            <w:r>
              <w:rPr>
                <w:sz w:val="14"/>
              </w:rPr>
              <w:t>119,3</w:t>
            </w:r>
          </w:p>
        </w:tc>
      </w:tr>
      <w:tr>
        <w:trPr>
          <w:trHeight w:val="452" w:hRule="atLeast"/>
        </w:trPr>
        <w:tc>
          <w:tcPr>
            <w:tcW w:w="2904" w:type="dxa"/>
            <w:tcBorders>
              <w:right w:val="nil"/>
            </w:tcBorders>
          </w:tcPr>
          <w:p>
            <w:pPr>
              <w:pStyle w:val="TableParagraph"/>
              <w:spacing w:line="264" w:lineRule="auto" w:before="39"/>
              <w:ind w:right="114"/>
              <w:rPr>
                <w:sz w:val="14"/>
              </w:rPr>
            </w:pPr>
            <w:r>
              <w:rPr>
                <w:sz w:val="14"/>
              </w:rPr>
              <w:t>Oversvømmelsesskader undgået pga. tidlige varsler</w:t>
            </w:r>
          </w:p>
        </w:tc>
        <w:tc>
          <w:tcPr>
            <w:tcW w:w="962" w:type="dxa"/>
            <w:tcBorders>
              <w:left w:val="nil"/>
              <w:right w:val="nil"/>
            </w:tcBorders>
          </w:tcPr>
          <w:p>
            <w:pPr>
              <w:pStyle w:val="TableParagraph"/>
              <w:spacing w:before="39"/>
              <w:ind w:left="0" w:right="258"/>
              <w:jc w:val="right"/>
              <w:rPr>
                <w:sz w:val="14"/>
              </w:rPr>
            </w:pPr>
            <w:r>
              <w:rPr>
                <w:w w:val="95"/>
                <w:sz w:val="14"/>
              </w:rPr>
              <w:t>68,2</w:t>
            </w:r>
          </w:p>
        </w:tc>
        <w:tc>
          <w:tcPr>
            <w:tcW w:w="3976" w:type="dxa"/>
            <w:tcBorders>
              <w:left w:val="nil"/>
              <w:right w:val="nil"/>
            </w:tcBorders>
          </w:tcPr>
          <w:p>
            <w:pPr>
              <w:pStyle w:val="TableParagraph"/>
              <w:spacing w:line="264" w:lineRule="auto" w:before="39"/>
              <w:ind w:left="186" w:right="278"/>
              <w:rPr>
                <w:sz w:val="8"/>
              </w:rPr>
            </w:pPr>
            <w:r>
              <w:rPr>
                <w:sz w:val="14"/>
              </w:rPr>
              <w:t>20 % af UK-værdi pr. borger grundet færre over- svømmelseshændelser i Danmark</w:t>
            </w:r>
            <w:r>
              <w:rPr>
                <w:position w:val="6"/>
                <w:sz w:val="8"/>
              </w:rPr>
              <w:t>46</w:t>
            </w:r>
          </w:p>
        </w:tc>
        <w:tc>
          <w:tcPr>
            <w:tcW w:w="1457" w:type="dxa"/>
            <w:tcBorders>
              <w:left w:val="nil"/>
            </w:tcBorders>
          </w:tcPr>
          <w:p>
            <w:pPr>
              <w:pStyle w:val="TableParagraph"/>
              <w:spacing w:before="39"/>
              <w:ind w:left="643"/>
              <w:rPr>
                <w:sz w:val="14"/>
              </w:rPr>
            </w:pPr>
            <w:r>
              <w:rPr>
                <w:sz w:val="14"/>
              </w:rPr>
              <w:t>3,7</w:t>
            </w:r>
          </w:p>
        </w:tc>
      </w:tr>
      <w:tr>
        <w:trPr>
          <w:trHeight w:val="455" w:hRule="atLeast"/>
        </w:trPr>
        <w:tc>
          <w:tcPr>
            <w:tcW w:w="2904" w:type="dxa"/>
            <w:tcBorders>
              <w:right w:val="nil"/>
            </w:tcBorders>
          </w:tcPr>
          <w:p>
            <w:pPr>
              <w:pStyle w:val="TableParagraph"/>
              <w:spacing w:line="261" w:lineRule="auto" w:before="41"/>
              <w:rPr>
                <w:sz w:val="14"/>
              </w:rPr>
            </w:pPr>
            <w:r>
              <w:rPr>
                <w:sz w:val="14"/>
              </w:rPr>
              <w:t>Stormskader undgået pga. tidlige varsler</w:t>
            </w:r>
          </w:p>
        </w:tc>
        <w:tc>
          <w:tcPr>
            <w:tcW w:w="962" w:type="dxa"/>
            <w:tcBorders>
              <w:left w:val="nil"/>
              <w:right w:val="nil"/>
            </w:tcBorders>
          </w:tcPr>
          <w:p>
            <w:pPr>
              <w:pStyle w:val="TableParagraph"/>
              <w:spacing w:before="41"/>
              <w:ind w:left="0" w:right="258"/>
              <w:jc w:val="right"/>
              <w:rPr>
                <w:sz w:val="14"/>
              </w:rPr>
            </w:pPr>
            <w:r>
              <w:rPr>
                <w:w w:val="95"/>
                <w:sz w:val="14"/>
              </w:rPr>
              <w:t>55,7</w:t>
            </w:r>
          </w:p>
        </w:tc>
        <w:tc>
          <w:tcPr>
            <w:tcW w:w="3976" w:type="dxa"/>
            <w:tcBorders>
              <w:left w:val="nil"/>
              <w:right w:val="nil"/>
            </w:tcBorders>
          </w:tcPr>
          <w:p>
            <w:pPr>
              <w:pStyle w:val="TableParagraph"/>
              <w:spacing w:before="41"/>
              <w:ind w:left="186"/>
              <w:rPr>
                <w:sz w:val="14"/>
              </w:rPr>
            </w:pPr>
            <w:r>
              <w:rPr>
                <w:sz w:val="14"/>
              </w:rPr>
              <w:t>Samme værdi pr. borger som i Storbritannien</w:t>
            </w:r>
          </w:p>
        </w:tc>
        <w:tc>
          <w:tcPr>
            <w:tcW w:w="1457" w:type="dxa"/>
            <w:tcBorders>
              <w:left w:val="nil"/>
            </w:tcBorders>
          </w:tcPr>
          <w:p>
            <w:pPr>
              <w:pStyle w:val="TableParagraph"/>
              <w:spacing w:before="41"/>
              <w:ind w:left="598"/>
              <w:rPr>
                <w:sz w:val="14"/>
              </w:rPr>
            </w:pPr>
            <w:r>
              <w:rPr>
                <w:sz w:val="14"/>
              </w:rPr>
              <w:t>14,9</w:t>
            </w:r>
          </w:p>
        </w:tc>
      </w:tr>
      <w:tr>
        <w:trPr>
          <w:trHeight w:val="455" w:hRule="atLeast"/>
        </w:trPr>
        <w:tc>
          <w:tcPr>
            <w:tcW w:w="2904" w:type="dxa"/>
            <w:tcBorders>
              <w:right w:val="nil"/>
            </w:tcBorders>
          </w:tcPr>
          <w:p>
            <w:pPr>
              <w:pStyle w:val="TableParagraph"/>
              <w:spacing w:line="264" w:lineRule="auto" w:before="39"/>
              <w:ind w:right="133"/>
              <w:rPr>
                <w:sz w:val="14"/>
              </w:rPr>
            </w:pPr>
            <w:r>
              <w:rPr>
                <w:sz w:val="14"/>
              </w:rPr>
              <w:t>Reduceret flyvetid og lavere vejrrela- terede lufthavnsomkostninger</w:t>
            </w:r>
          </w:p>
        </w:tc>
        <w:tc>
          <w:tcPr>
            <w:tcW w:w="962" w:type="dxa"/>
            <w:tcBorders>
              <w:left w:val="nil"/>
              <w:right w:val="nil"/>
            </w:tcBorders>
          </w:tcPr>
          <w:p>
            <w:pPr>
              <w:pStyle w:val="TableParagraph"/>
              <w:spacing w:before="39"/>
              <w:ind w:left="0" w:right="215"/>
              <w:jc w:val="right"/>
              <w:rPr>
                <w:sz w:val="14"/>
              </w:rPr>
            </w:pPr>
            <w:r>
              <w:rPr>
                <w:w w:val="95"/>
                <w:sz w:val="14"/>
              </w:rPr>
              <w:t>820,1</w:t>
            </w:r>
          </w:p>
        </w:tc>
        <w:tc>
          <w:tcPr>
            <w:tcW w:w="3976" w:type="dxa"/>
            <w:tcBorders>
              <w:left w:val="nil"/>
              <w:right w:val="nil"/>
            </w:tcBorders>
          </w:tcPr>
          <w:p>
            <w:pPr>
              <w:pStyle w:val="TableParagraph"/>
              <w:spacing w:before="39"/>
              <w:ind w:left="186"/>
              <w:rPr>
                <w:sz w:val="14"/>
              </w:rPr>
            </w:pPr>
            <w:r>
              <w:rPr>
                <w:sz w:val="14"/>
              </w:rPr>
              <w:t>Samme værdi pr. flyafgang og -ankomst</w:t>
            </w:r>
          </w:p>
        </w:tc>
        <w:tc>
          <w:tcPr>
            <w:tcW w:w="1457" w:type="dxa"/>
            <w:tcBorders>
              <w:left w:val="nil"/>
            </w:tcBorders>
          </w:tcPr>
          <w:p>
            <w:pPr>
              <w:pStyle w:val="TableParagraph"/>
              <w:spacing w:before="39"/>
              <w:ind w:left="552"/>
              <w:rPr>
                <w:sz w:val="14"/>
              </w:rPr>
            </w:pPr>
            <w:r>
              <w:rPr>
                <w:sz w:val="14"/>
              </w:rPr>
              <w:t>256,8</w:t>
            </w:r>
          </w:p>
        </w:tc>
      </w:tr>
      <w:tr>
        <w:trPr>
          <w:trHeight w:val="452" w:hRule="atLeast"/>
        </w:trPr>
        <w:tc>
          <w:tcPr>
            <w:tcW w:w="2904" w:type="dxa"/>
            <w:tcBorders>
              <w:right w:val="nil"/>
            </w:tcBorders>
          </w:tcPr>
          <w:p>
            <w:pPr>
              <w:pStyle w:val="TableParagraph"/>
              <w:spacing w:line="264" w:lineRule="auto" w:before="39"/>
              <w:ind w:right="175"/>
              <w:rPr>
                <w:sz w:val="14"/>
              </w:rPr>
            </w:pPr>
            <w:r>
              <w:rPr>
                <w:sz w:val="14"/>
              </w:rPr>
              <w:t>Øvrig markedsøkonomi – produktivi- tetsgevinster</w:t>
            </w:r>
          </w:p>
        </w:tc>
        <w:tc>
          <w:tcPr>
            <w:tcW w:w="962" w:type="dxa"/>
            <w:tcBorders>
              <w:left w:val="nil"/>
              <w:right w:val="nil"/>
            </w:tcBorders>
          </w:tcPr>
          <w:p>
            <w:pPr>
              <w:pStyle w:val="TableParagraph"/>
              <w:spacing w:before="39"/>
              <w:ind w:left="0" w:right="215"/>
              <w:jc w:val="right"/>
              <w:rPr>
                <w:sz w:val="14"/>
              </w:rPr>
            </w:pPr>
            <w:r>
              <w:rPr>
                <w:w w:val="95"/>
                <w:sz w:val="14"/>
              </w:rPr>
              <w:t>922,2</w:t>
            </w:r>
          </w:p>
        </w:tc>
        <w:tc>
          <w:tcPr>
            <w:tcW w:w="3976" w:type="dxa"/>
            <w:tcBorders>
              <w:left w:val="nil"/>
              <w:right w:val="nil"/>
            </w:tcBorders>
          </w:tcPr>
          <w:p>
            <w:pPr>
              <w:pStyle w:val="TableParagraph"/>
              <w:spacing w:before="39"/>
              <w:ind w:left="186"/>
              <w:rPr>
                <w:sz w:val="14"/>
              </w:rPr>
            </w:pPr>
            <w:r>
              <w:rPr>
                <w:sz w:val="14"/>
              </w:rPr>
              <w:t>Samme andel af BNP</w:t>
            </w:r>
          </w:p>
        </w:tc>
        <w:tc>
          <w:tcPr>
            <w:tcW w:w="1457" w:type="dxa"/>
            <w:tcBorders>
              <w:left w:val="nil"/>
            </w:tcBorders>
          </w:tcPr>
          <w:p>
            <w:pPr>
              <w:pStyle w:val="TableParagraph"/>
              <w:spacing w:before="39"/>
              <w:ind w:left="552"/>
              <w:rPr>
                <w:sz w:val="14"/>
              </w:rPr>
            </w:pPr>
            <w:r>
              <w:rPr>
                <w:sz w:val="14"/>
              </w:rPr>
              <w:t>292,6</w:t>
            </w:r>
          </w:p>
        </w:tc>
      </w:tr>
      <w:tr>
        <w:trPr>
          <w:trHeight w:val="455" w:hRule="atLeast"/>
        </w:trPr>
        <w:tc>
          <w:tcPr>
            <w:tcW w:w="2904" w:type="dxa"/>
            <w:tcBorders>
              <w:right w:val="nil"/>
            </w:tcBorders>
          </w:tcPr>
          <w:p>
            <w:pPr>
              <w:pStyle w:val="TableParagraph"/>
              <w:spacing w:line="261" w:lineRule="auto" w:before="41"/>
              <w:ind w:right="154"/>
              <w:rPr>
                <w:sz w:val="14"/>
              </w:rPr>
            </w:pPr>
            <w:r>
              <w:rPr>
                <w:sz w:val="14"/>
              </w:rPr>
              <w:t>Vintertrafik – reducerede omkostnin- ger pga. færre ulykker</w:t>
            </w:r>
          </w:p>
        </w:tc>
        <w:tc>
          <w:tcPr>
            <w:tcW w:w="962" w:type="dxa"/>
            <w:tcBorders>
              <w:left w:val="nil"/>
              <w:right w:val="nil"/>
            </w:tcBorders>
          </w:tcPr>
          <w:p>
            <w:pPr>
              <w:pStyle w:val="TableParagraph"/>
              <w:spacing w:before="41"/>
              <w:ind w:left="0" w:right="215"/>
              <w:jc w:val="right"/>
              <w:rPr>
                <w:sz w:val="14"/>
              </w:rPr>
            </w:pPr>
            <w:r>
              <w:rPr>
                <w:w w:val="95"/>
                <w:sz w:val="14"/>
              </w:rPr>
              <w:t>128,7</w:t>
            </w:r>
          </w:p>
        </w:tc>
        <w:tc>
          <w:tcPr>
            <w:tcW w:w="3976" w:type="dxa"/>
            <w:tcBorders>
              <w:left w:val="nil"/>
              <w:right w:val="nil"/>
            </w:tcBorders>
          </w:tcPr>
          <w:p>
            <w:pPr>
              <w:pStyle w:val="TableParagraph"/>
              <w:spacing w:line="261" w:lineRule="auto" w:before="41"/>
              <w:ind w:left="186"/>
              <w:rPr>
                <w:sz w:val="14"/>
              </w:rPr>
            </w:pPr>
            <w:r>
              <w:rPr>
                <w:sz w:val="14"/>
              </w:rPr>
              <w:t>50 % af værdien pr. køretøj grundet generelt bedre vinterforberedelse i Danmark</w:t>
            </w:r>
          </w:p>
        </w:tc>
        <w:tc>
          <w:tcPr>
            <w:tcW w:w="1457" w:type="dxa"/>
            <w:tcBorders>
              <w:left w:val="nil"/>
            </w:tcBorders>
          </w:tcPr>
          <w:p>
            <w:pPr>
              <w:pStyle w:val="TableParagraph"/>
              <w:spacing w:before="41"/>
              <w:ind w:left="598"/>
              <w:rPr>
                <w:sz w:val="14"/>
              </w:rPr>
            </w:pPr>
            <w:r>
              <w:rPr>
                <w:sz w:val="14"/>
              </w:rPr>
              <w:t>15,0</w:t>
            </w:r>
          </w:p>
        </w:tc>
      </w:tr>
      <w:tr>
        <w:trPr>
          <w:trHeight w:val="455" w:hRule="atLeast"/>
        </w:trPr>
        <w:tc>
          <w:tcPr>
            <w:tcW w:w="2904" w:type="dxa"/>
            <w:tcBorders>
              <w:right w:val="nil"/>
            </w:tcBorders>
          </w:tcPr>
          <w:p>
            <w:pPr>
              <w:pStyle w:val="TableParagraph"/>
              <w:spacing w:line="264" w:lineRule="auto" w:before="39"/>
              <w:ind w:right="444"/>
              <w:rPr>
                <w:sz w:val="14"/>
              </w:rPr>
            </w:pPr>
            <w:r>
              <w:rPr>
                <w:sz w:val="14"/>
              </w:rPr>
              <w:t>Beredskab – sundhedseffekter af vejrvarsler</w:t>
            </w:r>
          </w:p>
        </w:tc>
        <w:tc>
          <w:tcPr>
            <w:tcW w:w="962" w:type="dxa"/>
            <w:tcBorders>
              <w:left w:val="nil"/>
              <w:right w:val="nil"/>
            </w:tcBorders>
          </w:tcPr>
          <w:p>
            <w:pPr>
              <w:pStyle w:val="TableParagraph"/>
              <w:spacing w:before="39"/>
              <w:ind w:left="0" w:right="258"/>
              <w:jc w:val="right"/>
              <w:rPr>
                <w:sz w:val="14"/>
              </w:rPr>
            </w:pPr>
            <w:r>
              <w:rPr>
                <w:w w:val="95"/>
                <w:sz w:val="14"/>
              </w:rPr>
              <w:t>13,6</w:t>
            </w:r>
          </w:p>
        </w:tc>
        <w:tc>
          <w:tcPr>
            <w:tcW w:w="3976" w:type="dxa"/>
            <w:tcBorders>
              <w:left w:val="nil"/>
              <w:right w:val="nil"/>
            </w:tcBorders>
          </w:tcPr>
          <w:p>
            <w:pPr>
              <w:pStyle w:val="TableParagraph"/>
              <w:spacing w:line="264" w:lineRule="auto" w:before="39"/>
              <w:ind w:left="186" w:right="131"/>
              <w:rPr>
                <w:sz w:val="14"/>
              </w:rPr>
            </w:pPr>
            <w:r>
              <w:rPr>
                <w:sz w:val="14"/>
              </w:rPr>
              <w:t>50 % af værdien pr. borger grundet mindre vejrva- rians i Danmark</w:t>
            </w:r>
          </w:p>
        </w:tc>
        <w:tc>
          <w:tcPr>
            <w:tcW w:w="1457" w:type="dxa"/>
            <w:tcBorders>
              <w:left w:val="nil"/>
            </w:tcBorders>
          </w:tcPr>
          <w:p>
            <w:pPr>
              <w:pStyle w:val="TableParagraph"/>
              <w:spacing w:before="39"/>
              <w:ind w:left="643"/>
              <w:rPr>
                <w:sz w:val="14"/>
              </w:rPr>
            </w:pPr>
            <w:r>
              <w:rPr>
                <w:sz w:val="14"/>
              </w:rPr>
              <w:t>3,6</w:t>
            </w:r>
          </w:p>
        </w:tc>
      </w:tr>
      <w:tr>
        <w:trPr>
          <w:trHeight w:val="284" w:hRule="atLeast"/>
        </w:trPr>
        <w:tc>
          <w:tcPr>
            <w:tcW w:w="2904" w:type="dxa"/>
            <w:tcBorders>
              <w:right w:val="nil"/>
            </w:tcBorders>
          </w:tcPr>
          <w:p>
            <w:pPr>
              <w:pStyle w:val="TableParagraph"/>
              <w:spacing w:before="39"/>
              <w:rPr>
                <w:b/>
                <w:sz w:val="14"/>
              </w:rPr>
            </w:pPr>
            <w:r>
              <w:rPr>
                <w:b/>
                <w:sz w:val="14"/>
              </w:rPr>
              <w:t>Total (2015)</w:t>
            </w:r>
          </w:p>
        </w:tc>
        <w:tc>
          <w:tcPr>
            <w:tcW w:w="962" w:type="dxa"/>
            <w:tcBorders>
              <w:left w:val="nil"/>
              <w:right w:val="nil"/>
            </w:tcBorders>
          </w:tcPr>
          <w:p>
            <w:pPr>
              <w:pStyle w:val="TableParagraph"/>
              <w:spacing w:before="0"/>
              <w:ind w:left="0"/>
              <w:rPr>
                <w:rFonts w:ascii="Times New Roman"/>
                <w:sz w:val="14"/>
              </w:rPr>
            </w:pPr>
          </w:p>
        </w:tc>
        <w:tc>
          <w:tcPr>
            <w:tcW w:w="3976" w:type="dxa"/>
            <w:tcBorders>
              <w:left w:val="nil"/>
              <w:right w:val="nil"/>
            </w:tcBorders>
          </w:tcPr>
          <w:p>
            <w:pPr>
              <w:pStyle w:val="TableParagraph"/>
              <w:spacing w:before="0"/>
              <w:ind w:left="0"/>
              <w:rPr>
                <w:rFonts w:ascii="Times New Roman"/>
                <w:sz w:val="14"/>
              </w:rPr>
            </w:pPr>
          </w:p>
        </w:tc>
        <w:tc>
          <w:tcPr>
            <w:tcW w:w="1457" w:type="dxa"/>
            <w:tcBorders>
              <w:left w:val="nil"/>
            </w:tcBorders>
          </w:tcPr>
          <w:p>
            <w:pPr>
              <w:pStyle w:val="TableParagraph"/>
              <w:spacing w:before="39"/>
              <w:ind w:left="533"/>
              <w:rPr>
                <w:b/>
                <w:sz w:val="14"/>
              </w:rPr>
            </w:pPr>
            <w:r>
              <w:rPr>
                <w:b/>
                <w:sz w:val="14"/>
              </w:rPr>
              <w:t>706,0</w:t>
            </w:r>
          </w:p>
        </w:tc>
      </w:tr>
    </w:tbl>
    <w:p>
      <w:pPr>
        <w:spacing w:before="83"/>
        <w:ind w:left="742" w:right="0" w:firstLine="0"/>
        <w:jc w:val="left"/>
        <w:rPr>
          <w:sz w:val="13"/>
        </w:rPr>
      </w:pPr>
      <w:r>
        <w:rPr>
          <w:sz w:val="13"/>
        </w:rPr>
        <w:t>Note: *WTP: Willingness-To-Pay.</w:t>
      </w:r>
    </w:p>
    <w:p>
      <w:pPr>
        <w:spacing w:before="82"/>
        <w:ind w:left="742" w:right="0" w:firstLine="0"/>
        <w:jc w:val="left"/>
        <w:rPr>
          <w:sz w:val="13"/>
        </w:rPr>
      </w:pPr>
      <w:r>
        <w:rPr>
          <w:sz w:val="13"/>
        </w:rPr>
        <w:t>Kilde: London Economics (2015) </w:t>
      </w:r>
      <w:r>
        <w:rPr>
          <w:i/>
          <w:sz w:val="13"/>
        </w:rPr>
        <w:t>MET Office General Review, </w:t>
      </w:r>
      <w:r>
        <w:rPr>
          <w:sz w:val="13"/>
        </w:rPr>
        <w:t>Eurostat, European Severe Weather Database samt Eurocontrol STATFOR.</w:t>
      </w:r>
    </w:p>
    <w:p>
      <w:pPr>
        <w:pStyle w:val="BodyText"/>
        <w:spacing w:before="6"/>
        <w:rPr>
          <w:sz w:val="21"/>
        </w:rPr>
      </w:pPr>
    </w:p>
    <w:p>
      <w:pPr>
        <w:pStyle w:val="BodyText"/>
        <w:spacing w:line="264" w:lineRule="auto" w:before="1"/>
        <w:ind w:left="742" w:right="1183"/>
      </w:pPr>
      <w:r>
        <w:rPr/>
        <w:t>Bemærk, at fordelingsnøglerne mellem britiske og danske forhold pr. definition er subjektive, og at andre metoder kan tænkes for dem alle. Danmarks prisniveau er eksempelvis 15,7 % højere end Storbritanniens,</w:t>
      </w:r>
      <w:r>
        <w:rPr>
          <w:w w:val="99"/>
          <w:position w:val="6"/>
          <w:sz w:val="8"/>
        </w:rPr>
        <w:t>47</w:t>
      </w:r>
      <w:r>
        <w:rPr>
          <w:position w:val="6"/>
          <w:sz w:val="8"/>
        </w:rPr>
        <w:t>  </w:t>
      </w:r>
      <w:r>
        <w:rPr/>
        <w:t>så der kan eventuelt argumenteres for, at danskerne vil være villige til at betale mere for vejrudsigter. Modsat er befolkningstætheden i Storbritannien cirka dobbelt så høj som i Danmark, så hvis oversvømmelser rammer, er der et mindre areal med landbrugsjord vandet kan ledes til, og skaderne vil derfor være mere omfattende. Generelt er fordelingsnøglerne sat konser- vativt for at undgå opblæste tal.</w:t>
      </w:r>
      <w:r>
        <w:rPr>
          <w:w w:val="99"/>
          <w:position w:val="6"/>
          <w:sz w:val="8"/>
        </w:rPr>
        <w:t>48</w:t>
      </w:r>
      <w:r>
        <w:rPr>
          <w:position w:val="6"/>
          <w:sz w:val="8"/>
        </w:rPr>
        <w:t>  </w:t>
      </w:r>
      <w:r>
        <w:rPr/>
        <w:t>Selv hvis fordelingsnøglerne skulle vise sig at være højt sat, er</w:t>
      </w:r>
    </w:p>
    <w:p>
      <w:pPr>
        <w:pStyle w:val="BodyText"/>
        <w:spacing w:before="6"/>
        <w:rPr>
          <w:sz w:val="10"/>
        </w:rPr>
      </w:pPr>
      <w:r>
        <w:rPr/>
        <w:pict>
          <v:line style="position:absolute;mso-position-horizontal-relative:page;mso-position-vertical-relative:paragraph;z-index:3032;mso-wrap-distance-left:0;mso-wrap-distance-right:0" from="85.103996pt,8.577168pt" to="229.123996pt,8.577168pt" stroked="true" strokeweight=".48004pt" strokecolor="#000000">
            <v:stroke dashstyle="solid"/>
            <w10:wrap type="topAndBottom"/>
          </v:line>
        </w:pict>
      </w:r>
    </w:p>
    <w:p>
      <w:pPr>
        <w:spacing w:line="316" w:lineRule="auto" w:before="99"/>
        <w:ind w:left="742" w:right="3101" w:firstLine="0"/>
        <w:jc w:val="left"/>
        <w:rPr>
          <w:sz w:val="13"/>
        </w:rPr>
      </w:pPr>
      <w:r>
        <w:rPr>
          <w:position w:val="6"/>
          <w:sz w:val="8"/>
        </w:rPr>
        <w:t>42 </w:t>
      </w:r>
      <w:r>
        <w:rPr>
          <w:sz w:val="13"/>
        </w:rPr>
        <w:t>Se mere i Aktuel Naturvidenskab (2011) </w:t>
      </w:r>
      <w:r>
        <w:rPr>
          <w:i/>
          <w:sz w:val="13"/>
        </w:rPr>
        <w:t>Meteorologi med GPS-signaler</w:t>
      </w:r>
      <w:r>
        <w:rPr>
          <w:sz w:val="13"/>
        </w:rPr>
        <w:t>, tilgængelig her: </w:t>
      </w:r>
      <w:hyperlink r:id="rId70">
        <w:r>
          <w:rPr>
            <w:color w:val="009DDF"/>
            <w:sz w:val="13"/>
          </w:rPr>
          <w:t>http://www.dmi.dk/fileadmin/user_upload/2011-nyheder/December/an6_11gps.pdf </w:t>
        </w:r>
      </w:hyperlink>
      <w:r>
        <w:rPr>
          <w:sz w:val="13"/>
        </w:rPr>
        <w:t>(tilgået 18, april 2016).</w:t>
      </w:r>
    </w:p>
    <w:p>
      <w:pPr>
        <w:spacing w:line="161" w:lineRule="exact" w:before="0"/>
        <w:ind w:left="742" w:right="0" w:firstLine="0"/>
        <w:jc w:val="left"/>
        <w:rPr>
          <w:sz w:val="13"/>
        </w:rPr>
      </w:pPr>
      <w:r>
        <w:rPr>
          <w:position w:val="6"/>
          <w:sz w:val="8"/>
        </w:rPr>
        <w:t>43 </w:t>
      </w:r>
      <w:r>
        <w:rPr>
          <w:sz w:val="13"/>
        </w:rPr>
        <w:t>London Economics (2015) </w:t>
      </w:r>
      <w:r>
        <w:rPr>
          <w:i/>
          <w:sz w:val="13"/>
        </w:rPr>
        <w:t>MET Office General Review</w:t>
      </w:r>
      <w:r>
        <w:rPr>
          <w:sz w:val="13"/>
        </w:rPr>
        <w:t>, tilgængelig her: </w:t>
      </w:r>
      <w:hyperlink r:id="rId71">
        <w:r>
          <w:rPr>
            <w:color w:val="009DDF"/>
            <w:sz w:val="13"/>
          </w:rPr>
          <w:t>http://londoneconomics.co.uk/blog/publication/met-office-</w:t>
        </w:r>
      </w:hyperlink>
    </w:p>
    <w:p>
      <w:pPr>
        <w:spacing w:before="51"/>
        <w:ind w:left="742" w:right="0" w:firstLine="0"/>
        <w:jc w:val="left"/>
        <w:rPr>
          <w:sz w:val="13"/>
        </w:rPr>
      </w:pPr>
      <w:hyperlink r:id="rId71">
        <w:r>
          <w:rPr>
            <w:color w:val="009DDF"/>
            <w:sz w:val="13"/>
          </w:rPr>
          <w:t>general-review-march-2016/.</w:t>
        </w:r>
      </w:hyperlink>
    </w:p>
    <w:p>
      <w:pPr>
        <w:spacing w:before="43"/>
        <w:ind w:left="742" w:right="0" w:firstLine="0"/>
        <w:jc w:val="left"/>
        <w:rPr>
          <w:sz w:val="13"/>
        </w:rPr>
      </w:pPr>
      <w:r>
        <w:rPr>
          <w:position w:val="6"/>
          <w:sz w:val="8"/>
        </w:rPr>
        <w:t>44 </w:t>
      </w:r>
      <w:r>
        <w:rPr>
          <w:sz w:val="13"/>
        </w:rPr>
        <w:t>Konsultation med DMI.</w:t>
      </w:r>
    </w:p>
    <w:p>
      <w:pPr>
        <w:spacing w:line="321" w:lineRule="auto" w:before="41"/>
        <w:ind w:left="742" w:right="1338" w:firstLine="0"/>
        <w:jc w:val="left"/>
        <w:rPr>
          <w:sz w:val="13"/>
        </w:rPr>
      </w:pPr>
      <w:r>
        <w:rPr>
          <w:position w:val="6"/>
          <w:sz w:val="8"/>
        </w:rPr>
        <w:t>45 </w:t>
      </w:r>
      <w:r>
        <w:rPr>
          <w:sz w:val="13"/>
        </w:rPr>
        <w:t>Ifølge European Severe Weather Database har der været 585 ekstreme vejrhændelser i Danmark mellem 2000 og 2015 mod 2.016 i Storbritannien. Se </w:t>
      </w:r>
      <w:hyperlink r:id="rId72">
        <w:r>
          <w:rPr>
            <w:color w:val="009DDF"/>
            <w:sz w:val="13"/>
          </w:rPr>
          <w:t>http://www.eswd.eu/ </w:t>
        </w:r>
      </w:hyperlink>
      <w:r>
        <w:rPr>
          <w:sz w:val="13"/>
        </w:rPr>
        <w:t>for mere information.</w:t>
      </w:r>
    </w:p>
    <w:p>
      <w:pPr>
        <w:spacing w:line="155" w:lineRule="exact" w:before="0"/>
        <w:ind w:left="742" w:right="0" w:firstLine="0"/>
        <w:jc w:val="left"/>
        <w:rPr>
          <w:sz w:val="13"/>
        </w:rPr>
      </w:pPr>
      <w:r>
        <w:rPr>
          <w:position w:val="6"/>
          <w:sz w:val="8"/>
        </w:rPr>
        <w:t>46 </w:t>
      </w:r>
      <w:r>
        <w:rPr>
          <w:sz w:val="13"/>
        </w:rPr>
        <w:t>Storbritannien har aktiveret International Charter on Space &amp; Major Disasters syv gange på grund af oversvømmelse inden for de</w:t>
      </w:r>
    </w:p>
    <w:p>
      <w:pPr>
        <w:spacing w:before="53"/>
        <w:ind w:left="742" w:right="0" w:firstLine="0"/>
        <w:jc w:val="left"/>
        <w:rPr>
          <w:sz w:val="13"/>
        </w:rPr>
      </w:pPr>
      <w:r>
        <w:rPr>
          <w:sz w:val="13"/>
        </w:rPr>
        <w:t>sidste 10 år. Danmark har ikke aktiveret det overhovedet.</w:t>
      </w:r>
    </w:p>
    <w:p>
      <w:pPr>
        <w:spacing w:before="42"/>
        <w:ind w:left="742" w:right="0" w:firstLine="0"/>
        <w:jc w:val="left"/>
        <w:rPr>
          <w:sz w:val="13"/>
        </w:rPr>
      </w:pPr>
      <w:r>
        <w:rPr>
          <w:position w:val="6"/>
          <w:sz w:val="8"/>
        </w:rPr>
        <w:t>47 </w:t>
      </w:r>
      <w:r>
        <w:rPr>
          <w:sz w:val="13"/>
        </w:rPr>
        <w:t>Eurostat.</w:t>
      </w:r>
    </w:p>
    <w:p>
      <w:pPr>
        <w:spacing w:line="316" w:lineRule="auto" w:before="43"/>
        <w:ind w:left="742" w:right="2432" w:firstLine="0"/>
        <w:jc w:val="left"/>
        <w:rPr>
          <w:sz w:val="13"/>
        </w:rPr>
      </w:pPr>
      <w:r>
        <w:rPr>
          <w:position w:val="6"/>
          <w:sz w:val="8"/>
        </w:rPr>
        <w:t>48 </w:t>
      </w:r>
      <w:r>
        <w:rPr>
          <w:sz w:val="13"/>
        </w:rPr>
        <w:t>EUMETSAT (2014). ‘The Case for EPS/Metop Second Generation: Cost Benefit Analysis’. Tilgængelig her: </w:t>
      </w:r>
      <w:hyperlink r:id="rId73">
        <w:r>
          <w:rPr>
            <w:color w:val="009DDF"/>
            <w:sz w:val="13"/>
          </w:rPr>
          <w:t>http://www.wmo.int/pages/prog/sat/meetings/documents/PSTG-3_Doc_11-04_MetOP-SG.pdf </w:t>
        </w:r>
      </w:hyperlink>
      <w:r>
        <w:rPr>
          <w:sz w:val="13"/>
        </w:rPr>
        <w:t>(tilgået 18. april 2016).</w:t>
      </w:r>
    </w:p>
    <w:p>
      <w:pPr>
        <w:spacing w:after="0" w:line="316" w:lineRule="auto"/>
        <w:jc w:val="left"/>
        <w:rPr>
          <w:sz w:val="13"/>
        </w:rPr>
        <w:sectPr>
          <w:pgSz w:w="11910" w:h="16840"/>
          <w:pgMar w:header="0" w:footer="1056" w:top="1580" w:bottom="1240" w:left="960" w:right="0"/>
        </w:sectPr>
      </w:pPr>
    </w:p>
    <w:p>
      <w:pPr>
        <w:pStyle w:val="BodyText"/>
        <w:spacing w:line="264" w:lineRule="auto" w:before="126"/>
        <w:ind w:left="742" w:right="1182"/>
      </w:pPr>
      <w:r>
        <w:rPr/>
        <w:t>der næppe tvivl om, at Danmarks medlemskab af EUMETSAT og satellitbaserede vejrudsigter ska- ber afsmittende effekter, der langt overstiger de ca. 55 mio. DKK der er bevilget på finansloven for 2016.</w:t>
      </w:r>
    </w:p>
    <w:p>
      <w:pPr>
        <w:pStyle w:val="BodyText"/>
        <w:spacing w:before="7"/>
        <w:rPr>
          <w:sz w:val="19"/>
        </w:rPr>
      </w:pPr>
    </w:p>
    <w:p>
      <w:pPr>
        <w:pStyle w:val="ListParagraph"/>
        <w:numPr>
          <w:ilvl w:val="2"/>
          <w:numId w:val="7"/>
        </w:numPr>
        <w:tabs>
          <w:tab w:pos="743" w:val="left" w:leader="none"/>
        </w:tabs>
        <w:spacing w:line="240" w:lineRule="auto" w:before="1" w:after="0"/>
        <w:ind w:left="742" w:right="0" w:hanging="624"/>
        <w:jc w:val="left"/>
        <w:rPr>
          <w:b/>
          <w:sz w:val="18"/>
        </w:rPr>
      </w:pPr>
      <w:bookmarkStart w:name="_bookmark31" w:id="32"/>
      <w:bookmarkEnd w:id="32"/>
      <w:r>
        <w:rPr>
          <w:b/>
          <w:sz w:val="18"/>
        </w:rPr>
        <w:t>Nav</w:t>
      </w:r>
      <w:r>
        <w:rPr>
          <w:b/>
          <w:sz w:val="18"/>
        </w:rPr>
        <w:t>igation</w:t>
      </w:r>
    </w:p>
    <w:p>
      <w:pPr>
        <w:pStyle w:val="BodyText"/>
        <w:spacing w:line="264" w:lineRule="auto" w:before="21"/>
        <w:ind w:left="742" w:right="1137"/>
      </w:pPr>
      <w:r>
        <w:rPr/>
        <w:t>Et Globalt Navigationssatellitsystem (GNSS) er en konstellation af satellitter (24-30) i medium Earth Orbit. Satellitterne er udstyrede med meget præcise atomure og udsender et konstant signal, der indeholder satellittens ID og klokkeslæt. Brugerenheder på jorden kan beregne tredimensionel position ved adgang til signaler fra fire satellitter. Nøjagtigheden af positionsberegningen falder kraftigt, hvis signalet er udsat for multipath, hvor det er blevet reflekteret af bygninger eller andre forhindringer eller møder forstyrrelser i ionosfæren mellem satellitten og brugerenheden. I 2016 er der to komplette GNSS; det amerikanske GPS og det russiske GLONASS, og derudover udvikles Galileo af EU, og BeiDou udrulles til global dækning af</w:t>
      </w:r>
      <w:r>
        <w:rPr>
          <w:spacing w:val="-15"/>
        </w:rPr>
        <w:t> </w:t>
      </w:r>
      <w:r>
        <w:rPr/>
        <w:t>Kina.</w:t>
      </w:r>
    </w:p>
    <w:p>
      <w:pPr>
        <w:pStyle w:val="BodyText"/>
        <w:spacing w:before="4"/>
        <w:rPr>
          <w:sz w:val="19"/>
        </w:rPr>
      </w:pPr>
    </w:p>
    <w:p>
      <w:pPr>
        <w:pStyle w:val="BodyText"/>
        <w:spacing w:line="264" w:lineRule="auto"/>
        <w:ind w:left="742" w:right="1191"/>
      </w:pPr>
      <w:r>
        <w:rPr/>
        <w:t>Til GNSS-familien hører desuden satellitbaserede augmenteringstjenester (SBAS), der giver mulig- hed for at korrigere den forstyrrelse, alle GNSS-signaler møder i atmosfæren på rejsen mellem satellit og modtager. Forstyrrelserne varierer afhængig af mange faktorer, herunder vejr- og sol- vejrsforhold. Systemet baseres på observationer på jorden, hvor en fastmonteret GNSS-modtager beregner sin position og sammenligner med den kendte, faktiske position. Forskellen mellem ob- serveret og faktisk position deles via isenkram på kommunikationssatellitter i geostationært kreds- løb med alle brugere i nærområdet, som er udsat for tilsvarende forstyrrelser.</w:t>
      </w:r>
    </w:p>
    <w:p>
      <w:pPr>
        <w:pStyle w:val="BodyText"/>
        <w:spacing w:before="5"/>
        <w:rPr>
          <w:sz w:val="19"/>
        </w:rPr>
      </w:pPr>
    </w:p>
    <w:p>
      <w:pPr>
        <w:pStyle w:val="BodyText"/>
        <w:spacing w:line="264" w:lineRule="auto"/>
        <w:ind w:left="742" w:right="1226"/>
      </w:pPr>
      <w:r>
        <w:rPr/>
        <w:t>EU, USA og Japan har fuldt udviklede SBAS, mens Indien er ved at udvikle sit eget. EU’s system, EGNOS, har været operationelt siden 2009 og dækker hele Europa. EGNOS blev oprindeligt udvik- let til luftfarten, men anvendes nu i mange forskellige sektorer, deriblandt landbruget. En af EGN- OS’ jordstationer er i Aalborg.</w:t>
      </w:r>
      <w:r>
        <w:rPr>
          <w:w w:val="99"/>
          <w:position w:val="6"/>
          <w:sz w:val="8"/>
        </w:rPr>
        <w:t>49</w:t>
      </w:r>
      <w:r>
        <w:rPr>
          <w:position w:val="6"/>
          <w:sz w:val="8"/>
        </w:rPr>
        <w:t>  </w:t>
      </w:r>
      <w:r>
        <w:rPr/>
        <w:t>Japans regionale system, QZSS</w:t>
      </w:r>
      <w:r>
        <w:rPr>
          <w:w w:val="99"/>
          <w:position w:val="6"/>
          <w:sz w:val="8"/>
        </w:rPr>
        <w:t>50</w:t>
      </w:r>
      <w:r>
        <w:rPr/>
        <w:t>, adskiller sig fra SBAS ved at væ- re baseret på satellitter i et særligt kredsløb, der forbedrer adgangen til GNSS-signaler mellem de høje bygninger i japanske byer.</w:t>
      </w:r>
    </w:p>
    <w:p>
      <w:pPr>
        <w:pStyle w:val="BodyText"/>
        <w:spacing w:before="5"/>
        <w:rPr>
          <w:sz w:val="19"/>
        </w:rPr>
      </w:pPr>
    </w:p>
    <w:p>
      <w:pPr>
        <w:pStyle w:val="BodyText"/>
        <w:spacing w:line="264" w:lineRule="auto"/>
        <w:ind w:left="742" w:right="1214"/>
      </w:pPr>
      <w:r>
        <w:rPr/>
        <w:t>De åbne GNSS-tjenester er eksempler på det økonomer kalder </w:t>
      </w:r>
      <w:r>
        <w:rPr>
          <w:b/>
        </w:rPr>
        <w:t>offentlige goder, </w:t>
      </w:r>
      <w:r>
        <w:rPr/>
        <w:t>dvs. de opfylder to kriterier:</w:t>
      </w:r>
    </w:p>
    <w:p>
      <w:pPr>
        <w:pStyle w:val="ListParagraph"/>
        <w:numPr>
          <w:ilvl w:val="0"/>
          <w:numId w:val="11"/>
        </w:numPr>
        <w:tabs>
          <w:tab w:pos="1102" w:val="left" w:leader="none"/>
        </w:tabs>
        <w:spacing w:line="218" w:lineRule="exact" w:before="0" w:after="0"/>
        <w:ind w:left="1102" w:right="0" w:hanging="360"/>
        <w:jc w:val="left"/>
        <w:rPr>
          <w:sz w:val="18"/>
        </w:rPr>
      </w:pPr>
      <w:r>
        <w:rPr>
          <w:sz w:val="18"/>
        </w:rPr>
        <w:t>Økonomiske agenter kan ikke udelukkes fra brug (ikke-eksklusivt);</w:t>
      </w:r>
      <w:r>
        <w:rPr>
          <w:spacing w:val="-14"/>
          <w:sz w:val="18"/>
        </w:rPr>
        <w:t> </w:t>
      </w:r>
      <w:r>
        <w:rPr>
          <w:sz w:val="18"/>
        </w:rPr>
        <w:t>og</w:t>
      </w:r>
    </w:p>
    <w:p>
      <w:pPr>
        <w:pStyle w:val="ListParagraph"/>
        <w:numPr>
          <w:ilvl w:val="1"/>
          <w:numId w:val="11"/>
        </w:numPr>
        <w:tabs>
          <w:tab w:pos="1421" w:val="left" w:leader="none"/>
          <w:tab w:pos="1422" w:val="left" w:leader="none"/>
        </w:tabs>
        <w:spacing w:line="261" w:lineRule="auto" w:before="22" w:after="0"/>
        <w:ind w:left="1421" w:right="1147" w:hanging="339"/>
        <w:jc w:val="left"/>
        <w:rPr>
          <w:sz w:val="18"/>
        </w:rPr>
      </w:pPr>
      <w:r>
        <w:rPr>
          <w:sz w:val="18"/>
        </w:rPr>
        <w:t>Den billigste hardware, der kan dekodere GNSS-signalet, kan erhverves for ca. 1 euro. Da</w:t>
      </w:r>
      <w:r>
        <w:rPr>
          <w:spacing w:val="-1"/>
          <w:sz w:val="18"/>
        </w:rPr>
        <w:t>n</w:t>
      </w:r>
      <w:r>
        <w:rPr>
          <w:sz w:val="18"/>
        </w:rPr>
        <w:t>mar</w:t>
      </w:r>
      <w:r>
        <w:rPr>
          <w:spacing w:val="-2"/>
          <w:sz w:val="18"/>
        </w:rPr>
        <w:t>k</w:t>
      </w:r>
      <w:r>
        <w:rPr>
          <w:sz w:val="18"/>
        </w:rPr>
        <w:t>s</w:t>
      </w:r>
      <w:r>
        <w:rPr>
          <w:spacing w:val="-1"/>
          <w:sz w:val="18"/>
        </w:rPr>
        <w:t> S</w:t>
      </w:r>
      <w:r>
        <w:rPr>
          <w:sz w:val="18"/>
        </w:rPr>
        <w:t>tatistik</w:t>
      </w:r>
      <w:r>
        <w:rPr>
          <w:w w:val="99"/>
          <w:position w:val="6"/>
          <w:sz w:val="8"/>
        </w:rPr>
        <w:t>51</w:t>
      </w:r>
      <w:r>
        <w:rPr>
          <w:position w:val="6"/>
          <w:sz w:val="8"/>
        </w:rPr>
        <w:t> </w:t>
      </w:r>
      <w:r>
        <w:rPr>
          <w:spacing w:val="6"/>
          <w:position w:val="6"/>
          <w:sz w:val="8"/>
        </w:rPr>
        <w:t> </w:t>
      </w:r>
      <w:r>
        <w:rPr>
          <w:sz w:val="18"/>
        </w:rPr>
        <w:t>bere</w:t>
      </w:r>
      <w:r>
        <w:rPr>
          <w:spacing w:val="-2"/>
          <w:sz w:val="18"/>
        </w:rPr>
        <w:t>t</w:t>
      </w:r>
      <w:r>
        <w:rPr>
          <w:sz w:val="18"/>
        </w:rPr>
        <w:t>t</w:t>
      </w:r>
      <w:r>
        <w:rPr>
          <w:spacing w:val="-2"/>
          <w:sz w:val="18"/>
        </w:rPr>
        <w:t>e</w:t>
      </w:r>
      <w:r>
        <w:rPr>
          <w:sz w:val="18"/>
        </w:rPr>
        <w:t>r</w:t>
      </w:r>
      <w:r>
        <w:rPr>
          <w:spacing w:val="-1"/>
          <w:sz w:val="18"/>
        </w:rPr>
        <w:t> </w:t>
      </w:r>
      <w:r>
        <w:rPr>
          <w:sz w:val="18"/>
        </w:rPr>
        <w:t>til</w:t>
      </w:r>
      <w:r>
        <w:rPr>
          <w:spacing w:val="-2"/>
          <w:sz w:val="18"/>
        </w:rPr>
        <w:t>l</w:t>
      </w:r>
      <w:r>
        <w:rPr>
          <w:sz w:val="18"/>
        </w:rPr>
        <w:t>ige,</w:t>
      </w:r>
      <w:r>
        <w:rPr>
          <w:spacing w:val="-2"/>
          <w:sz w:val="18"/>
        </w:rPr>
        <w:t> </w:t>
      </w:r>
      <w:r>
        <w:rPr>
          <w:sz w:val="18"/>
        </w:rPr>
        <w:t>at</w:t>
      </w:r>
      <w:r>
        <w:rPr>
          <w:spacing w:val="-1"/>
          <w:sz w:val="18"/>
        </w:rPr>
        <w:t> </w:t>
      </w:r>
      <w:r>
        <w:rPr>
          <w:sz w:val="18"/>
        </w:rPr>
        <w:t>ca.</w:t>
      </w:r>
      <w:r>
        <w:rPr>
          <w:spacing w:val="-2"/>
          <w:sz w:val="18"/>
        </w:rPr>
        <w:t> </w:t>
      </w:r>
      <w:r>
        <w:rPr>
          <w:sz w:val="18"/>
        </w:rPr>
        <w:t>55</w:t>
      </w:r>
      <w:r>
        <w:rPr>
          <w:spacing w:val="1"/>
          <w:sz w:val="18"/>
        </w:rPr>
        <w:t> </w:t>
      </w:r>
      <w:r>
        <w:rPr>
          <w:sz w:val="18"/>
        </w:rPr>
        <w:t>%</w:t>
      </w:r>
      <w:r>
        <w:rPr>
          <w:spacing w:val="-1"/>
          <w:sz w:val="18"/>
        </w:rPr>
        <w:t> </w:t>
      </w:r>
      <w:r>
        <w:rPr>
          <w:sz w:val="18"/>
        </w:rPr>
        <w:t>af</w:t>
      </w:r>
      <w:r>
        <w:rPr>
          <w:spacing w:val="-2"/>
          <w:sz w:val="18"/>
        </w:rPr>
        <w:t> </w:t>
      </w:r>
      <w:r>
        <w:rPr>
          <w:sz w:val="18"/>
        </w:rPr>
        <w:t>dans</w:t>
      </w:r>
      <w:r>
        <w:rPr>
          <w:spacing w:val="-2"/>
          <w:sz w:val="18"/>
        </w:rPr>
        <w:t>k</w:t>
      </w:r>
      <w:r>
        <w:rPr>
          <w:sz w:val="18"/>
        </w:rPr>
        <w:t>e</w:t>
      </w:r>
      <w:r>
        <w:rPr>
          <w:spacing w:val="-1"/>
          <w:sz w:val="18"/>
        </w:rPr>
        <w:t> f</w:t>
      </w:r>
      <w:r>
        <w:rPr>
          <w:sz w:val="18"/>
        </w:rPr>
        <w:t>amilier</w:t>
      </w:r>
      <w:r>
        <w:rPr>
          <w:spacing w:val="-1"/>
          <w:sz w:val="18"/>
        </w:rPr>
        <w:t> </w:t>
      </w:r>
      <w:r>
        <w:rPr>
          <w:spacing w:val="-2"/>
          <w:sz w:val="18"/>
        </w:rPr>
        <w:t>h</w:t>
      </w:r>
      <w:r>
        <w:rPr>
          <w:sz w:val="18"/>
        </w:rPr>
        <w:t>a</w:t>
      </w:r>
      <w:r>
        <w:rPr>
          <w:spacing w:val="-1"/>
          <w:sz w:val="18"/>
        </w:rPr>
        <w:t>v</w:t>
      </w:r>
      <w:r>
        <w:rPr>
          <w:sz w:val="18"/>
        </w:rPr>
        <w:t>de</w:t>
      </w:r>
      <w:r>
        <w:rPr>
          <w:spacing w:val="-1"/>
          <w:sz w:val="18"/>
        </w:rPr>
        <w:t> </w:t>
      </w:r>
      <w:r>
        <w:rPr>
          <w:sz w:val="18"/>
        </w:rPr>
        <w:t>adga</w:t>
      </w:r>
      <w:r>
        <w:rPr>
          <w:spacing w:val="-2"/>
          <w:sz w:val="18"/>
        </w:rPr>
        <w:t>n</w:t>
      </w:r>
      <w:r>
        <w:rPr>
          <w:sz w:val="18"/>
        </w:rPr>
        <w:t>g</w:t>
      </w:r>
      <w:r>
        <w:rPr>
          <w:spacing w:val="1"/>
          <w:sz w:val="18"/>
        </w:rPr>
        <w:t> </w:t>
      </w:r>
      <w:r>
        <w:rPr>
          <w:sz w:val="18"/>
        </w:rPr>
        <w:t>til </w:t>
      </w:r>
      <w:r>
        <w:rPr>
          <w:spacing w:val="-2"/>
          <w:sz w:val="18"/>
        </w:rPr>
        <w:t>e</w:t>
      </w:r>
      <w:r>
        <w:rPr>
          <w:sz w:val="18"/>
        </w:rPr>
        <w:t>t </w:t>
      </w:r>
      <w:r>
        <w:rPr>
          <w:spacing w:val="-1"/>
          <w:sz w:val="18"/>
        </w:rPr>
        <w:t>GP</w:t>
      </w:r>
      <w:r>
        <w:rPr>
          <w:spacing w:val="2"/>
          <w:sz w:val="18"/>
        </w:rPr>
        <w:t>S</w:t>
      </w:r>
      <w:r>
        <w:rPr>
          <w:sz w:val="18"/>
        </w:rPr>
        <w:t>- navigationsanlæg til bil, mens 73 % af de 16-64-årige brugte GPS-funktionen i deres mobil eller</w:t>
      </w:r>
      <w:r>
        <w:rPr>
          <w:spacing w:val="-1"/>
          <w:sz w:val="18"/>
        </w:rPr>
        <w:t> </w:t>
      </w:r>
      <w:r>
        <w:rPr>
          <w:sz w:val="18"/>
        </w:rPr>
        <w:t>smar</w:t>
      </w:r>
      <w:r>
        <w:rPr>
          <w:spacing w:val="-2"/>
          <w:sz w:val="18"/>
        </w:rPr>
        <w:t>t</w:t>
      </w:r>
      <w:r>
        <w:rPr>
          <w:sz w:val="18"/>
        </w:rPr>
        <w:t>p</w:t>
      </w:r>
      <w:r>
        <w:rPr>
          <w:spacing w:val="-2"/>
          <w:sz w:val="18"/>
        </w:rPr>
        <w:t>h</w:t>
      </w:r>
      <w:r>
        <w:rPr>
          <w:sz w:val="18"/>
        </w:rPr>
        <w:t>o</w:t>
      </w:r>
      <w:r>
        <w:rPr>
          <w:spacing w:val="-2"/>
          <w:sz w:val="18"/>
        </w:rPr>
        <w:t>n</w:t>
      </w:r>
      <w:r>
        <w:rPr>
          <w:sz w:val="18"/>
        </w:rPr>
        <w:t>e</w:t>
      </w:r>
      <w:r>
        <w:rPr>
          <w:spacing w:val="-1"/>
          <w:sz w:val="18"/>
        </w:rPr>
        <w:t> </w:t>
      </w:r>
      <w:r>
        <w:rPr>
          <w:sz w:val="18"/>
        </w:rPr>
        <w:t>i 20</w:t>
      </w:r>
      <w:r>
        <w:rPr>
          <w:spacing w:val="-2"/>
          <w:sz w:val="18"/>
        </w:rPr>
        <w:t>1</w:t>
      </w:r>
      <w:r>
        <w:rPr>
          <w:sz w:val="18"/>
        </w:rPr>
        <w:t>4.</w:t>
      </w:r>
      <w:r>
        <w:rPr>
          <w:spacing w:val="-2"/>
          <w:sz w:val="18"/>
        </w:rPr>
        <w:t> </w:t>
      </w:r>
      <w:r>
        <w:rPr>
          <w:sz w:val="18"/>
        </w:rPr>
        <w:t>P</w:t>
      </w:r>
      <w:r>
        <w:rPr>
          <w:spacing w:val="-1"/>
          <w:sz w:val="18"/>
        </w:rPr>
        <w:t>r</w:t>
      </w:r>
      <w:r>
        <w:rPr>
          <w:sz w:val="18"/>
        </w:rPr>
        <w:t>æside</w:t>
      </w:r>
      <w:r>
        <w:rPr>
          <w:spacing w:val="-2"/>
          <w:sz w:val="18"/>
        </w:rPr>
        <w:t>n</w:t>
      </w:r>
      <w:r>
        <w:rPr>
          <w:sz w:val="18"/>
        </w:rPr>
        <w:t>t </w:t>
      </w:r>
      <w:r>
        <w:rPr>
          <w:spacing w:val="-1"/>
          <w:sz w:val="18"/>
        </w:rPr>
        <w:t>C</w:t>
      </w:r>
      <w:r>
        <w:rPr>
          <w:sz w:val="18"/>
        </w:rPr>
        <w:t>li</w:t>
      </w:r>
      <w:r>
        <w:rPr>
          <w:spacing w:val="-2"/>
          <w:sz w:val="18"/>
        </w:rPr>
        <w:t>nt</w:t>
      </w:r>
      <w:r>
        <w:rPr>
          <w:sz w:val="18"/>
        </w:rPr>
        <w:t>o</w:t>
      </w:r>
      <w:r>
        <w:rPr>
          <w:spacing w:val="-2"/>
          <w:sz w:val="18"/>
        </w:rPr>
        <w:t>n</w:t>
      </w:r>
      <w:r>
        <w:rPr>
          <w:sz w:val="18"/>
        </w:rPr>
        <w:t>s</w:t>
      </w:r>
      <w:r>
        <w:rPr>
          <w:spacing w:val="-1"/>
          <w:sz w:val="18"/>
        </w:rPr>
        <w:t> </w:t>
      </w:r>
      <w:r>
        <w:rPr>
          <w:sz w:val="18"/>
        </w:rPr>
        <w:t>besl</w:t>
      </w:r>
      <w:r>
        <w:rPr>
          <w:spacing w:val="-2"/>
          <w:sz w:val="18"/>
        </w:rPr>
        <w:t>u</w:t>
      </w:r>
      <w:r>
        <w:rPr>
          <w:sz w:val="18"/>
        </w:rPr>
        <w:t>t</w:t>
      </w:r>
      <w:r>
        <w:rPr>
          <w:spacing w:val="-2"/>
          <w:sz w:val="18"/>
        </w:rPr>
        <w:t>nin</w:t>
      </w:r>
      <w:r>
        <w:rPr>
          <w:sz w:val="18"/>
        </w:rPr>
        <w:t>g</w:t>
      </w:r>
      <w:r>
        <w:rPr>
          <w:spacing w:val="-1"/>
          <w:sz w:val="18"/>
        </w:rPr>
        <w:t> </w:t>
      </w:r>
      <w:r>
        <w:rPr>
          <w:sz w:val="18"/>
        </w:rPr>
        <w:t>om</w:t>
      </w:r>
      <w:r>
        <w:rPr>
          <w:spacing w:val="-1"/>
          <w:sz w:val="18"/>
        </w:rPr>
        <w:t> </w:t>
      </w:r>
      <w:r>
        <w:rPr>
          <w:sz w:val="18"/>
        </w:rPr>
        <w:t>at</w:t>
      </w:r>
      <w:r>
        <w:rPr>
          <w:spacing w:val="-1"/>
          <w:sz w:val="18"/>
        </w:rPr>
        <w:t> </w:t>
      </w:r>
      <w:r>
        <w:rPr>
          <w:sz w:val="18"/>
        </w:rPr>
        <w:t>sl</w:t>
      </w:r>
      <w:r>
        <w:rPr>
          <w:spacing w:val="-2"/>
          <w:sz w:val="18"/>
        </w:rPr>
        <w:t>u</w:t>
      </w:r>
      <w:r>
        <w:rPr>
          <w:spacing w:val="-1"/>
          <w:sz w:val="18"/>
        </w:rPr>
        <w:t>kk</w:t>
      </w:r>
      <w:r>
        <w:rPr>
          <w:sz w:val="18"/>
        </w:rPr>
        <w:t>e</w:t>
      </w:r>
      <w:r>
        <w:rPr>
          <w:spacing w:val="4"/>
          <w:sz w:val="18"/>
        </w:rPr>
        <w:t> </w:t>
      </w:r>
      <w:r>
        <w:rPr>
          <w:i/>
          <w:sz w:val="18"/>
        </w:rPr>
        <w:t>se</w:t>
      </w:r>
      <w:r>
        <w:rPr>
          <w:i/>
          <w:spacing w:val="1"/>
          <w:sz w:val="18"/>
        </w:rPr>
        <w:t>l</w:t>
      </w:r>
      <w:r>
        <w:rPr>
          <w:i/>
          <w:sz w:val="18"/>
        </w:rPr>
        <w:t>ecti</w:t>
      </w:r>
      <w:r>
        <w:rPr>
          <w:i/>
          <w:spacing w:val="-1"/>
          <w:sz w:val="18"/>
        </w:rPr>
        <w:t>v</w:t>
      </w:r>
      <w:r>
        <w:rPr>
          <w:i/>
          <w:sz w:val="18"/>
        </w:rPr>
        <w:t>e</w:t>
      </w:r>
      <w:r>
        <w:rPr>
          <w:i/>
          <w:spacing w:val="-1"/>
          <w:sz w:val="18"/>
        </w:rPr>
        <w:t> </w:t>
      </w:r>
      <w:r>
        <w:rPr>
          <w:i/>
          <w:sz w:val="18"/>
        </w:rPr>
        <w:t>a</w:t>
      </w:r>
      <w:r>
        <w:rPr>
          <w:i/>
          <w:spacing w:val="-1"/>
          <w:sz w:val="18"/>
        </w:rPr>
        <w:t>v</w:t>
      </w:r>
      <w:r>
        <w:rPr>
          <w:i/>
          <w:sz w:val="18"/>
        </w:rPr>
        <w:t>ailab</w:t>
      </w:r>
      <w:r>
        <w:rPr>
          <w:i/>
          <w:spacing w:val="1"/>
          <w:sz w:val="18"/>
        </w:rPr>
        <w:t>i</w:t>
      </w:r>
      <w:r>
        <w:rPr>
          <w:i/>
          <w:spacing w:val="-2"/>
          <w:sz w:val="18"/>
        </w:rPr>
        <w:t>l</w:t>
      </w:r>
      <w:r>
        <w:rPr>
          <w:i/>
          <w:sz w:val="18"/>
        </w:rPr>
        <w:t>it</w:t>
      </w:r>
      <w:r>
        <w:rPr>
          <w:i/>
          <w:spacing w:val="-2"/>
          <w:sz w:val="18"/>
        </w:rPr>
        <w:t>y</w:t>
      </w:r>
      <w:r>
        <w:rPr>
          <w:i/>
          <w:w w:val="99"/>
          <w:position w:val="6"/>
          <w:sz w:val="8"/>
        </w:rPr>
        <w:t>52</w:t>
      </w:r>
      <w:r>
        <w:rPr>
          <w:i/>
          <w:position w:val="6"/>
          <w:sz w:val="8"/>
        </w:rPr>
        <w:t> </w:t>
      </w:r>
      <w:r>
        <w:rPr>
          <w:i/>
          <w:spacing w:val="6"/>
          <w:position w:val="6"/>
          <w:sz w:val="8"/>
        </w:rPr>
        <w:t> </w:t>
      </w:r>
      <w:r>
        <w:rPr>
          <w:sz w:val="18"/>
        </w:rPr>
        <w:t>i 2000 gjorde, at det civile, åbne GPS-signal blev</w:t>
      </w:r>
      <w:r>
        <w:rPr>
          <w:spacing w:val="-13"/>
          <w:sz w:val="18"/>
        </w:rPr>
        <w:t> </w:t>
      </w:r>
      <w:r>
        <w:rPr>
          <w:sz w:val="18"/>
        </w:rPr>
        <w:t>ikke-eksklusivt.</w:t>
      </w:r>
    </w:p>
    <w:p>
      <w:pPr>
        <w:pStyle w:val="ListParagraph"/>
        <w:numPr>
          <w:ilvl w:val="0"/>
          <w:numId w:val="11"/>
        </w:numPr>
        <w:tabs>
          <w:tab w:pos="1102" w:val="left" w:leader="none"/>
        </w:tabs>
        <w:spacing w:line="240" w:lineRule="auto" w:before="5" w:after="0"/>
        <w:ind w:left="1102" w:right="0" w:hanging="360"/>
        <w:jc w:val="left"/>
        <w:rPr>
          <w:sz w:val="18"/>
        </w:rPr>
      </w:pPr>
      <w:r>
        <w:rPr>
          <w:sz w:val="18"/>
        </w:rPr>
        <w:t>En agents brug ændrer ikke en anden agents adgang til godet</w:t>
      </w:r>
      <w:r>
        <w:rPr>
          <w:spacing w:val="-12"/>
          <w:sz w:val="18"/>
        </w:rPr>
        <w:t> </w:t>
      </w:r>
      <w:r>
        <w:rPr>
          <w:sz w:val="18"/>
        </w:rPr>
        <w:t>(ikke-rivaliseret).</w:t>
      </w:r>
    </w:p>
    <w:p>
      <w:pPr>
        <w:pStyle w:val="ListParagraph"/>
        <w:numPr>
          <w:ilvl w:val="1"/>
          <w:numId w:val="11"/>
        </w:numPr>
        <w:tabs>
          <w:tab w:pos="1421" w:val="left" w:leader="none"/>
          <w:tab w:pos="1422" w:val="left" w:leader="none"/>
        </w:tabs>
        <w:spacing w:line="261" w:lineRule="auto" w:before="22" w:after="0"/>
        <w:ind w:left="1421" w:right="1145" w:hanging="339"/>
        <w:jc w:val="left"/>
        <w:rPr>
          <w:sz w:val="18"/>
        </w:rPr>
      </w:pPr>
      <w:r>
        <w:rPr>
          <w:sz w:val="18"/>
        </w:rPr>
        <w:t>Satellitterne er bygget til at udsende et signal. Fordi der er envejskommunikation fra</w:t>
      </w:r>
      <w:r>
        <w:rPr>
          <w:spacing w:val="-44"/>
          <w:sz w:val="18"/>
        </w:rPr>
        <w:t> </w:t>
      </w:r>
      <w:r>
        <w:rPr>
          <w:sz w:val="18"/>
        </w:rPr>
        <w:t>satellit til bruger, er der ingen risiko for, at signalet</w:t>
      </w:r>
      <w:r>
        <w:rPr>
          <w:spacing w:val="-11"/>
          <w:sz w:val="18"/>
        </w:rPr>
        <w:t> </w:t>
      </w:r>
      <w:r>
        <w:rPr>
          <w:sz w:val="18"/>
        </w:rPr>
        <w:t>degraderer.</w:t>
      </w:r>
    </w:p>
    <w:p>
      <w:pPr>
        <w:pStyle w:val="BodyText"/>
        <w:spacing w:before="10"/>
        <w:rPr>
          <w:sz w:val="19"/>
        </w:rPr>
      </w:pPr>
    </w:p>
    <w:p>
      <w:pPr>
        <w:pStyle w:val="BodyText"/>
        <w:spacing w:line="264" w:lineRule="auto"/>
        <w:ind w:left="742" w:right="1158"/>
      </w:pPr>
      <w:r>
        <w:rPr/>
        <w:t>At GNSS er et offentligt gode betyder imidlertid, at samfundsøkonomiske gevinster er svære at identificere og beregne, og ethvert forsøg vil formodentlig resultere i et underestimat, simpelthen fordi ikke alle innovative anvendelser af GNSS kendes. Gevinsterne ved GNSS findes i særdeles høj</w:t>
      </w: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056;mso-wrap-distance-left:0;mso-wrap-distance-right:0" from="85.103996pt,10.21109pt" to="229.123996pt,10.21109pt" stroked="true" strokeweight=".48004pt" strokecolor="#000000">
            <v:stroke dashstyle="solid"/>
            <w10:wrap type="topAndBottom"/>
          </v:line>
        </w:pict>
      </w:r>
    </w:p>
    <w:p>
      <w:pPr>
        <w:spacing w:line="316" w:lineRule="auto" w:before="99"/>
        <w:ind w:left="742" w:right="1043" w:firstLine="0"/>
        <w:jc w:val="left"/>
        <w:rPr>
          <w:sz w:val="13"/>
        </w:rPr>
      </w:pPr>
      <w:r>
        <w:rPr>
          <w:position w:val="6"/>
          <w:sz w:val="8"/>
        </w:rPr>
        <w:t>49 </w:t>
      </w:r>
      <w:r>
        <w:rPr>
          <w:sz w:val="13"/>
        </w:rPr>
        <w:t>Navipedia (2011) </w:t>
      </w:r>
      <w:r>
        <w:rPr>
          <w:i/>
          <w:sz w:val="13"/>
        </w:rPr>
        <w:t>EGNOS Ground Segment, </w:t>
      </w:r>
      <w:r>
        <w:rPr>
          <w:sz w:val="13"/>
        </w:rPr>
        <w:t>tilgængelig her: </w:t>
      </w:r>
      <w:hyperlink r:id="rId74">
        <w:r>
          <w:rPr>
            <w:color w:val="009DDF"/>
            <w:sz w:val="13"/>
          </w:rPr>
          <w:t>http://www.navipedia.net/index.php/EGNOS_Ground_Segment </w:t>
        </w:r>
      </w:hyperlink>
      <w:r>
        <w:rPr>
          <w:sz w:val="13"/>
        </w:rPr>
        <w:t>(tilgået 19. april 2016).</w:t>
      </w:r>
    </w:p>
    <w:p>
      <w:pPr>
        <w:spacing w:line="161" w:lineRule="exact" w:before="0"/>
        <w:ind w:left="742" w:right="0" w:firstLine="0"/>
        <w:jc w:val="left"/>
        <w:rPr>
          <w:sz w:val="13"/>
        </w:rPr>
      </w:pPr>
      <w:r>
        <w:rPr>
          <w:position w:val="6"/>
          <w:sz w:val="8"/>
        </w:rPr>
        <w:t>50 </w:t>
      </w:r>
      <w:r>
        <w:rPr>
          <w:sz w:val="13"/>
        </w:rPr>
        <w:t>Quasi-Zenith Satellite System.</w:t>
      </w:r>
    </w:p>
    <w:p>
      <w:pPr>
        <w:spacing w:before="41"/>
        <w:ind w:left="742" w:right="0" w:firstLine="0"/>
        <w:jc w:val="left"/>
        <w:rPr>
          <w:i/>
          <w:sz w:val="13"/>
        </w:rPr>
      </w:pPr>
      <w:r>
        <w:rPr>
          <w:position w:val="6"/>
          <w:sz w:val="8"/>
        </w:rPr>
        <w:t>51 </w:t>
      </w:r>
      <w:r>
        <w:rPr>
          <w:sz w:val="13"/>
        </w:rPr>
        <w:t>Danmarks Statistik (2015) </w:t>
      </w:r>
      <w:r>
        <w:rPr>
          <w:i/>
          <w:sz w:val="13"/>
        </w:rPr>
        <w:t>It-anvendelse i befolkningen.</w:t>
      </w:r>
    </w:p>
    <w:p>
      <w:pPr>
        <w:spacing w:line="316" w:lineRule="auto" w:before="43"/>
        <w:ind w:left="742" w:right="1228" w:firstLine="0"/>
        <w:jc w:val="left"/>
        <w:rPr>
          <w:sz w:val="13"/>
        </w:rPr>
      </w:pPr>
      <w:r>
        <w:rPr>
          <w:position w:val="6"/>
          <w:sz w:val="8"/>
        </w:rPr>
        <w:t>52 </w:t>
      </w:r>
      <w:r>
        <w:rPr>
          <w:sz w:val="13"/>
        </w:rPr>
        <w:t>Selective availability tillod det amerikanske forsvar at forringe kvaliteten af det civile GPS-signal i konfliktzoner og derved have fordel af asymmetriske navigations- og positionstjenester. Selective availability er ikke muligt på GPS III-satellitterne.</w:t>
      </w:r>
    </w:p>
    <w:p>
      <w:pPr>
        <w:spacing w:after="0" w:line="316" w:lineRule="auto"/>
        <w:jc w:val="left"/>
        <w:rPr>
          <w:sz w:val="13"/>
        </w:rPr>
        <w:sectPr>
          <w:pgSz w:w="11910" w:h="16840"/>
          <w:pgMar w:header="0" w:footer="1056" w:top="1580" w:bottom="1240" w:left="960" w:right="0"/>
        </w:sectPr>
      </w:pPr>
    </w:p>
    <w:p>
      <w:pPr>
        <w:pStyle w:val="BodyText"/>
        <w:spacing w:line="264" w:lineRule="auto" w:before="126"/>
        <w:ind w:left="742" w:right="1294"/>
        <w:rPr>
          <w:sz w:val="8"/>
        </w:rPr>
      </w:pPr>
      <w:r>
        <w:rPr/>
        <w:t>grad i form af </w:t>
      </w:r>
      <w:r>
        <w:rPr>
          <w:b/>
        </w:rPr>
        <w:t>afsmittende effekter</w:t>
      </w:r>
      <w:r>
        <w:rPr/>
        <w:t>. Beslutningen om at slukke selective availability i 2000 var i høj grad influeret af de forventede produktivitetsgevinster og besparelser, den ville medføre.</w:t>
      </w:r>
      <w:r>
        <w:rPr>
          <w:w w:val="99"/>
          <w:position w:val="6"/>
          <w:sz w:val="8"/>
        </w:rPr>
        <w:t>53</w:t>
      </w:r>
    </w:p>
    <w:p>
      <w:pPr>
        <w:pStyle w:val="BodyText"/>
        <w:spacing w:before="8"/>
        <w:rPr>
          <w:sz w:val="19"/>
        </w:rPr>
      </w:pPr>
    </w:p>
    <w:p>
      <w:pPr>
        <w:pStyle w:val="BodyText"/>
        <w:spacing w:line="264" w:lineRule="auto"/>
        <w:ind w:left="742" w:right="1229"/>
      </w:pPr>
      <w:r>
        <w:rPr/>
        <w:t>Samfundsøkonomiske gevinster ved GNSS kan estimeres i forhold til, hvem der opnår gevinsten (bruger eller samfund), og hvilken type gevinst der er tale om (tidsbesparing, produktivitetsgevin- ster, miljøeksternaliteter og reddede liv). Beregning af de samfundsøkonomiske gevinster ved GNSS er en omfattende øvelse og uden for rammerne af denne rapport. I stedet præsenteres i</w:t>
      </w:r>
      <w:hyperlink w:history="true" w:anchor="_bookmark32">
        <w:r>
          <w:rPr/>
          <w:t> tabel 10 </w:t>
        </w:r>
      </w:hyperlink>
      <w:r>
        <w:rPr/>
        <w:t>en nylig amerikansk beregning af gevinsterne ved GPS,</w:t>
      </w:r>
      <w:r>
        <w:rPr>
          <w:w w:val="99"/>
          <w:position w:val="6"/>
          <w:sz w:val="8"/>
        </w:rPr>
        <w:t>54</w:t>
      </w:r>
      <w:r>
        <w:rPr>
          <w:position w:val="6"/>
          <w:sz w:val="8"/>
        </w:rPr>
        <w:t>  </w:t>
      </w:r>
      <w:r>
        <w:rPr/>
        <w:t>med de amerikanske tal justeret til danske forhold baseret på fordelingsnøglerne i tabellen. Grundet den betydelige usikkerhed ved konvertering til danske tal præsenteres kun midtpunktet af de amerikanske beregninger, som er konverteret til danske forhold. At tabellen viser et udsnit af GPS-gevinster (yderligere dimensioner er beskrevet i </w:t>
      </w:r>
      <w:hyperlink w:history="true" w:anchor="_bookmark46">
        <w:r>
          <w:rPr/>
          <w:t>tabel 12</w:t>
        </w:r>
      </w:hyperlink>
      <w:r>
        <w:rPr/>
        <w:t>) indikerer, at det samlede tal i alle tilfælde med rimelighed kan betragtes som en nedre grænse.</w:t>
      </w:r>
    </w:p>
    <w:p>
      <w:pPr>
        <w:spacing w:before="139"/>
        <w:ind w:left="175" w:right="0" w:firstLine="0"/>
        <w:jc w:val="left"/>
        <w:rPr>
          <w:b/>
          <w:sz w:val="15"/>
        </w:rPr>
      </w:pPr>
      <w:bookmarkStart w:name="_bookmark32" w:id="33"/>
      <w:bookmarkEnd w:id="33"/>
      <w:r>
        <w:rPr/>
      </w:r>
      <w:r>
        <w:rPr>
          <w:b/>
          <w:color w:val="009DDF"/>
          <w:sz w:val="15"/>
        </w:rPr>
        <w:t>Tabel 10. Samfundsøkonomiske gevinster ved GPS</w:t>
      </w:r>
    </w:p>
    <w:p>
      <w:pPr>
        <w:pStyle w:val="BodyText"/>
        <w:spacing w:before="1"/>
        <w:rPr>
          <w:b/>
          <w:sz w:val="9"/>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1608"/>
        <w:gridCol w:w="975"/>
        <w:gridCol w:w="5365"/>
        <w:gridCol w:w="1049"/>
        <w:gridCol w:w="1117"/>
      </w:tblGrid>
      <w:tr>
        <w:trPr>
          <w:trHeight w:val="465" w:hRule="atLeast"/>
        </w:trPr>
        <w:tc>
          <w:tcPr>
            <w:tcW w:w="1608" w:type="dxa"/>
            <w:tcBorders>
              <w:top w:val="nil"/>
              <w:left w:val="nil"/>
              <w:bottom w:val="nil"/>
              <w:right w:val="nil"/>
            </w:tcBorders>
            <w:shd w:val="clear" w:color="auto" w:fill="A7D2F5"/>
          </w:tcPr>
          <w:p>
            <w:pPr>
              <w:pStyle w:val="TableParagraph"/>
              <w:spacing w:before="52"/>
              <w:ind w:left="115"/>
              <w:rPr>
                <w:b/>
                <w:sz w:val="14"/>
              </w:rPr>
            </w:pPr>
            <w:r>
              <w:rPr>
                <w:b/>
                <w:color w:val="FFFFFF"/>
                <w:sz w:val="14"/>
              </w:rPr>
              <w:t>Sektor (2013)</w:t>
            </w:r>
          </w:p>
        </w:tc>
        <w:tc>
          <w:tcPr>
            <w:tcW w:w="975" w:type="dxa"/>
            <w:tcBorders>
              <w:top w:val="nil"/>
              <w:left w:val="nil"/>
              <w:bottom w:val="nil"/>
              <w:right w:val="nil"/>
            </w:tcBorders>
            <w:shd w:val="clear" w:color="auto" w:fill="A7D2F5"/>
          </w:tcPr>
          <w:p>
            <w:pPr>
              <w:pStyle w:val="TableParagraph"/>
              <w:spacing w:before="52"/>
              <w:ind w:left="158" w:right="137"/>
              <w:jc w:val="center"/>
              <w:rPr>
                <w:b/>
                <w:sz w:val="14"/>
              </w:rPr>
            </w:pPr>
            <w:r>
              <w:rPr>
                <w:b/>
                <w:color w:val="FFFFFF"/>
                <w:sz w:val="14"/>
              </w:rPr>
              <w:t>USA*</w:t>
            </w:r>
          </w:p>
          <w:p>
            <w:pPr>
              <w:pStyle w:val="TableParagraph"/>
              <w:spacing w:before="14"/>
              <w:ind w:left="158" w:right="137"/>
              <w:jc w:val="center"/>
              <w:rPr>
                <w:b/>
                <w:sz w:val="14"/>
              </w:rPr>
            </w:pPr>
            <w:r>
              <w:rPr>
                <w:b/>
                <w:color w:val="FFFFFF"/>
                <w:sz w:val="14"/>
              </w:rPr>
              <w:t>(mia. $)</w:t>
            </w:r>
          </w:p>
        </w:tc>
        <w:tc>
          <w:tcPr>
            <w:tcW w:w="5365" w:type="dxa"/>
            <w:tcBorders>
              <w:top w:val="nil"/>
              <w:left w:val="nil"/>
              <w:bottom w:val="nil"/>
              <w:right w:val="nil"/>
            </w:tcBorders>
            <w:shd w:val="clear" w:color="auto" w:fill="A7D2F5"/>
          </w:tcPr>
          <w:p>
            <w:pPr>
              <w:pStyle w:val="TableParagraph"/>
              <w:spacing w:before="52"/>
              <w:ind w:left="177"/>
              <w:rPr>
                <w:b/>
                <w:sz w:val="14"/>
              </w:rPr>
            </w:pPr>
            <w:r>
              <w:rPr>
                <w:b/>
                <w:color w:val="FFFFFF"/>
                <w:sz w:val="14"/>
              </w:rPr>
              <w:t>Antagelse, fordelingsnøgle</w:t>
            </w:r>
          </w:p>
        </w:tc>
        <w:tc>
          <w:tcPr>
            <w:tcW w:w="1049" w:type="dxa"/>
            <w:tcBorders>
              <w:top w:val="nil"/>
              <w:left w:val="nil"/>
              <w:bottom w:val="nil"/>
              <w:right w:val="nil"/>
            </w:tcBorders>
            <w:shd w:val="clear" w:color="auto" w:fill="A7D2F5"/>
          </w:tcPr>
          <w:p>
            <w:pPr>
              <w:pStyle w:val="TableParagraph"/>
              <w:spacing w:before="52"/>
              <w:ind w:left="126" w:right="103"/>
              <w:jc w:val="center"/>
              <w:rPr>
                <w:b/>
                <w:sz w:val="14"/>
              </w:rPr>
            </w:pPr>
            <w:r>
              <w:rPr>
                <w:b/>
                <w:color w:val="FFFFFF"/>
                <w:sz w:val="14"/>
              </w:rPr>
              <w:t>USA </w:t>
            </w:r>
            <w:r>
              <w:rPr>
                <w:rFonts w:ascii="Wingdings" w:hAnsi="Wingdings"/>
                <w:b/>
                <w:color w:val="FFFFFF"/>
                <w:sz w:val="14"/>
              </w:rPr>
              <w:t></w:t>
            </w:r>
            <w:r>
              <w:rPr>
                <w:rFonts w:ascii="Times New Roman" w:hAnsi="Times New Roman"/>
                <w:b/>
                <w:color w:val="FFFFFF"/>
                <w:sz w:val="14"/>
              </w:rPr>
              <w:t> </w:t>
            </w:r>
            <w:r>
              <w:rPr>
                <w:b/>
                <w:color w:val="FFFFFF"/>
                <w:sz w:val="14"/>
              </w:rPr>
              <w:t>DK</w:t>
            </w:r>
          </w:p>
        </w:tc>
        <w:tc>
          <w:tcPr>
            <w:tcW w:w="1117" w:type="dxa"/>
            <w:tcBorders>
              <w:top w:val="nil"/>
              <w:left w:val="nil"/>
              <w:bottom w:val="nil"/>
              <w:right w:val="nil"/>
            </w:tcBorders>
            <w:shd w:val="clear" w:color="auto" w:fill="A7D2F5"/>
          </w:tcPr>
          <w:p>
            <w:pPr>
              <w:pStyle w:val="TableParagraph"/>
              <w:spacing w:before="52"/>
              <w:ind w:left="118" w:right="82"/>
              <w:jc w:val="center"/>
              <w:rPr>
                <w:b/>
                <w:sz w:val="14"/>
              </w:rPr>
            </w:pPr>
            <w:r>
              <w:rPr>
                <w:b/>
                <w:color w:val="FFFFFF"/>
                <w:sz w:val="14"/>
              </w:rPr>
              <w:t>DK</w:t>
            </w:r>
          </w:p>
          <w:p>
            <w:pPr>
              <w:pStyle w:val="TableParagraph"/>
              <w:spacing w:before="14"/>
              <w:ind w:left="118" w:right="84"/>
              <w:jc w:val="center"/>
              <w:rPr>
                <w:b/>
                <w:sz w:val="14"/>
              </w:rPr>
            </w:pPr>
            <w:r>
              <w:rPr>
                <w:b/>
                <w:color w:val="FFFFFF"/>
                <w:sz w:val="14"/>
              </w:rPr>
              <w:t>(mio. DKK)</w:t>
            </w:r>
          </w:p>
        </w:tc>
      </w:tr>
      <w:tr>
        <w:trPr>
          <w:trHeight w:val="827" w:hRule="atLeast"/>
        </w:trPr>
        <w:tc>
          <w:tcPr>
            <w:tcW w:w="1608" w:type="dxa"/>
            <w:tcBorders>
              <w:right w:val="nil"/>
            </w:tcBorders>
          </w:tcPr>
          <w:p>
            <w:pPr>
              <w:pStyle w:val="TableParagraph"/>
              <w:spacing w:line="264" w:lineRule="auto" w:before="39"/>
              <w:ind w:left="105" w:right="322"/>
              <w:rPr>
                <w:sz w:val="14"/>
              </w:rPr>
            </w:pPr>
            <w:r>
              <w:rPr>
                <w:w w:val="95"/>
                <w:sz w:val="14"/>
              </w:rPr>
              <w:t>Præcisionsland- </w:t>
            </w:r>
            <w:r>
              <w:rPr>
                <w:sz w:val="14"/>
              </w:rPr>
              <w:t>brug (korn)</w:t>
            </w:r>
          </w:p>
        </w:tc>
        <w:tc>
          <w:tcPr>
            <w:tcW w:w="975" w:type="dxa"/>
            <w:tcBorders>
              <w:left w:val="nil"/>
              <w:right w:val="nil"/>
            </w:tcBorders>
          </w:tcPr>
          <w:p>
            <w:pPr>
              <w:pStyle w:val="TableParagraph"/>
              <w:spacing w:before="39"/>
              <w:ind w:left="158" w:right="135"/>
              <w:jc w:val="center"/>
              <w:rPr>
                <w:sz w:val="14"/>
              </w:rPr>
            </w:pPr>
            <w:r>
              <w:rPr>
                <w:sz w:val="14"/>
              </w:rPr>
              <w:t>13.7</w:t>
            </w:r>
          </w:p>
        </w:tc>
        <w:tc>
          <w:tcPr>
            <w:tcW w:w="5365" w:type="dxa"/>
            <w:tcBorders>
              <w:left w:val="nil"/>
              <w:right w:val="nil"/>
            </w:tcBorders>
          </w:tcPr>
          <w:p>
            <w:pPr>
              <w:pStyle w:val="TableParagraph"/>
              <w:spacing w:line="264" w:lineRule="auto" w:before="39"/>
              <w:ind w:left="177" w:right="219"/>
              <w:rPr>
                <w:sz w:val="14"/>
              </w:rPr>
            </w:pPr>
            <w:r>
              <w:rPr>
                <w:sz w:val="14"/>
              </w:rPr>
              <w:t>Halvdelen af arealer med korndyrkning. Leveson betragter kun store landbrug med mindst 250 mio. $ i omsætning på korn. Meget få land- brug i Danmark kommer nær den omsætning. Ikke desto mindre bi- drager GNSS også på mindre danske landbrug.</w:t>
            </w:r>
          </w:p>
        </w:tc>
        <w:tc>
          <w:tcPr>
            <w:tcW w:w="1049" w:type="dxa"/>
            <w:tcBorders>
              <w:left w:val="nil"/>
              <w:right w:val="nil"/>
            </w:tcBorders>
          </w:tcPr>
          <w:p>
            <w:pPr>
              <w:pStyle w:val="TableParagraph"/>
              <w:spacing w:before="39"/>
              <w:ind w:left="125" w:right="103"/>
              <w:jc w:val="center"/>
              <w:rPr>
                <w:sz w:val="14"/>
              </w:rPr>
            </w:pPr>
            <w:r>
              <w:rPr>
                <w:sz w:val="14"/>
              </w:rPr>
              <w:t>1,2 %</w:t>
            </w:r>
          </w:p>
        </w:tc>
        <w:tc>
          <w:tcPr>
            <w:tcW w:w="1117" w:type="dxa"/>
            <w:tcBorders>
              <w:left w:val="nil"/>
            </w:tcBorders>
          </w:tcPr>
          <w:p>
            <w:pPr>
              <w:pStyle w:val="TableParagraph"/>
              <w:spacing w:before="39"/>
              <w:ind w:left="257" w:right="210"/>
              <w:jc w:val="center"/>
              <w:rPr>
                <w:sz w:val="14"/>
              </w:rPr>
            </w:pPr>
            <w:r>
              <w:rPr>
                <w:sz w:val="14"/>
              </w:rPr>
              <w:t>1.050,9</w:t>
            </w:r>
          </w:p>
        </w:tc>
      </w:tr>
      <w:tr>
        <w:trPr>
          <w:trHeight w:val="455" w:hRule="atLeast"/>
        </w:trPr>
        <w:tc>
          <w:tcPr>
            <w:tcW w:w="1608" w:type="dxa"/>
            <w:tcBorders>
              <w:right w:val="nil"/>
            </w:tcBorders>
          </w:tcPr>
          <w:p>
            <w:pPr>
              <w:pStyle w:val="TableParagraph"/>
              <w:spacing w:line="261" w:lineRule="auto" w:before="41"/>
              <w:ind w:left="105" w:right="322"/>
              <w:rPr>
                <w:sz w:val="14"/>
              </w:rPr>
            </w:pPr>
            <w:r>
              <w:rPr>
                <w:sz w:val="14"/>
              </w:rPr>
              <w:t>Bygge og Anlæg (maskinstyring)</w:t>
            </w:r>
          </w:p>
        </w:tc>
        <w:tc>
          <w:tcPr>
            <w:tcW w:w="975" w:type="dxa"/>
            <w:tcBorders>
              <w:left w:val="nil"/>
              <w:right w:val="nil"/>
            </w:tcBorders>
          </w:tcPr>
          <w:p>
            <w:pPr>
              <w:pStyle w:val="TableParagraph"/>
              <w:spacing w:before="41"/>
              <w:ind w:left="25"/>
              <w:jc w:val="center"/>
              <w:rPr>
                <w:sz w:val="14"/>
              </w:rPr>
            </w:pPr>
            <w:r>
              <w:rPr>
                <w:w w:val="99"/>
                <w:sz w:val="14"/>
              </w:rPr>
              <w:t>5</w:t>
            </w:r>
          </w:p>
        </w:tc>
        <w:tc>
          <w:tcPr>
            <w:tcW w:w="5365" w:type="dxa"/>
            <w:tcBorders>
              <w:left w:val="nil"/>
              <w:right w:val="nil"/>
            </w:tcBorders>
          </w:tcPr>
          <w:p>
            <w:pPr>
              <w:pStyle w:val="TableParagraph"/>
              <w:spacing w:line="261" w:lineRule="auto" w:before="41"/>
              <w:ind w:left="177"/>
              <w:rPr>
                <w:sz w:val="14"/>
              </w:rPr>
            </w:pPr>
            <w:r>
              <w:rPr>
                <w:sz w:val="14"/>
              </w:rPr>
              <w:t>Værdi af nybyggeri antages at kunne bruges som nøgle til fordeling af gevinster ved maskinstyring</w:t>
            </w:r>
          </w:p>
        </w:tc>
        <w:tc>
          <w:tcPr>
            <w:tcW w:w="1049" w:type="dxa"/>
            <w:tcBorders>
              <w:left w:val="nil"/>
              <w:right w:val="nil"/>
            </w:tcBorders>
          </w:tcPr>
          <w:p>
            <w:pPr>
              <w:pStyle w:val="TableParagraph"/>
              <w:spacing w:before="41"/>
              <w:ind w:left="125" w:right="103"/>
              <w:jc w:val="center"/>
              <w:rPr>
                <w:sz w:val="14"/>
              </w:rPr>
            </w:pPr>
            <w:r>
              <w:rPr>
                <w:sz w:val="14"/>
              </w:rPr>
              <w:t>0,9 %</w:t>
            </w:r>
          </w:p>
        </w:tc>
        <w:tc>
          <w:tcPr>
            <w:tcW w:w="1117" w:type="dxa"/>
            <w:tcBorders>
              <w:left w:val="nil"/>
            </w:tcBorders>
          </w:tcPr>
          <w:p>
            <w:pPr>
              <w:pStyle w:val="TableParagraph"/>
              <w:spacing w:before="41"/>
              <w:ind w:left="257" w:right="210"/>
              <w:jc w:val="center"/>
              <w:rPr>
                <w:sz w:val="14"/>
              </w:rPr>
            </w:pPr>
            <w:r>
              <w:rPr>
                <w:sz w:val="14"/>
              </w:rPr>
              <w:t>279,9</w:t>
            </w:r>
          </w:p>
        </w:tc>
      </w:tr>
      <w:tr>
        <w:trPr>
          <w:trHeight w:val="642" w:hRule="atLeast"/>
        </w:trPr>
        <w:tc>
          <w:tcPr>
            <w:tcW w:w="1608" w:type="dxa"/>
            <w:tcBorders>
              <w:right w:val="nil"/>
            </w:tcBorders>
          </w:tcPr>
          <w:p>
            <w:pPr>
              <w:pStyle w:val="TableParagraph"/>
              <w:spacing w:before="39"/>
              <w:ind w:left="105"/>
              <w:rPr>
                <w:sz w:val="14"/>
              </w:rPr>
            </w:pPr>
            <w:r>
              <w:rPr>
                <w:sz w:val="14"/>
              </w:rPr>
              <w:t>Landmåling</w:t>
            </w:r>
          </w:p>
        </w:tc>
        <w:tc>
          <w:tcPr>
            <w:tcW w:w="975" w:type="dxa"/>
            <w:tcBorders>
              <w:left w:val="nil"/>
              <w:right w:val="nil"/>
            </w:tcBorders>
          </w:tcPr>
          <w:p>
            <w:pPr>
              <w:pStyle w:val="TableParagraph"/>
              <w:spacing w:before="39"/>
              <w:ind w:left="158" w:right="135"/>
              <w:jc w:val="center"/>
              <w:rPr>
                <w:sz w:val="14"/>
              </w:rPr>
            </w:pPr>
            <w:r>
              <w:rPr>
                <w:sz w:val="14"/>
              </w:rPr>
              <w:t>11.6</w:t>
            </w:r>
          </w:p>
        </w:tc>
        <w:tc>
          <w:tcPr>
            <w:tcW w:w="5365" w:type="dxa"/>
            <w:tcBorders>
              <w:left w:val="nil"/>
              <w:right w:val="nil"/>
            </w:tcBorders>
          </w:tcPr>
          <w:p>
            <w:pPr>
              <w:pStyle w:val="TableParagraph"/>
              <w:spacing w:line="264" w:lineRule="auto" w:before="39"/>
              <w:ind w:left="177" w:right="127"/>
              <w:rPr>
                <w:sz w:val="14"/>
              </w:rPr>
            </w:pPr>
            <w:r>
              <w:rPr>
                <w:sz w:val="14"/>
              </w:rPr>
              <w:t>Antal landmålere er ikke tilgængelig for Danmark, så det antages at der er i Danmark er ca. 66 % af antallet af landmålere i Sverige, og</w:t>
            </w:r>
            <w:r>
              <w:rPr>
                <w:spacing w:val="-31"/>
                <w:sz w:val="14"/>
              </w:rPr>
              <w:t> </w:t>
            </w:r>
            <w:r>
              <w:rPr>
                <w:sz w:val="14"/>
              </w:rPr>
              <w:t>det antages endvidere, at landmålere er en god</w:t>
            </w:r>
            <w:r>
              <w:rPr>
                <w:spacing w:val="-10"/>
                <w:sz w:val="14"/>
              </w:rPr>
              <w:t> </w:t>
            </w:r>
            <w:r>
              <w:rPr>
                <w:sz w:val="14"/>
              </w:rPr>
              <w:t>fordelingsnøgle.</w:t>
            </w:r>
          </w:p>
        </w:tc>
        <w:tc>
          <w:tcPr>
            <w:tcW w:w="1049" w:type="dxa"/>
            <w:tcBorders>
              <w:left w:val="nil"/>
              <w:right w:val="nil"/>
            </w:tcBorders>
          </w:tcPr>
          <w:p>
            <w:pPr>
              <w:pStyle w:val="TableParagraph"/>
              <w:spacing w:before="39"/>
              <w:ind w:left="125" w:right="103"/>
              <w:jc w:val="center"/>
              <w:rPr>
                <w:sz w:val="14"/>
              </w:rPr>
            </w:pPr>
            <w:r>
              <w:rPr>
                <w:sz w:val="14"/>
              </w:rPr>
              <w:t>2,3 %</w:t>
            </w:r>
          </w:p>
        </w:tc>
        <w:tc>
          <w:tcPr>
            <w:tcW w:w="1117" w:type="dxa"/>
            <w:tcBorders>
              <w:left w:val="nil"/>
            </w:tcBorders>
          </w:tcPr>
          <w:p>
            <w:pPr>
              <w:pStyle w:val="TableParagraph"/>
              <w:spacing w:before="39"/>
              <w:ind w:left="257" w:right="210"/>
              <w:jc w:val="center"/>
              <w:rPr>
                <w:sz w:val="14"/>
              </w:rPr>
            </w:pPr>
            <w:r>
              <w:rPr>
                <w:sz w:val="14"/>
              </w:rPr>
              <w:t>1.655,5</w:t>
            </w:r>
          </w:p>
        </w:tc>
      </w:tr>
      <w:tr>
        <w:trPr>
          <w:trHeight w:val="282" w:hRule="atLeast"/>
        </w:trPr>
        <w:tc>
          <w:tcPr>
            <w:tcW w:w="1608" w:type="dxa"/>
            <w:tcBorders>
              <w:right w:val="nil"/>
            </w:tcBorders>
          </w:tcPr>
          <w:p>
            <w:pPr>
              <w:pStyle w:val="TableParagraph"/>
              <w:spacing w:before="39"/>
              <w:ind w:left="105"/>
              <w:rPr>
                <w:sz w:val="14"/>
              </w:rPr>
            </w:pPr>
            <w:r>
              <w:rPr>
                <w:sz w:val="14"/>
              </w:rPr>
              <w:t>Lufttransport</w:t>
            </w:r>
          </w:p>
        </w:tc>
        <w:tc>
          <w:tcPr>
            <w:tcW w:w="975" w:type="dxa"/>
            <w:tcBorders>
              <w:left w:val="nil"/>
              <w:right w:val="nil"/>
            </w:tcBorders>
          </w:tcPr>
          <w:p>
            <w:pPr>
              <w:pStyle w:val="TableParagraph"/>
              <w:spacing w:before="39"/>
              <w:ind w:left="157" w:right="137"/>
              <w:jc w:val="center"/>
              <w:rPr>
                <w:sz w:val="14"/>
              </w:rPr>
            </w:pPr>
            <w:r>
              <w:rPr>
                <w:sz w:val="14"/>
              </w:rPr>
              <w:t>0,145</w:t>
            </w:r>
          </w:p>
        </w:tc>
        <w:tc>
          <w:tcPr>
            <w:tcW w:w="5365" w:type="dxa"/>
            <w:tcBorders>
              <w:left w:val="nil"/>
              <w:right w:val="nil"/>
            </w:tcBorders>
          </w:tcPr>
          <w:p>
            <w:pPr>
              <w:pStyle w:val="TableParagraph"/>
              <w:spacing w:before="39"/>
              <w:ind w:left="177"/>
              <w:rPr>
                <w:sz w:val="14"/>
              </w:rPr>
            </w:pPr>
            <w:r>
              <w:rPr>
                <w:sz w:val="14"/>
              </w:rPr>
              <w:t>Antal flyafgange og -ankomster i USA og Danmark</w:t>
            </w:r>
          </w:p>
        </w:tc>
        <w:tc>
          <w:tcPr>
            <w:tcW w:w="1049" w:type="dxa"/>
            <w:tcBorders>
              <w:left w:val="nil"/>
              <w:right w:val="nil"/>
            </w:tcBorders>
          </w:tcPr>
          <w:p>
            <w:pPr>
              <w:pStyle w:val="TableParagraph"/>
              <w:spacing w:before="39"/>
              <w:ind w:left="125" w:right="103"/>
              <w:jc w:val="center"/>
              <w:rPr>
                <w:sz w:val="14"/>
              </w:rPr>
            </w:pPr>
            <w:r>
              <w:rPr>
                <w:sz w:val="14"/>
              </w:rPr>
              <w:t>0,5 %</w:t>
            </w:r>
          </w:p>
        </w:tc>
        <w:tc>
          <w:tcPr>
            <w:tcW w:w="1117" w:type="dxa"/>
            <w:tcBorders>
              <w:left w:val="nil"/>
            </w:tcBorders>
          </w:tcPr>
          <w:p>
            <w:pPr>
              <w:pStyle w:val="TableParagraph"/>
              <w:spacing w:before="39"/>
              <w:ind w:left="257" w:right="210"/>
              <w:jc w:val="center"/>
              <w:rPr>
                <w:sz w:val="14"/>
              </w:rPr>
            </w:pPr>
            <w:r>
              <w:rPr>
                <w:sz w:val="14"/>
              </w:rPr>
              <w:t>4,3</w:t>
            </w:r>
          </w:p>
        </w:tc>
      </w:tr>
      <w:tr>
        <w:trPr>
          <w:trHeight w:val="642" w:hRule="atLeast"/>
        </w:trPr>
        <w:tc>
          <w:tcPr>
            <w:tcW w:w="1608" w:type="dxa"/>
            <w:tcBorders>
              <w:right w:val="nil"/>
            </w:tcBorders>
          </w:tcPr>
          <w:p>
            <w:pPr>
              <w:pStyle w:val="TableParagraph"/>
              <w:spacing w:before="41"/>
              <w:ind w:left="105"/>
              <w:rPr>
                <w:sz w:val="14"/>
              </w:rPr>
            </w:pPr>
            <w:r>
              <w:rPr>
                <w:sz w:val="14"/>
              </w:rPr>
              <w:t>Søtransport (kort)</w:t>
            </w:r>
          </w:p>
        </w:tc>
        <w:tc>
          <w:tcPr>
            <w:tcW w:w="975" w:type="dxa"/>
            <w:tcBorders>
              <w:left w:val="nil"/>
              <w:right w:val="nil"/>
            </w:tcBorders>
          </w:tcPr>
          <w:p>
            <w:pPr>
              <w:pStyle w:val="TableParagraph"/>
              <w:spacing w:before="41"/>
              <w:ind w:left="157" w:right="137"/>
              <w:jc w:val="center"/>
              <w:rPr>
                <w:sz w:val="14"/>
              </w:rPr>
            </w:pPr>
            <w:r>
              <w:rPr>
                <w:sz w:val="14"/>
              </w:rPr>
              <w:t>0,185</w:t>
            </w:r>
          </w:p>
        </w:tc>
        <w:tc>
          <w:tcPr>
            <w:tcW w:w="5365" w:type="dxa"/>
            <w:tcBorders>
              <w:left w:val="nil"/>
              <w:right w:val="nil"/>
            </w:tcBorders>
          </w:tcPr>
          <w:p>
            <w:pPr>
              <w:pStyle w:val="TableParagraph"/>
              <w:spacing w:line="261" w:lineRule="auto" w:before="41"/>
              <w:ind w:left="177" w:right="145"/>
              <w:rPr>
                <w:sz w:val="14"/>
              </w:rPr>
            </w:pPr>
            <w:r>
              <w:rPr>
                <w:sz w:val="14"/>
              </w:rPr>
              <w:t>Størrelsen af havområdet i de såkaldte Eksklusive Økonomiske Zoner (EØZ). Det antages endvidere, at det er rimeligt at inddrage Grønland og Færøernes EØZ.</w:t>
            </w:r>
          </w:p>
        </w:tc>
        <w:tc>
          <w:tcPr>
            <w:tcW w:w="1049" w:type="dxa"/>
            <w:tcBorders>
              <w:left w:val="nil"/>
              <w:right w:val="nil"/>
            </w:tcBorders>
          </w:tcPr>
          <w:p>
            <w:pPr>
              <w:pStyle w:val="TableParagraph"/>
              <w:spacing w:before="41"/>
              <w:ind w:left="126" w:right="101"/>
              <w:jc w:val="center"/>
              <w:rPr>
                <w:sz w:val="14"/>
              </w:rPr>
            </w:pPr>
            <w:r>
              <w:rPr>
                <w:sz w:val="14"/>
              </w:rPr>
              <w:t>42,0 %</w:t>
            </w:r>
          </w:p>
        </w:tc>
        <w:tc>
          <w:tcPr>
            <w:tcW w:w="1117" w:type="dxa"/>
            <w:tcBorders>
              <w:left w:val="nil"/>
            </w:tcBorders>
          </w:tcPr>
          <w:p>
            <w:pPr>
              <w:pStyle w:val="TableParagraph"/>
              <w:spacing w:before="41"/>
              <w:ind w:left="257" w:right="210"/>
              <w:jc w:val="center"/>
              <w:rPr>
                <w:sz w:val="14"/>
              </w:rPr>
            </w:pPr>
            <w:r>
              <w:rPr>
                <w:sz w:val="14"/>
              </w:rPr>
              <w:t>477,1</w:t>
            </w:r>
          </w:p>
        </w:tc>
      </w:tr>
      <w:tr>
        <w:trPr>
          <w:trHeight w:val="285" w:hRule="atLeast"/>
        </w:trPr>
        <w:tc>
          <w:tcPr>
            <w:tcW w:w="1608" w:type="dxa"/>
            <w:tcBorders>
              <w:right w:val="nil"/>
            </w:tcBorders>
          </w:tcPr>
          <w:p>
            <w:pPr>
              <w:pStyle w:val="TableParagraph"/>
              <w:spacing w:before="39"/>
              <w:ind w:left="105"/>
              <w:rPr>
                <w:sz w:val="14"/>
              </w:rPr>
            </w:pPr>
            <w:r>
              <w:rPr>
                <w:sz w:val="14"/>
              </w:rPr>
              <w:t>Flådestyring</w:t>
            </w:r>
          </w:p>
        </w:tc>
        <w:tc>
          <w:tcPr>
            <w:tcW w:w="975" w:type="dxa"/>
            <w:tcBorders>
              <w:left w:val="nil"/>
              <w:right w:val="nil"/>
            </w:tcBorders>
          </w:tcPr>
          <w:p>
            <w:pPr>
              <w:pStyle w:val="TableParagraph"/>
              <w:spacing w:before="39"/>
              <w:ind w:left="158" w:right="135"/>
              <w:jc w:val="center"/>
              <w:rPr>
                <w:sz w:val="14"/>
              </w:rPr>
            </w:pPr>
            <w:r>
              <w:rPr>
                <w:sz w:val="14"/>
              </w:rPr>
              <w:t>11.9</w:t>
            </w:r>
          </w:p>
        </w:tc>
        <w:tc>
          <w:tcPr>
            <w:tcW w:w="5365" w:type="dxa"/>
            <w:tcBorders>
              <w:left w:val="nil"/>
              <w:right w:val="nil"/>
            </w:tcBorders>
          </w:tcPr>
          <w:p>
            <w:pPr>
              <w:pStyle w:val="TableParagraph"/>
              <w:spacing w:before="39"/>
              <w:ind w:left="177"/>
              <w:rPr>
                <w:sz w:val="14"/>
              </w:rPr>
            </w:pPr>
            <w:r>
              <w:rPr>
                <w:sz w:val="14"/>
              </w:rPr>
              <w:t>Samlet antal køretøjer</w:t>
            </w:r>
          </w:p>
        </w:tc>
        <w:tc>
          <w:tcPr>
            <w:tcW w:w="1049" w:type="dxa"/>
            <w:tcBorders>
              <w:left w:val="nil"/>
              <w:right w:val="nil"/>
            </w:tcBorders>
          </w:tcPr>
          <w:p>
            <w:pPr>
              <w:pStyle w:val="TableParagraph"/>
              <w:spacing w:before="39"/>
              <w:ind w:left="125" w:right="103"/>
              <w:jc w:val="center"/>
              <w:rPr>
                <w:sz w:val="14"/>
              </w:rPr>
            </w:pPr>
            <w:r>
              <w:rPr>
                <w:sz w:val="14"/>
              </w:rPr>
              <w:t>1,1 %</w:t>
            </w:r>
          </w:p>
        </w:tc>
        <w:tc>
          <w:tcPr>
            <w:tcW w:w="1117" w:type="dxa"/>
            <w:tcBorders>
              <w:left w:val="nil"/>
            </w:tcBorders>
          </w:tcPr>
          <w:p>
            <w:pPr>
              <w:pStyle w:val="TableParagraph"/>
              <w:spacing w:before="39"/>
              <w:ind w:left="257" w:right="210"/>
              <w:jc w:val="center"/>
              <w:rPr>
                <w:sz w:val="14"/>
              </w:rPr>
            </w:pPr>
            <w:r>
              <w:rPr>
                <w:sz w:val="14"/>
              </w:rPr>
              <w:t>832,2</w:t>
            </w:r>
          </w:p>
        </w:tc>
      </w:tr>
      <w:tr>
        <w:trPr>
          <w:trHeight w:val="640" w:hRule="atLeast"/>
        </w:trPr>
        <w:tc>
          <w:tcPr>
            <w:tcW w:w="1608" w:type="dxa"/>
            <w:tcBorders>
              <w:right w:val="nil"/>
            </w:tcBorders>
          </w:tcPr>
          <w:p>
            <w:pPr>
              <w:pStyle w:val="TableParagraph"/>
              <w:spacing w:line="264" w:lineRule="auto" w:before="39"/>
              <w:ind w:left="105" w:right="60"/>
              <w:rPr>
                <w:sz w:val="14"/>
              </w:rPr>
            </w:pPr>
            <w:r>
              <w:rPr>
                <w:sz w:val="14"/>
              </w:rPr>
              <w:t>Forbrugerelektro- nik til bilnavigation</w:t>
            </w:r>
          </w:p>
        </w:tc>
        <w:tc>
          <w:tcPr>
            <w:tcW w:w="975" w:type="dxa"/>
            <w:tcBorders>
              <w:left w:val="nil"/>
              <w:right w:val="nil"/>
            </w:tcBorders>
          </w:tcPr>
          <w:p>
            <w:pPr>
              <w:pStyle w:val="TableParagraph"/>
              <w:spacing w:before="39"/>
              <w:ind w:left="158" w:right="135"/>
              <w:jc w:val="center"/>
              <w:rPr>
                <w:sz w:val="14"/>
              </w:rPr>
            </w:pPr>
            <w:r>
              <w:rPr>
                <w:sz w:val="14"/>
              </w:rPr>
              <w:t>26.1</w:t>
            </w:r>
          </w:p>
        </w:tc>
        <w:tc>
          <w:tcPr>
            <w:tcW w:w="5365" w:type="dxa"/>
            <w:tcBorders>
              <w:left w:val="nil"/>
              <w:right w:val="nil"/>
            </w:tcBorders>
          </w:tcPr>
          <w:p>
            <w:pPr>
              <w:pStyle w:val="TableParagraph"/>
              <w:spacing w:line="264" w:lineRule="auto" w:before="39"/>
              <w:ind w:left="177" w:right="145"/>
              <w:rPr>
                <w:sz w:val="14"/>
              </w:rPr>
            </w:pPr>
            <w:r>
              <w:rPr>
                <w:sz w:val="14"/>
              </w:rPr>
              <w:t>Antal køretøjer bruges som fordelingsnøgle og dækker både en Willing- ness-to-Pay-analyse af GNSS-navigation til biler og den sparede tid estimeret som følge af bedre ruteplanlægning.</w:t>
            </w:r>
          </w:p>
        </w:tc>
        <w:tc>
          <w:tcPr>
            <w:tcW w:w="1049" w:type="dxa"/>
            <w:tcBorders>
              <w:left w:val="nil"/>
              <w:right w:val="nil"/>
            </w:tcBorders>
          </w:tcPr>
          <w:p>
            <w:pPr>
              <w:pStyle w:val="TableParagraph"/>
              <w:spacing w:before="39"/>
              <w:ind w:left="125" w:right="103"/>
              <w:jc w:val="center"/>
              <w:rPr>
                <w:sz w:val="14"/>
              </w:rPr>
            </w:pPr>
            <w:r>
              <w:rPr>
                <w:sz w:val="14"/>
              </w:rPr>
              <w:t>1,1 %</w:t>
            </w:r>
          </w:p>
        </w:tc>
        <w:tc>
          <w:tcPr>
            <w:tcW w:w="1117" w:type="dxa"/>
            <w:tcBorders>
              <w:left w:val="nil"/>
            </w:tcBorders>
          </w:tcPr>
          <w:p>
            <w:pPr>
              <w:pStyle w:val="TableParagraph"/>
              <w:spacing w:before="39"/>
              <w:ind w:left="257" w:right="210"/>
              <w:jc w:val="center"/>
              <w:rPr>
                <w:sz w:val="14"/>
              </w:rPr>
            </w:pPr>
            <w:r>
              <w:rPr>
                <w:sz w:val="14"/>
              </w:rPr>
              <w:t>1.825,2</w:t>
            </w:r>
          </w:p>
        </w:tc>
      </w:tr>
      <w:tr>
        <w:trPr>
          <w:trHeight w:val="284" w:hRule="atLeast"/>
        </w:trPr>
        <w:tc>
          <w:tcPr>
            <w:tcW w:w="1608" w:type="dxa"/>
            <w:tcBorders>
              <w:right w:val="nil"/>
            </w:tcBorders>
          </w:tcPr>
          <w:p>
            <w:pPr>
              <w:pStyle w:val="TableParagraph"/>
              <w:spacing w:before="41"/>
              <w:ind w:left="105"/>
              <w:rPr>
                <w:b/>
                <w:sz w:val="14"/>
              </w:rPr>
            </w:pPr>
            <w:r>
              <w:rPr>
                <w:b/>
                <w:sz w:val="14"/>
              </w:rPr>
              <w:t>TOTAL (2013)</w:t>
            </w:r>
          </w:p>
        </w:tc>
        <w:tc>
          <w:tcPr>
            <w:tcW w:w="975" w:type="dxa"/>
            <w:tcBorders>
              <w:left w:val="nil"/>
              <w:right w:val="nil"/>
            </w:tcBorders>
          </w:tcPr>
          <w:p>
            <w:pPr>
              <w:pStyle w:val="TableParagraph"/>
              <w:spacing w:before="41"/>
              <w:ind w:left="158" w:right="137"/>
              <w:jc w:val="center"/>
              <w:rPr>
                <w:b/>
                <w:sz w:val="14"/>
              </w:rPr>
            </w:pPr>
            <w:r>
              <w:rPr>
                <w:b/>
                <w:sz w:val="14"/>
              </w:rPr>
              <w:t>68.7</w:t>
            </w:r>
          </w:p>
        </w:tc>
        <w:tc>
          <w:tcPr>
            <w:tcW w:w="5365" w:type="dxa"/>
            <w:tcBorders>
              <w:left w:val="nil"/>
              <w:right w:val="nil"/>
            </w:tcBorders>
          </w:tcPr>
          <w:p>
            <w:pPr>
              <w:pStyle w:val="TableParagraph"/>
              <w:spacing w:before="0"/>
              <w:ind w:left="0"/>
              <w:rPr>
                <w:rFonts w:ascii="Times New Roman"/>
                <w:sz w:val="14"/>
              </w:rPr>
            </w:pPr>
          </w:p>
        </w:tc>
        <w:tc>
          <w:tcPr>
            <w:tcW w:w="1049" w:type="dxa"/>
            <w:tcBorders>
              <w:left w:val="nil"/>
              <w:right w:val="nil"/>
            </w:tcBorders>
          </w:tcPr>
          <w:p>
            <w:pPr>
              <w:pStyle w:val="TableParagraph"/>
              <w:spacing w:before="0"/>
              <w:ind w:left="0"/>
              <w:rPr>
                <w:rFonts w:ascii="Times New Roman"/>
                <w:sz w:val="14"/>
              </w:rPr>
            </w:pPr>
          </w:p>
        </w:tc>
        <w:tc>
          <w:tcPr>
            <w:tcW w:w="1117" w:type="dxa"/>
            <w:tcBorders>
              <w:left w:val="nil"/>
            </w:tcBorders>
          </w:tcPr>
          <w:p>
            <w:pPr>
              <w:pStyle w:val="TableParagraph"/>
              <w:spacing w:before="41"/>
              <w:ind w:left="257" w:right="210"/>
              <w:jc w:val="center"/>
              <w:rPr>
                <w:b/>
                <w:sz w:val="14"/>
              </w:rPr>
            </w:pPr>
            <w:r>
              <w:rPr>
                <w:b/>
                <w:sz w:val="14"/>
              </w:rPr>
              <w:t>6.125,2</w:t>
            </w:r>
          </w:p>
        </w:tc>
      </w:tr>
    </w:tbl>
    <w:p>
      <w:pPr>
        <w:spacing w:line="364" w:lineRule="auto" w:before="83"/>
        <w:ind w:left="175" w:right="1103" w:firstLine="0"/>
        <w:jc w:val="left"/>
        <w:rPr>
          <w:sz w:val="13"/>
        </w:rPr>
      </w:pPr>
      <w:r>
        <w:rPr>
          <w:sz w:val="13"/>
        </w:rPr>
        <w:t>Kilder: Leveson, I. (2015) </w:t>
      </w:r>
      <w:r>
        <w:rPr>
          <w:i/>
          <w:sz w:val="13"/>
        </w:rPr>
        <w:t>The Economic Value of GPS: Preliminary Assessment</w:t>
      </w:r>
      <w:r>
        <w:rPr>
          <w:sz w:val="13"/>
        </w:rPr>
        <w:t>, National Space-Based Positioning, Navigation and Timing Advisory Board Meeting, June 11, 2015. Verdensbanken, DST, US Bureau of Labor Statistics, Eurostat, Eurocontrol, FAA, OICA, Wikipedia.</w:t>
      </w:r>
    </w:p>
    <w:p>
      <w:pPr>
        <w:pStyle w:val="BodyText"/>
        <w:spacing w:before="9"/>
        <w:rPr>
          <w:sz w:val="14"/>
        </w:rPr>
      </w:pPr>
    </w:p>
    <w:p>
      <w:pPr>
        <w:pStyle w:val="BodyText"/>
        <w:spacing w:line="264" w:lineRule="auto"/>
        <w:ind w:left="742" w:right="1211"/>
      </w:pPr>
      <w:r>
        <w:rPr/>
        <w:t>Levesons beregning refererer alene til </w:t>
      </w:r>
      <w:r>
        <w:rPr>
          <w:b/>
        </w:rPr>
        <w:t>GPS</w:t>
      </w:r>
      <w:r>
        <w:rPr/>
        <w:t>, mens øvrige GNSS figurer i en ’andet’-kategori, som tilskrives mindre betydning end GPS (mellem 10 % og 40 % af totalen). De samlede gevinster ved </w:t>
      </w:r>
      <w:r>
        <w:rPr>
          <w:b/>
        </w:rPr>
        <w:t>GNSS</w:t>
      </w:r>
      <w:r>
        <w:rPr>
          <w:b/>
          <w:w w:val="99"/>
          <w:position w:val="6"/>
          <w:sz w:val="8"/>
        </w:rPr>
        <w:t>55</w:t>
      </w:r>
      <w:r>
        <w:rPr>
          <w:b/>
          <w:position w:val="6"/>
          <w:sz w:val="8"/>
        </w:rPr>
        <w:t>  </w:t>
      </w:r>
      <w:r>
        <w:rPr/>
        <w:t>er derfor højere end præsenteret i tabellen, og man kan nemt forestille sig yderligere ge- vinster fra Galileos specifikke tjenester, når de begynder. Galileo vil levere fire tjenester:</w:t>
      </w:r>
    </w:p>
    <w:p>
      <w:pPr>
        <w:pStyle w:val="BodyText"/>
        <w:spacing w:before="7"/>
        <w:rPr>
          <w:sz w:val="19"/>
        </w:rPr>
      </w:pPr>
    </w:p>
    <w:p>
      <w:pPr>
        <w:pStyle w:val="ListParagraph"/>
        <w:numPr>
          <w:ilvl w:val="0"/>
          <w:numId w:val="12"/>
        </w:numPr>
        <w:tabs>
          <w:tab w:pos="1102" w:val="left" w:leader="none"/>
        </w:tabs>
        <w:spacing w:line="264" w:lineRule="auto" w:before="0" w:after="0"/>
        <w:ind w:left="1102" w:right="1278" w:hanging="360"/>
        <w:jc w:val="left"/>
        <w:rPr>
          <w:sz w:val="18"/>
        </w:rPr>
      </w:pPr>
      <w:r>
        <w:rPr>
          <w:b/>
          <w:sz w:val="18"/>
        </w:rPr>
        <w:t>Open Service (OS)</w:t>
      </w:r>
      <w:r>
        <w:rPr>
          <w:sz w:val="18"/>
        </w:rPr>
        <w:t>: Den åbne tjeneste bliver kompatibel med GPS og stillet frit til rådighed. Den sender på den samme frekvens som GPS. Ulig andre åbne tjenester vil Galileo tilbyde</w:t>
      </w:r>
      <w:r>
        <w:rPr>
          <w:spacing w:val="-33"/>
          <w:sz w:val="18"/>
        </w:rPr>
        <w:t> </w:t>
      </w:r>
      <w:r>
        <w:rPr>
          <w:sz w:val="18"/>
        </w:rPr>
        <w:t>au-</w:t>
      </w:r>
    </w:p>
    <w:p>
      <w:pPr>
        <w:pStyle w:val="BodyText"/>
        <w:rPr>
          <w:sz w:val="11"/>
        </w:rPr>
      </w:pPr>
      <w:r>
        <w:rPr/>
        <w:pict>
          <v:line style="position:absolute;mso-position-horizontal-relative:page;mso-position-vertical-relative:paragraph;z-index:3080;mso-wrap-distance-left:0;mso-wrap-distance-right:0" from="85.103996pt,8.901318pt" to="229.123996pt,8.901318pt" stroked="true" strokeweight=".48004pt" strokecolor="#000000">
            <v:stroke dashstyle="solid"/>
            <w10:wrap type="topAndBottom"/>
          </v:line>
        </w:pict>
      </w:r>
    </w:p>
    <w:p>
      <w:pPr>
        <w:spacing w:line="319" w:lineRule="auto" w:before="99"/>
        <w:ind w:left="742" w:right="1530" w:firstLine="0"/>
        <w:jc w:val="left"/>
        <w:rPr>
          <w:sz w:val="13"/>
        </w:rPr>
      </w:pPr>
      <w:r>
        <w:rPr>
          <w:position w:val="6"/>
          <w:sz w:val="8"/>
        </w:rPr>
        <w:t>53 </w:t>
      </w:r>
      <w:r>
        <w:rPr>
          <w:sz w:val="13"/>
        </w:rPr>
        <w:t>Federal Aviation Administration (2015) </w:t>
      </w:r>
      <w:r>
        <w:rPr>
          <w:i/>
          <w:sz w:val="13"/>
        </w:rPr>
        <w:t>Satellite Navigation – GPS – Preseidential Policy, </w:t>
      </w:r>
      <w:r>
        <w:rPr>
          <w:sz w:val="13"/>
        </w:rPr>
        <w:t>tilgængelig her: </w:t>
      </w:r>
      <w:hyperlink r:id="rId75">
        <w:r>
          <w:rPr>
            <w:color w:val="009DDF"/>
            <w:w w:val="95"/>
            <w:sz w:val="13"/>
          </w:rPr>
          <w:t>http://www.faa.gov/about/office_org/headquarters_offices/ato/service_units/techops/navservices/gnss/gps/policy/presidential/?print=go</w:t>
        </w:r>
      </w:hyperlink>
      <w:r>
        <w:rPr>
          <w:color w:val="009DDF"/>
          <w:w w:val="95"/>
          <w:sz w:val="13"/>
        </w:rPr>
        <w:t>       </w:t>
      </w:r>
      <w:hyperlink r:id="rId75">
        <w:r>
          <w:rPr>
            <w:color w:val="009DDF"/>
            <w:sz w:val="13"/>
          </w:rPr>
          <w:t>#1 </w:t>
        </w:r>
      </w:hyperlink>
      <w:r>
        <w:rPr>
          <w:sz w:val="13"/>
        </w:rPr>
        <w:t>(tilgået 19. april</w:t>
      </w:r>
      <w:r>
        <w:rPr>
          <w:spacing w:val="1"/>
          <w:sz w:val="13"/>
        </w:rPr>
        <w:t> </w:t>
      </w:r>
      <w:r>
        <w:rPr>
          <w:sz w:val="13"/>
        </w:rPr>
        <w:t>2016).</w:t>
      </w:r>
    </w:p>
    <w:p>
      <w:pPr>
        <w:spacing w:line="159" w:lineRule="exact" w:before="0"/>
        <w:ind w:left="742" w:right="0" w:firstLine="0"/>
        <w:jc w:val="left"/>
        <w:rPr>
          <w:sz w:val="13"/>
        </w:rPr>
      </w:pPr>
      <w:r>
        <w:rPr>
          <w:position w:val="6"/>
          <w:sz w:val="8"/>
        </w:rPr>
        <w:t>54 </w:t>
      </w:r>
      <w:r>
        <w:rPr>
          <w:sz w:val="13"/>
        </w:rPr>
        <w:t>Leveson, I. (2015) </w:t>
      </w:r>
      <w:r>
        <w:rPr>
          <w:i/>
          <w:sz w:val="13"/>
        </w:rPr>
        <w:t>The Economic Value of GPS: Preliminary Assessment</w:t>
      </w:r>
      <w:r>
        <w:rPr>
          <w:sz w:val="13"/>
        </w:rPr>
        <w:t>, National Space-Based Positioning, Navigation and Timing</w:t>
      </w:r>
    </w:p>
    <w:p>
      <w:pPr>
        <w:spacing w:before="51"/>
        <w:ind w:left="742" w:right="0" w:firstLine="0"/>
        <w:jc w:val="left"/>
        <w:rPr>
          <w:sz w:val="13"/>
        </w:rPr>
      </w:pPr>
      <w:r>
        <w:rPr>
          <w:sz w:val="13"/>
        </w:rPr>
        <w:t>Advisory Board Meeting, June 11, 2015.</w:t>
      </w:r>
    </w:p>
    <w:p>
      <w:pPr>
        <w:spacing w:line="319" w:lineRule="auto" w:before="43"/>
        <w:ind w:left="742" w:right="1153" w:firstLine="0"/>
        <w:jc w:val="left"/>
        <w:rPr>
          <w:sz w:val="13"/>
        </w:rPr>
      </w:pPr>
      <w:r>
        <w:rPr>
          <w:position w:val="6"/>
          <w:sz w:val="8"/>
        </w:rPr>
        <w:t>55 </w:t>
      </w:r>
      <w:r>
        <w:rPr>
          <w:sz w:val="13"/>
        </w:rPr>
        <w:t>Galileo og GPS har vedtaget, at systemerne skal være interoperable, dvs. at positionen kan beregnes med fire tilfældige satellitter fra de to systemer. I mange tilfælde vil der være tilstrækkeligt mange GPS-satellitter på himlen, så i princippet er Galileo ikke nødvendig, men især i byer er det sandsynligt, at den beregnede position bliver mere nøjagtig takket være Galileo. Det er meget vanskeligt at forde- le gevinsterne mellem Galileo og GPS og det ligger uden for denne rapports formål.</w:t>
      </w:r>
    </w:p>
    <w:p>
      <w:pPr>
        <w:spacing w:after="0" w:line="319" w:lineRule="auto"/>
        <w:jc w:val="left"/>
        <w:rPr>
          <w:sz w:val="13"/>
        </w:rPr>
        <w:sectPr>
          <w:pgSz w:w="11910" w:h="16840"/>
          <w:pgMar w:header="0" w:footer="1056" w:top="1580" w:bottom="1240" w:left="960" w:right="0"/>
        </w:sectPr>
      </w:pPr>
    </w:p>
    <w:p>
      <w:pPr>
        <w:pStyle w:val="BodyText"/>
        <w:spacing w:line="264" w:lineRule="auto" w:before="126"/>
        <w:ind w:left="1101" w:right="1212"/>
      </w:pPr>
      <w:r>
        <w:rPr/>
        <w:t>tentificering, som betyder, at modtagere kan verificere, at det modtagne signal kommer fra en satellit i rummet og ikke et spoofing-apparat i nærområdet.</w:t>
      </w:r>
      <w:r>
        <w:rPr>
          <w:vertAlign w:val="superscript"/>
        </w:rPr>
        <w:t>56</w:t>
      </w:r>
    </w:p>
    <w:p>
      <w:pPr>
        <w:pStyle w:val="BodyText"/>
        <w:spacing w:before="8"/>
        <w:rPr>
          <w:sz w:val="19"/>
        </w:rPr>
      </w:pPr>
    </w:p>
    <w:p>
      <w:pPr>
        <w:pStyle w:val="ListParagraph"/>
        <w:numPr>
          <w:ilvl w:val="0"/>
          <w:numId w:val="12"/>
        </w:numPr>
        <w:tabs>
          <w:tab w:pos="1102" w:val="left" w:leader="none"/>
        </w:tabs>
        <w:spacing w:line="264" w:lineRule="auto" w:before="0" w:after="0"/>
        <w:ind w:left="1102" w:right="1185" w:hanging="360"/>
        <w:jc w:val="left"/>
        <w:rPr>
          <w:sz w:val="18"/>
        </w:rPr>
      </w:pPr>
      <w:r>
        <w:rPr>
          <w:b/>
          <w:sz w:val="18"/>
        </w:rPr>
        <w:t>Commercial Service (CS)</w:t>
      </w:r>
      <w:r>
        <w:rPr>
          <w:sz w:val="18"/>
        </w:rPr>
        <w:t>: Galileos kommercielle tjeneste på to frekvenser vil muliggøre kor- rektion af interferens, fordi de to frekvenser påvirkes forskelligt af den samme forstyrrelse. Tjenesten vil tilbyde særdeles høj nøjagtighed og derudover stærkere autentificering. Galileo forventes at opkræve betaling for tjenesten, som bliver den eneste GNSS-tjeneste med en ga- ranteret</w:t>
      </w:r>
      <w:r>
        <w:rPr>
          <w:spacing w:val="-1"/>
          <w:sz w:val="18"/>
        </w:rPr>
        <w:t> </w:t>
      </w:r>
      <w:r>
        <w:rPr>
          <w:sz w:val="18"/>
        </w:rPr>
        <w:t>ydelse.</w:t>
      </w:r>
    </w:p>
    <w:p>
      <w:pPr>
        <w:pStyle w:val="BodyText"/>
        <w:spacing w:before="6"/>
        <w:rPr>
          <w:sz w:val="19"/>
        </w:rPr>
      </w:pPr>
    </w:p>
    <w:p>
      <w:pPr>
        <w:pStyle w:val="ListParagraph"/>
        <w:numPr>
          <w:ilvl w:val="0"/>
          <w:numId w:val="12"/>
        </w:numPr>
        <w:tabs>
          <w:tab w:pos="1102" w:val="left" w:leader="none"/>
        </w:tabs>
        <w:spacing w:line="264" w:lineRule="auto" w:before="0" w:after="0"/>
        <w:ind w:left="1102" w:right="1182" w:hanging="360"/>
        <w:jc w:val="left"/>
        <w:rPr>
          <w:sz w:val="18"/>
        </w:rPr>
      </w:pPr>
      <w:r>
        <w:rPr>
          <w:b/>
          <w:sz w:val="18"/>
        </w:rPr>
        <w:t>Search and Rescue (SaR)</w:t>
      </w:r>
      <w:r>
        <w:rPr>
          <w:sz w:val="18"/>
        </w:rPr>
        <w:t>: Europas bidrag til det Internationale COSPAS-SARSAT Program, som ved hjælp af satellitter og jordstationer indsamler nødsignaler fra individer, fly og skibe i nød. Galileos redningstjeneste sikrer, at nødsignalet bærer den nødstedtes position (hvis enhe- den bruger GNSS) og er desuden defineret med en Return-Link-Service, med hvilken det bliver muligt for beredskabet at sende et simpelt signal retur til den nødstedte om, at hjælp er på vej.</w:t>
      </w:r>
    </w:p>
    <w:p>
      <w:pPr>
        <w:pStyle w:val="BodyText"/>
        <w:spacing w:before="6"/>
        <w:rPr>
          <w:sz w:val="19"/>
        </w:rPr>
      </w:pPr>
    </w:p>
    <w:p>
      <w:pPr>
        <w:pStyle w:val="ListParagraph"/>
        <w:numPr>
          <w:ilvl w:val="0"/>
          <w:numId w:val="12"/>
        </w:numPr>
        <w:tabs>
          <w:tab w:pos="1102" w:val="left" w:leader="none"/>
        </w:tabs>
        <w:spacing w:line="264" w:lineRule="auto" w:before="0" w:after="0"/>
        <w:ind w:left="1102" w:right="1225" w:hanging="360"/>
        <w:jc w:val="left"/>
        <w:rPr>
          <w:sz w:val="18"/>
        </w:rPr>
      </w:pPr>
      <w:r>
        <w:rPr>
          <w:b/>
          <w:sz w:val="18"/>
        </w:rPr>
        <w:t>Public Regulated Service</w:t>
      </w:r>
      <w:r>
        <w:rPr>
          <w:sz w:val="18"/>
        </w:rPr>
        <w:t>: Specifik tjeneste udviklet til offentlige myndigheder, eksempelvis beredskab, kystvagter og andre godkendte brugere. Tjenesten er krypteret og sender desuden på flere</w:t>
      </w:r>
      <w:r>
        <w:rPr>
          <w:spacing w:val="-3"/>
          <w:sz w:val="18"/>
        </w:rPr>
        <w:t> </w:t>
      </w:r>
      <w:r>
        <w:rPr>
          <w:sz w:val="18"/>
        </w:rPr>
        <w:t>frekvenser.</w:t>
      </w:r>
    </w:p>
    <w:p>
      <w:pPr>
        <w:pStyle w:val="BodyText"/>
        <w:spacing w:before="7"/>
        <w:rPr>
          <w:sz w:val="19"/>
        </w:rPr>
      </w:pPr>
    </w:p>
    <w:p>
      <w:pPr>
        <w:pStyle w:val="BodyText"/>
        <w:spacing w:line="264" w:lineRule="auto"/>
        <w:ind w:left="742" w:right="1162"/>
        <w:rPr>
          <w:sz w:val="8"/>
        </w:rPr>
      </w:pPr>
      <w:r>
        <w:rPr/>
        <w:t>Ud over de gevinster der er refereret i </w:t>
      </w:r>
      <w:hyperlink w:history="true" w:anchor="_bookmark32">
        <w:r>
          <w:rPr/>
          <w:t>Tabel 10</w:t>
        </w:r>
      </w:hyperlink>
      <w:r>
        <w:rPr/>
        <w:t>, er der anseelige gevinster ved brug af GNSS i redningstjenester. GNSS hjælper redningsmandskab til havs og i ufremkommelige landområder, hvor muligheden for at medsende lokalitet i nødsignalet forbedrer sandsynligheden for redning. Europa-Kommissionens eCall-initiativ er et system, hvor alle biler (over tid) vil være udstyret med en GNSS-modtager og et simkort, således at bilen ringer efter hjælp, eksempelvis når airbaggen udløses. GNSS sikrer, at alarmcentralen modtager nøjagtige oplysninger om bilens lokalitet, og derfor at redningstjenesterne rykker hurtigt ud. eCall forventes at reducere responstiden til trafik- uheld i byer med 40 % og med 50 % på landet. Det kan reducere antallet af trafikdræbte med 4 % og antallet af svært tilskadekomne med 6 %.</w:t>
      </w:r>
      <w:r>
        <w:rPr>
          <w:w w:val="99"/>
          <w:position w:val="6"/>
          <w:sz w:val="8"/>
        </w:rPr>
        <w:t>57</w:t>
      </w:r>
    </w:p>
    <w:p>
      <w:pPr>
        <w:pStyle w:val="BodyText"/>
        <w:spacing w:before="4"/>
        <w:rPr>
          <w:sz w:val="19"/>
        </w:rPr>
      </w:pPr>
    </w:p>
    <w:p>
      <w:pPr>
        <w:pStyle w:val="Heading2"/>
        <w:numPr>
          <w:ilvl w:val="1"/>
          <w:numId w:val="7"/>
        </w:numPr>
        <w:tabs>
          <w:tab w:pos="741" w:val="left" w:leader="none"/>
          <w:tab w:pos="743" w:val="left" w:leader="none"/>
        </w:tabs>
        <w:spacing w:line="240" w:lineRule="auto" w:before="0" w:after="0"/>
        <w:ind w:left="742" w:right="0" w:hanging="624"/>
        <w:jc w:val="left"/>
      </w:pPr>
      <w:bookmarkStart w:name="_bookmark33" w:id="34"/>
      <w:bookmarkEnd w:id="34"/>
      <w:r>
        <w:rPr/>
        <w:t>Gevi</w:t>
      </w:r>
      <w:r>
        <w:rPr/>
        <w:t>nster ved brug af</w:t>
      </w:r>
      <w:r>
        <w:rPr>
          <w:spacing w:val="-1"/>
        </w:rPr>
        <w:t> </w:t>
      </w:r>
      <w:r>
        <w:rPr/>
        <w:t>satellitkommunikation</w:t>
      </w:r>
    </w:p>
    <w:p>
      <w:pPr>
        <w:pStyle w:val="BodyText"/>
        <w:spacing w:line="264" w:lineRule="auto" w:before="21"/>
        <w:ind w:left="742" w:right="1337"/>
      </w:pPr>
      <w:r>
        <w:rPr/>
        <w:t>Satellitkommunikation er den mest kommercielt lukrative forretning med relation til rummet. Kommunikationssatellitter (ofte, men ikke altid, i geostationært kredsløb) bruges grundlæggende til tre formål: parabol-tv, internet og tale.</w:t>
      </w:r>
    </w:p>
    <w:p>
      <w:pPr>
        <w:pStyle w:val="BodyText"/>
        <w:spacing w:before="7"/>
        <w:rPr>
          <w:sz w:val="19"/>
        </w:rPr>
      </w:pPr>
    </w:p>
    <w:p>
      <w:pPr>
        <w:pStyle w:val="BodyText"/>
        <w:spacing w:line="264" w:lineRule="auto"/>
        <w:ind w:left="742" w:right="1132"/>
      </w:pPr>
      <w:r>
        <w:rPr/>
        <w:t>I 1987 blev et dansk forbud mod at modtage tv-signaler via parabol ophævet, og året efter be- gyndte Viasat at sende tv fra London til Danmark, Norge, og Sverige.</w:t>
      </w:r>
      <w:r>
        <w:rPr>
          <w:w w:val="99"/>
          <w:position w:val="6"/>
          <w:sz w:val="8"/>
        </w:rPr>
        <w:t>58</w:t>
      </w:r>
      <w:r>
        <w:rPr>
          <w:position w:val="6"/>
          <w:sz w:val="8"/>
        </w:rPr>
        <w:t>  </w:t>
      </w:r>
      <w:r>
        <w:rPr/>
        <w:t>I 2014 modtog 196.000 husstande tv-signal via parabol.</w:t>
      </w:r>
      <w:r>
        <w:rPr>
          <w:w w:val="99"/>
          <w:position w:val="6"/>
          <w:sz w:val="8"/>
        </w:rPr>
        <w:t>59</w:t>
      </w:r>
      <w:r>
        <w:rPr>
          <w:position w:val="6"/>
          <w:sz w:val="8"/>
        </w:rPr>
        <w:t>  </w:t>
      </w:r>
      <w:r>
        <w:rPr/>
        <w:t>Viasat og Canal Digital er de eneste danske udbydere af parabol- tv, men grundet den geografiske dækning af satellit-tv er det muligt at modtage signaler fra andre lande, en mulighed 32.000 husstande benytter.</w:t>
      </w:r>
      <w:r>
        <w:rPr>
          <w:w w:val="99"/>
          <w:position w:val="6"/>
          <w:sz w:val="8"/>
        </w:rPr>
        <w:t>60</w:t>
      </w:r>
      <w:r>
        <w:rPr>
          <w:position w:val="6"/>
          <w:sz w:val="8"/>
        </w:rPr>
        <w:t>  </w:t>
      </w:r>
      <w:r>
        <w:rPr/>
        <w:t>Ud over som distribution til slutkunden spiller satellitter en væsentlig rolle i produktion af tv. Direkte sportsbegivenheder sendes fra lokaliteten til seerne blandt andet gennem satellit, inden signalet nedtages og distribueres gennem kabler og antenner. Den samfundsøkonomiske værdi af direkte tv er svær at vurdere, og der eksisterer ingen studier.</w:t>
      </w:r>
    </w:p>
    <w:p>
      <w:pPr>
        <w:pStyle w:val="BodyText"/>
        <w:spacing w:before="11"/>
        <w:rPr>
          <w:sz w:val="20"/>
        </w:rPr>
      </w:pPr>
      <w:r>
        <w:rPr/>
        <w:pict>
          <v:line style="position:absolute;mso-position-horizontal-relative:page;mso-position-vertical-relative:paragraph;z-index:3104;mso-wrap-distance-left:0;mso-wrap-distance-right:0" from="85.103996pt,14.941943pt" to="229.123996pt,14.941943pt" stroked="true" strokeweight=".48004pt" strokecolor="#000000">
            <v:stroke dashstyle="solid"/>
            <w10:wrap type="topAndBottom"/>
          </v:line>
        </w:pict>
      </w:r>
    </w:p>
    <w:p>
      <w:pPr>
        <w:spacing w:line="321" w:lineRule="auto" w:before="99"/>
        <w:ind w:left="742" w:right="3238" w:firstLine="0"/>
        <w:jc w:val="left"/>
        <w:rPr>
          <w:sz w:val="13"/>
        </w:rPr>
      </w:pPr>
      <w:r>
        <w:rPr>
          <w:position w:val="6"/>
          <w:sz w:val="8"/>
        </w:rPr>
        <w:t>56 </w:t>
      </w:r>
      <w:r>
        <w:rPr>
          <w:sz w:val="13"/>
        </w:rPr>
        <w:t>European GNSS Agency (2016) </w:t>
      </w:r>
      <w:r>
        <w:rPr>
          <w:i/>
          <w:sz w:val="13"/>
        </w:rPr>
        <w:t>GNSS.asia Challenge Promotes Galileo in Asia-Pacific</w:t>
      </w:r>
      <w:r>
        <w:rPr>
          <w:sz w:val="13"/>
        </w:rPr>
        <w:t>, tilgængelig her: </w:t>
      </w:r>
      <w:hyperlink r:id="rId77">
        <w:r>
          <w:rPr>
            <w:color w:val="009DDF"/>
            <w:sz w:val="13"/>
          </w:rPr>
          <w:t>http://www.gsa.europa.eu/news/gnssasia-challenge-promotes-galileo-asia-pacific </w:t>
        </w:r>
      </w:hyperlink>
      <w:r>
        <w:rPr>
          <w:sz w:val="13"/>
        </w:rPr>
        <w:t>(tilgået 19. april 2016).</w:t>
      </w:r>
    </w:p>
    <w:p>
      <w:pPr>
        <w:spacing w:line="155" w:lineRule="exact" w:before="0"/>
        <w:ind w:left="742" w:right="0" w:firstLine="0"/>
        <w:jc w:val="left"/>
        <w:rPr>
          <w:sz w:val="13"/>
        </w:rPr>
      </w:pPr>
      <w:r>
        <w:rPr>
          <w:position w:val="6"/>
          <w:sz w:val="8"/>
        </w:rPr>
        <w:t>57 </w:t>
      </w:r>
      <w:hyperlink r:id="rId78">
        <w:r>
          <w:rPr>
            <w:color w:val="009DDF"/>
            <w:sz w:val="13"/>
          </w:rPr>
          <w:t>http://ec.europa.eu/transport/themes/its/road/action_plan/ecall_en.htm.</w:t>
        </w:r>
      </w:hyperlink>
    </w:p>
    <w:p>
      <w:pPr>
        <w:spacing w:line="319" w:lineRule="auto" w:before="43"/>
        <w:ind w:left="742" w:right="1414" w:firstLine="0"/>
        <w:jc w:val="left"/>
        <w:rPr>
          <w:sz w:val="13"/>
        </w:rPr>
      </w:pPr>
      <w:r>
        <w:rPr>
          <w:position w:val="6"/>
          <w:sz w:val="8"/>
        </w:rPr>
        <w:t>58 </w:t>
      </w:r>
      <w:r>
        <w:rPr>
          <w:sz w:val="13"/>
        </w:rPr>
        <w:t>Erling Madsen/BFE (2012) </w:t>
      </w:r>
      <w:r>
        <w:rPr>
          <w:i/>
          <w:sz w:val="13"/>
        </w:rPr>
        <w:t>Fjernsynets historie fra 1926 til 2012 – og lidt efter …</w:t>
      </w:r>
      <w:r>
        <w:rPr>
          <w:sz w:val="13"/>
        </w:rPr>
        <w:t>, tilgængelig her: </w:t>
      </w:r>
      <w:hyperlink r:id="rId79">
        <w:r>
          <w:rPr>
            <w:color w:val="009DDF"/>
            <w:sz w:val="13"/>
          </w:rPr>
          <w:t>http://slks.dk/fileadmin/user_upload/dokumenter/medier/Tv/Generelt/Fjernsynets_historie_Erling_Madsen_BFE.pdf </w:t>
        </w:r>
      </w:hyperlink>
      <w:r>
        <w:rPr>
          <w:sz w:val="13"/>
        </w:rPr>
        <w:t>(tilgået: 20. april 2016).</w:t>
      </w:r>
    </w:p>
    <w:p>
      <w:pPr>
        <w:spacing w:line="156" w:lineRule="exact" w:before="0"/>
        <w:ind w:left="742" w:right="0" w:firstLine="0"/>
        <w:jc w:val="left"/>
        <w:rPr>
          <w:i/>
          <w:sz w:val="13"/>
        </w:rPr>
      </w:pPr>
      <w:r>
        <w:rPr>
          <w:position w:val="6"/>
          <w:sz w:val="8"/>
        </w:rPr>
        <w:t>59 </w:t>
      </w:r>
      <w:r>
        <w:rPr>
          <w:sz w:val="13"/>
        </w:rPr>
        <w:t>TNS Gallup (2014) </w:t>
      </w:r>
      <w:r>
        <w:rPr>
          <w:i/>
          <w:sz w:val="13"/>
        </w:rPr>
        <w:t>Annual Survey 2014U31-48.</w:t>
      </w:r>
    </w:p>
    <w:p>
      <w:pPr>
        <w:spacing w:line="316" w:lineRule="auto" w:before="44"/>
        <w:ind w:left="742" w:right="1181" w:firstLine="0"/>
        <w:jc w:val="left"/>
        <w:rPr>
          <w:sz w:val="13"/>
        </w:rPr>
      </w:pPr>
      <w:r>
        <w:rPr>
          <w:position w:val="6"/>
          <w:sz w:val="8"/>
        </w:rPr>
        <w:t>60 </w:t>
      </w:r>
      <w:r>
        <w:rPr>
          <w:sz w:val="13"/>
        </w:rPr>
        <w:t>TNS Gallup (2014) </w:t>
      </w:r>
      <w:r>
        <w:rPr>
          <w:i/>
          <w:sz w:val="13"/>
        </w:rPr>
        <w:t>Annual Survey 2014U31-48</w:t>
      </w:r>
      <w:r>
        <w:rPr>
          <w:sz w:val="13"/>
        </w:rPr>
        <w:t>. Det antages, at respondenter ved, hvem de køber parabol-tv af. Så respondenter, der ikke ved hvor de får signalet fra, forventes at modtage gratis tv, eksempelvis fra den britiske Freesat.</w:t>
      </w:r>
    </w:p>
    <w:p>
      <w:pPr>
        <w:spacing w:after="0" w:line="316" w:lineRule="auto"/>
        <w:jc w:val="left"/>
        <w:rPr>
          <w:sz w:val="13"/>
        </w:rPr>
        <w:sectPr>
          <w:footerReference w:type="default" r:id="rId76"/>
          <w:pgSz w:w="11910" w:h="16840"/>
          <w:pgMar w:footer="1056" w:header="0" w:top="1580" w:bottom="1240" w:left="960" w:right="0"/>
          <w:pgNumType w:start="39"/>
        </w:sectPr>
      </w:pPr>
    </w:p>
    <w:p>
      <w:pPr>
        <w:pStyle w:val="BodyText"/>
        <w:spacing w:before="11"/>
        <w:rPr>
          <w:sz w:val="21"/>
        </w:rPr>
      </w:pPr>
    </w:p>
    <w:p>
      <w:pPr>
        <w:pStyle w:val="BodyText"/>
        <w:spacing w:line="264" w:lineRule="auto" w:before="100"/>
        <w:ind w:left="742" w:right="1131"/>
      </w:pPr>
      <w:r>
        <w:rPr/>
        <w:t>Satellitbaseret internet opdeles i to typer; fast og mobil. Fast satellitinternet tilbydes i princippet til alle, der har adgang til at rette en parabol mod syd, men på grund af prisen og den højere latens- tid end andre løsninger</w:t>
      </w:r>
      <w:r>
        <w:rPr>
          <w:w w:val="99"/>
          <w:position w:val="6"/>
          <w:sz w:val="8"/>
        </w:rPr>
        <w:t>61</w:t>
      </w:r>
      <w:r>
        <w:rPr>
          <w:position w:val="6"/>
          <w:sz w:val="8"/>
        </w:rPr>
        <w:t>  </w:t>
      </w:r>
      <w:r>
        <w:rPr/>
        <w:t>appellerer satellitinternet mest til borgere og virksomheder i områder med langsomme eller ikke-eksisterende traditionelle tjenester. Ansatte på boreplatforme i Nordsøen bruger satellitbaseret internet til at kommunikere med hovedkvarteret og familien. De samfunds- økonomiske gevinster ved fast satellitkommunikation er ikke kvantificerede, men dialog med olie- industrien indikerer, at adgang til internettet har stor betydning for udvinding af olie samt medar- bejderes trivsel. Endvidere er det let at forestille sig, at virksomheder med langsomme internetfor- bindelser via traditionel teknologi kan forventes at forbedre omsætningen og indtjeningsgraden ved bedre internetadgang.</w:t>
      </w:r>
    </w:p>
    <w:p>
      <w:pPr>
        <w:pStyle w:val="BodyText"/>
        <w:spacing w:before="3"/>
        <w:rPr>
          <w:sz w:val="19"/>
        </w:rPr>
      </w:pPr>
    </w:p>
    <w:p>
      <w:pPr>
        <w:pStyle w:val="BodyText"/>
        <w:spacing w:line="264" w:lineRule="auto"/>
        <w:ind w:left="742" w:right="1236"/>
      </w:pPr>
      <w:r>
        <w:rPr/>
        <w:t>Mobilt satellitinternet anvendes i situationer, der svarer til tale-situtatoner. Begge teknologier bru- ges i mange forskellige professioner, eksempelvis på transportskibe, flyvemaskiner og forskere på missioner i områder uden konventionelt signal. Fly anvender satellitter til at kommunikere med kontroltårne på jorden, og nogle luftfartsselskaber tilbyder internet til passagerer. Skibe i rum sø bruger satellitkommunikation til at få oplysninger fra hovedkvarteret og kan varsko havne, før de lægger til, og derved øge chancen for, at der er kapacitet til rådighed. Vejrmeldinger leveret til skibe tillader kursændringer, der kan reducere risikoen for tabt last, og spare brændstof ved valg af en mere effektiv rute. Ingen af disse gevinster er kvantificeret.</w:t>
      </w:r>
    </w:p>
    <w:p>
      <w:pPr>
        <w:pStyle w:val="BodyText"/>
        <w:spacing w:before="4"/>
        <w:rPr>
          <w:sz w:val="19"/>
        </w:rPr>
      </w:pPr>
    </w:p>
    <w:p>
      <w:pPr>
        <w:pStyle w:val="BodyText"/>
        <w:spacing w:line="264" w:lineRule="auto"/>
        <w:ind w:left="742" w:right="1216"/>
      </w:pPr>
      <w:r>
        <w:rPr/>
        <w:t>Satellitinternet kan også bruges i tilfælde af katastrofer, hvor mobilmaster er sat ud af kraft eller efterspørgslen efter mobilkapacitet gør, at beredskabstjenester ikke kan kommunikere med hinan- den. Innovative løsninger på området tillader, at et alternativt 3G/4G-netværk kan oprettes og sikre den bedst mulige løsning af krisesituationen.</w:t>
      </w:r>
    </w:p>
    <w:p>
      <w:pPr>
        <w:pStyle w:val="BodyText"/>
        <w:spacing w:before="7"/>
        <w:rPr>
          <w:sz w:val="19"/>
        </w:rPr>
      </w:pPr>
    </w:p>
    <w:p>
      <w:pPr>
        <w:pStyle w:val="BodyText"/>
        <w:spacing w:line="264" w:lineRule="auto"/>
        <w:ind w:left="742" w:right="1187"/>
      </w:pPr>
      <w:r>
        <w:rPr/>
        <w:t>Militære enheder anvender krypteret satellitkommunikation til at sikre, at information ikke bliver opsnappet af fjendtligtsindede styrker, men kun til de ønskede modtagere. I den sammenhæng vurderer vi at CubeSats kan være en særligt attraktiv løsning til militærkommunikation, fordi Cu- beSats kan bringes i en position, hvor de kan tjene som kortvarig mellemstation til kommunikation mellem to (nære) styrker. Den korte varighed øger sandsynligheden for, at krypteringen ikke bry- des.</w:t>
      </w:r>
    </w:p>
    <w:p>
      <w:pPr>
        <w:pStyle w:val="BodyText"/>
        <w:spacing w:before="5"/>
        <w:rPr>
          <w:sz w:val="19"/>
        </w:rPr>
      </w:pPr>
    </w:p>
    <w:p>
      <w:pPr>
        <w:pStyle w:val="BodyText"/>
        <w:spacing w:line="264" w:lineRule="auto" w:before="1"/>
        <w:ind w:left="742" w:right="1188"/>
      </w:pPr>
      <w:r>
        <w:rPr/>
        <w:t>Disse eksempler på brug af satellitkommunikation er tænkt som vejledning i brug af denne rumba- serede tjeneste, og selvom der ikke eksisterer kvantificerede gevinster, burde samfundsøkonomi- ske gevinster kunne tænkes.</w:t>
      </w:r>
    </w:p>
    <w:p>
      <w:pPr>
        <w:pStyle w:val="BodyText"/>
        <w:spacing w:before="7"/>
        <w:rPr>
          <w:sz w:val="19"/>
        </w:rPr>
      </w:pPr>
    </w:p>
    <w:p>
      <w:pPr>
        <w:pStyle w:val="Heading2"/>
        <w:numPr>
          <w:ilvl w:val="1"/>
          <w:numId w:val="7"/>
        </w:numPr>
        <w:tabs>
          <w:tab w:pos="741" w:val="left" w:leader="none"/>
          <w:tab w:pos="743" w:val="left" w:leader="none"/>
        </w:tabs>
        <w:spacing w:line="240" w:lineRule="auto" w:before="0" w:after="0"/>
        <w:ind w:left="742" w:right="0" w:hanging="624"/>
        <w:jc w:val="left"/>
      </w:pPr>
      <w:bookmarkStart w:name="_bookmark34" w:id="35"/>
      <w:bookmarkEnd w:id="35"/>
      <w:r>
        <w:rPr/>
        <w:t>C</w:t>
      </w:r>
      <w:r>
        <w:rPr/>
        <w:t>asestudier af rumanvendelse</w:t>
      </w:r>
    </w:p>
    <w:p>
      <w:pPr>
        <w:pStyle w:val="BodyText"/>
        <w:spacing w:line="264" w:lineRule="auto" w:before="21"/>
        <w:ind w:left="742" w:right="1213"/>
      </w:pPr>
      <w:r>
        <w:rPr/>
        <w:t>Som ovenstående gennemgang tydelig har illustreret, er rumteknologi allerede en vigtig del af danskernes hverdag. GPS, satellitbilleder og vejrmeldinger er blot nogle eksempler på teknologi, som i disse år anvendes inden for stadig flere områder. Rumteknologierne hjælper til, at samfun- dets ressourcer kan anvendes bedre. Det følgende underafsnit og kapitel 6 indeholder en række casestudier, hvor en øget satsning på rumteknologi kan lede til hhv. store samfundsøkonomiske besparelser og nye kommercielle muligheder. Hvert casestudie præsenterer et komplekst sam- fundsmæssigt problem inden for et bestemt område, der kan løses billigere og bedre ved brug af rumteknologi. Da der er tale om fremtidige investeringer og potentialer, bør casestudiernes bereg- ninger ses som indikative. Selvom der er en stor usikkerhed forbundet med beregningerne, viser de markante samfundsgevinster ved brugen af rumteknologi.</w:t>
      </w: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3128;mso-wrap-distance-left:0;mso-wrap-distance-right:0" from="85.103996pt,16.152822pt" to="229.123996pt,16.152822pt" stroked="true" strokeweight=".48004pt" strokecolor="#000000">
            <v:stroke dashstyle="solid"/>
            <w10:wrap type="topAndBottom"/>
          </v:line>
        </w:pict>
      </w:r>
    </w:p>
    <w:p>
      <w:pPr>
        <w:spacing w:line="316" w:lineRule="auto" w:before="99"/>
        <w:ind w:left="742" w:right="1154" w:firstLine="0"/>
        <w:jc w:val="left"/>
        <w:rPr>
          <w:sz w:val="13"/>
        </w:rPr>
      </w:pPr>
      <w:r>
        <w:rPr>
          <w:position w:val="6"/>
          <w:sz w:val="8"/>
        </w:rPr>
        <w:t>61 </w:t>
      </w:r>
      <w:r>
        <w:rPr>
          <w:sz w:val="13"/>
        </w:rPr>
        <w:t>Signalet skal rejse fra brugerens parabol til satellitten og tilbage til jorden et andet sted for at forbinde brugeren til nettet, og selv med lysets hastighed tager det tid.</w:t>
      </w:r>
    </w:p>
    <w:p>
      <w:pPr>
        <w:spacing w:after="0" w:line="316" w:lineRule="auto"/>
        <w:jc w:val="left"/>
        <w:rPr>
          <w:sz w:val="13"/>
        </w:rPr>
        <w:sectPr>
          <w:pgSz w:w="11910" w:h="16840"/>
          <w:pgMar w:header="0" w:footer="1056" w:top="1580" w:bottom="1240" w:left="960" w:right="0"/>
        </w:sectPr>
      </w:pPr>
    </w:p>
    <w:p>
      <w:pPr>
        <w:pStyle w:val="ListParagraph"/>
        <w:numPr>
          <w:ilvl w:val="2"/>
          <w:numId w:val="7"/>
        </w:numPr>
        <w:tabs>
          <w:tab w:pos="743" w:val="left" w:leader="none"/>
        </w:tabs>
        <w:spacing w:line="240" w:lineRule="auto" w:before="126" w:after="0"/>
        <w:ind w:left="742" w:right="0" w:hanging="624"/>
        <w:jc w:val="left"/>
        <w:rPr>
          <w:b/>
          <w:sz w:val="18"/>
        </w:rPr>
      </w:pPr>
      <w:bookmarkStart w:name="_bookmark35" w:id="36"/>
      <w:bookmarkEnd w:id="36"/>
      <w:r>
        <w:rPr>
          <w:b/>
          <w:sz w:val="18"/>
        </w:rPr>
        <w:t>C</w:t>
      </w:r>
      <w:r>
        <w:rPr>
          <w:b/>
          <w:sz w:val="18"/>
        </w:rPr>
        <w:t>ase: Rumbaseret</w:t>
      </w:r>
      <w:r>
        <w:rPr>
          <w:b/>
          <w:spacing w:val="-1"/>
          <w:sz w:val="18"/>
        </w:rPr>
        <w:t> </w:t>
      </w:r>
      <w:r>
        <w:rPr>
          <w:b/>
          <w:sz w:val="18"/>
        </w:rPr>
        <w:t>flyovervågning</w:t>
      </w:r>
    </w:p>
    <w:p>
      <w:pPr>
        <w:pStyle w:val="BodyText"/>
        <w:spacing w:line="264" w:lineRule="auto" w:before="22"/>
        <w:ind w:left="742" w:right="1135"/>
      </w:pPr>
      <w:r>
        <w:rPr/>
        <w:t>At fly ikke er overvåget til alle tider, og at det rent faktisk er muligt for en Boeing 777 at forsvinde fuldstændigt, kom nok som en overraskelse for de fleste mennesker, da Malaysian Airlines MH370 i 2014 gjorde netop det. To år senere er vraget stadig ikke fundet, og det til trods for at det Austral- ske Transport Safety Bureau indtil nu har undersøgt 100.000 kvadratkilometer havbund.</w:t>
      </w:r>
      <w:r>
        <w:rPr>
          <w:w w:val="99"/>
          <w:position w:val="6"/>
          <w:sz w:val="8"/>
        </w:rPr>
        <w:t>62</w:t>
      </w:r>
      <w:r>
        <w:rPr>
          <w:position w:val="6"/>
          <w:sz w:val="8"/>
        </w:rPr>
        <w:t>  </w:t>
      </w:r>
      <w:r>
        <w:rPr/>
        <w:t>Ligeledes forsvandt Air France AF447 fem år tidligere, i 2009, undervejs fra Rio de Janeiro i Brasilien til Paris, og dengang tog det næsten to år at finde flyets sorte bokse og bestemme årsagen til ulykken.</w:t>
      </w:r>
    </w:p>
    <w:p>
      <w:pPr>
        <w:pStyle w:val="BodyText"/>
        <w:spacing w:before="5"/>
        <w:rPr>
          <w:sz w:val="19"/>
        </w:rPr>
      </w:pPr>
    </w:p>
    <w:p>
      <w:pPr>
        <w:pStyle w:val="BodyText"/>
        <w:spacing w:line="264" w:lineRule="auto"/>
        <w:ind w:left="742" w:right="1117"/>
      </w:pPr>
      <w:r>
        <w:rPr/>
        <w:t>Den Internationale Civil Aviation Organisation (ICAO) har reageret på situationen og introduceret et krav om tracking af fly med højst 15 minutters interval mellem oplysninger om flyets position. Op- lysningerne skal leveres af flyselskabet og effektueres fra 2018. ADS-C</w:t>
      </w:r>
      <w:r>
        <w:rPr>
          <w:w w:val="99"/>
          <w:position w:val="6"/>
          <w:sz w:val="8"/>
        </w:rPr>
        <w:t>63</w:t>
      </w:r>
      <w:r>
        <w:rPr>
          <w:position w:val="6"/>
          <w:sz w:val="8"/>
        </w:rPr>
        <w:t>  </w:t>
      </w:r>
      <w:r>
        <w:rPr/>
        <w:t>er en satellitbaseret løs- ning leveret af Inmarsat, som kan opnå den nødvendige nøjagtighed krævet af ICAO, men to kommende løsninger (med dansk islæt) vil forbedre præstationen markant: GomSpace og NAVIAIR gennem Aireon.</w:t>
      </w:r>
    </w:p>
    <w:p>
      <w:pPr>
        <w:pStyle w:val="BodyText"/>
        <w:spacing w:before="6"/>
        <w:rPr>
          <w:sz w:val="19"/>
        </w:rPr>
      </w:pPr>
    </w:p>
    <w:p>
      <w:pPr>
        <w:pStyle w:val="BodyText"/>
        <w:spacing w:line="264" w:lineRule="auto"/>
        <w:ind w:left="742" w:right="1142"/>
        <w:rPr>
          <w:sz w:val="8"/>
        </w:rPr>
      </w:pPr>
      <w:r>
        <w:rPr/>
        <w:t>Kort fortalt er forskellen på ADS-C og ADS-B, som anvendes i de kommende løsninger, opdate- ringshastigheden på flypositioner. Hvor ADS-C har et opdateringsinterval på ca. 15 min., har ADS- B en opdateringshastigheden på 8 sekunder. Begge danske løsninger anvender satellitter sammen med den eksisterende ADS-B-teknologi</w:t>
      </w:r>
      <w:r>
        <w:rPr>
          <w:w w:val="99"/>
          <w:position w:val="6"/>
          <w:sz w:val="8"/>
        </w:rPr>
        <w:t>64</w:t>
      </w:r>
      <w:r>
        <w:rPr/>
        <w:t>. ADS-B er et system, hvor en luftfartscertificeret GNSS- modtager beregner flyets position og udsender denne information sammen med retning og ha- stighed. På nuværende tidspunkt indsamles data af jordbaserede antenner, som giver flyvekontrol- tjenester tilstrækkelig information til, at disse data kan anvendes som grundlag for flyvekontrollens adskillelse af fly i samme område. At antennerne til ADS-B er jordbaserede betyder imidlertid (pga. signalets rækkevidde), at kun ca. 30 % af jordoverfladen er dækket, og oceanerne ikke er, så i begge tilfælde (MH370 og AF447) var det ikke muligt at anvende ADS-B-signalet til at lokalisere vragene. For at et flyovervågningssystem kan anvendes til flyvekontrol kræves en latens i det tek- niske system, som ikke overstiger 2 sekunder. Ligeledes skal opdateringshastigheden på fly- positioner være lille og må ikke overstige 8 sekunder. ADS-B opfylder disse specifikke krav.</w:t>
      </w:r>
      <w:r>
        <w:rPr>
          <w:w w:val="99"/>
          <w:position w:val="6"/>
          <w:sz w:val="8"/>
        </w:rPr>
        <w:t>65</w:t>
      </w:r>
    </w:p>
    <w:p>
      <w:pPr>
        <w:pStyle w:val="BodyText"/>
        <w:spacing w:before="10"/>
        <w:rPr>
          <w:sz w:val="10"/>
        </w:rPr>
      </w:pPr>
    </w:p>
    <w:p>
      <w:pPr>
        <w:spacing w:after="0"/>
        <w:rPr>
          <w:sz w:val="10"/>
        </w:rPr>
        <w:sectPr>
          <w:pgSz w:w="11910" w:h="16840"/>
          <w:pgMar w:header="0" w:footer="1056" w:top="1580" w:bottom="1240" w:left="960" w:right="0"/>
        </w:sectPr>
      </w:pPr>
    </w:p>
    <w:p>
      <w:pPr>
        <w:pStyle w:val="BodyText"/>
        <w:spacing w:line="264" w:lineRule="auto" w:before="100"/>
        <w:ind w:left="742"/>
      </w:pPr>
      <w:r>
        <w:rPr/>
        <w:t>GomX-3 fra Gomspace er en tre- moduls CubeSat, som er blevet til med</w:t>
      </w:r>
      <w:r>
        <w:rPr>
          <w:spacing w:val="-1"/>
        </w:rPr>
        <w:t> </w:t>
      </w:r>
      <w:r>
        <w:rPr/>
        <w:t>st</w:t>
      </w:r>
      <w:r>
        <w:rPr>
          <w:spacing w:val="-2"/>
        </w:rPr>
        <w:t>ø</w:t>
      </w:r>
      <w:r>
        <w:rPr/>
        <w:t>tte</w:t>
      </w:r>
      <w:r>
        <w:rPr>
          <w:spacing w:val="-1"/>
        </w:rPr>
        <w:t> f</w:t>
      </w:r>
      <w:r>
        <w:rPr/>
        <w:t>ra</w:t>
      </w:r>
      <w:r>
        <w:rPr>
          <w:spacing w:val="-1"/>
        </w:rPr>
        <w:t> ESA</w:t>
      </w:r>
      <w:r>
        <w:rPr/>
        <w:t>’s</w:t>
      </w:r>
      <w:r>
        <w:rPr>
          <w:spacing w:val="1"/>
        </w:rPr>
        <w:t> </w:t>
      </w:r>
      <w:r>
        <w:rPr>
          <w:spacing w:val="-1"/>
        </w:rPr>
        <w:t>G</w:t>
      </w:r>
      <w:r>
        <w:rPr>
          <w:spacing w:val="-2"/>
        </w:rPr>
        <w:t>S</w:t>
      </w:r>
      <w:r>
        <w:rPr>
          <w:spacing w:val="-1"/>
        </w:rPr>
        <w:t>T</w:t>
      </w:r>
      <w:r>
        <w:rPr>
          <w:spacing w:val="1"/>
        </w:rPr>
        <w:t>P</w:t>
      </w:r>
      <w:r>
        <w:rPr>
          <w:w w:val="99"/>
          <w:position w:val="6"/>
          <w:sz w:val="8"/>
        </w:rPr>
        <w:t>66</w:t>
      </w:r>
      <w:r>
        <w:rPr/>
        <w:t>.</w:t>
      </w:r>
      <w:r>
        <w:rPr>
          <w:spacing w:val="-2"/>
        </w:rPr>
        <w:t> </w:t>
      </w:r>
      <w:hyperlink w:history="true" w:anchor="_bookmark36">
        <w:r>
          <w:rPr/>
          <w:t>Fig</w:t>
        </w:r>
        <w:r>
          <w:rPr>
            <w:spacing w:val="-1"/>
          </w:rPr>
          <w:t>u</w:t>
        </w:r>
        <w:r>
          <w:rPr/>
          <w:t>r</w:t>
        </w:r>
      </w:hyperlink>
      <w:r>
        <w:rPr/>
        <w:t> </w:t>
      </w:r>
      <w:hyperlink w:history="true" w:anchor="_bookmark36">
        <w:r>
          <w:rPr/>
          <w:t>16 </w:t>
        </w:r>
      </w:hyperlink>
      <w:r>
        <w:rPr/>
        <w:t>viser resultatet af satellittens første seks måneders operation, hvor hver grøn plet indikerer et identificeret og lokaliseret fly. Sa- tellittens kredsløb er meget kræ- vende, så den forventes at brænde op i jordens atmosfære i septem- ber 2016 efter ca. 11 måneders operation. GomX-3 har demonstre- ret potentialet i flyovervågning med CubeSat, og man kan let fore- stille sig, at en større konstellation af CubeSats kan levere en</w:t>
      </w:r>
      <w:r>
        <w:rPr>
          <w:spacing w:val="-7"/>
        </w:rPr>
        <w:t> </w:t>
      </w:r>
      <w:r>
        <w:rPr/>
        <w:t>betrag-</w:t>
      </w:r>
    </w:p>
    <w:p>
      <w:pPr>
        <w:pStyle w:val="BodyText"/>
        <w:spacing w:before="2"/>
        <w:rPr>
          <w:sz w:val="20"/>
        </w:rPr>
      </w:pPr>
      <w:r>
        <w:rPr/>
        <w:br w:type="column"/>
      </w:r>
      <w:r>
        <w:rPr>
          <w:sz w:val="20"/>
        </w:rPr>
      </w:r>
    </w:p>
    <w:p>
      <w:pPr>
        <w:spacing w:before="1"/>
        <w:ind w:left="292" w:right="0" w:firstLine="0"/>
        <w:jc w:val="left"/>
        <w:rPr>
          <w:b/>
          <w:sz w:val="15"/>
        </w:rPr>
      </w:pPr>
      <w:bookmarkStart w:name="_bookmark36" w:id="37"/>
      <w:bookmarkEnd w:id="37"/>
      <w:r>
        <w:rPr/>
      </w:r>
      <w:r>
        <w:rPr>
          <w:b/>
          <w:color w:val="009DDF"/>
          <w:sz w:val="15"/>
        </w:rPr>
        <w:t>Figur 16. GomX-3 flyovervågning</w:t>
      </w:r>
    </w:p>
    <w:p>
      <w:pPr>
        <w:pStyle w:val="BodyText"/>
        <w:spacing w:before="3"/>
        <w:rPr>
          <w:b/>
          <w:sz w:val="8"/>
        </w:rPr>
      </w:pPr>
    </w:p>
    <w:p>
      <w:pPr>
        <w:pStyle w:val="BodyText"/>
        <w:ind w:left="292"/>
        <w:rPr>
          <w:sz w:val="20"/>
        </w:rPr>
      </w:pPr>
      <w:r>
        <w:rPr>
          <w:sz w:val="20"/>
        </w:rPr>
        <w:drawing>
          <wp:inline distT="0" distB="0" distL="0" distR="0">
            <wp:extent cx="3512343" cy="1972532"/>
            <wp:effectExtent l="0" t="0" r="0" b="0"/>
            <wp:docPr id="51" name="image41.jpeg" descr=""/>
            <wp:cNvGraphicFramePr>
              <a:graphicFrameLocks noChangeAspect="1"/>
            </wp:cNvGraphicFramePr>
            <a:graphic>
              <a:graphicData uri="http://schemas.openxmlformats.org/drawingml/2006/picture">
                <pic:pic>
                  <pic:nvPicPr>
                    <pic:cNvPr id="52" name="image41.jpeg"/>
                    <pic:cNvPicPr/>
                  </pic:nvPicPr>
                  <pic:blipFill>
                    <a:blip r:embed="rId80" cstate="print"/>
                    <a:stretch>
                      <a:fillRect/>
                    </a:stretch>
                  </pic:blipFill>
                  <pic:spPr>
                    <a:xfrm>
                      <a:off x="0" y="0"/>
                      <a:ext cx="3512343" cy="1972532"/>
                    </a:xfrm>
                    <a:prstGeom prst="rect">
                      <a:avLst/>
                    </a:prstGeom>
                  </pic:spPr>
                </pic:pic>
              </a:graphicData>
            </a:graphic>
          </wp:inline>
        </w:drawing>
      </w:r>
      <w:r>
        <w:rPr>
          <w:sz w:val="20"/>
        </w:rPr>
      </w:r>
    </w:p>
    <w:p>
      <w:pPr>
        <w:spacing w:before="39"/>
        <w:ind w:left="292" w:right="0" w:firstLine="0"/>
        <w:jc w:val="left"/>
        <w:rPr>
          <w:sz w:val="16"/>
        </w:rPr>
      </w:pPr>
      <w:r>
        <w:rPr>
          <w:sz w:val="16"/>
        </w:rPr>
        <w:t>Kilde: ESA</w:t>
      </w:r>
    </w:p>
    <w:p>
      <w:pPr>
        <w:spacing w:after="0"/>
        <w:jc w:val="left"/>
        <w:rPr>
          <w:sz w:val="16"/>
        </w:rPr>
        <w:sectPr>
          <w:type w:val="continuous"/>
          <w:pgSz w:w="11910" w:h="16840"/>
          <w:pgMar w:top="1400" w:bottom="280" w:left="960" w:right="0"/>
          <w:cols w:num="2" w:equalWidth="0">
            <w:col w:w="3960" w:space="40"/>
            <w:col w:w="6950"/>
          </w:cols>
        </w:sectPr>
      </w:pPr>
    </w:p>
    <w:p>
      <w:pPr>
        <w:pStyle w:val="BodyText"/>
        <w:spacing w:line="210" w:lineRule="exact"/>
        <w:ind w:left="742"/>
      </w:pPr>
      <w:r>
        <w:rPr/>
        <w:t>telig forbedring i forhold til både ADS-C og eksisterende systemer over havet.</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3152;mso-wrap-distance-left:0;mso-wrap-distance-right:0" from="85.103996pt,9.923684pt" to="229.123996pt,9.923684pt" stroked="true" strokeweight=".48004pt" strokecolor="#000000">
            <v:stroke dashstyle="solid"/>
            <w10:wrap type="topAndBottom"/>
          </v:line>
        </w:pict>
      </w:r>
    </w:p>
    <w:p>
      <w:pPr>
        <w:spacing w:before="99"/>
        <w:ind w:left="742" w:right="0" w:firstLine="0"/>
        <w:jc w:val="left"/>
        <w:rPr>
          <w:i/>
          <w:sz w:val="13"/>
        </w:rPr>
      </w:pPr>
      <w:r>
        <w:rPr>
          <w:position w:val="6"/>
          <w:sz w:val="8"/>
        </w:rPr>
        <w:t>62 </w:t>
      </w:r>
      <w:r>
        <w:rPr>
          <w:sz w:val="13"/>
        </w:rPr>
        <w:t>Australian Transport Safety Bureau (13 April 2016) </w:t>
      </w:r>
      <w:r>
        <w:rPr>
          <w:i/>
          <w:sz w:val="13"/>
        </w:rPr>
        <w:t>Operational update [on MH370].</w:t>
      </w:r>
    </w:p>
    <w:p>
      <w:pPr>
        <w:spacing w:before="43"/>
        <w:ind w:left="742" w:right="0" w:firstLine="0"/>
        <w:jc w:val="left"/>
        <w:rPr>
          <w:sz w:val="13"/>
        </w:rPr>
      </w:pPr>
      <w:r>
        <w:rPr>
          <w:position w:val="6"/>
          <w:sz w:val="8"/>
        </w:rPr>
        <w:t>63 </w:t>
      </w:r>
      <w:r>
        <w:rPr>
          <w:sz w:val="13"/>
        </w:rPr>
        <w:t>Automatic Dependent Surveillance – Contract.</w:t>
      </w:r>
    </w:p>
    <w:p>
      <w:pPr>
        <w:spacing w:before="41"/>
        <w:ind w:left="742" w:right="0" w:firstLine="0"/>
        <w:jc w:val="left"/>
        <w:rPr>
          <w:sz w:val="13"/>
        </w:rPr>
      </w:pPr>
      <w:r>
        <w:rPr>
          <w:position w:val="6"/>
          <w:sz w:val="8"/>
        </w:rPr>
        <w:t>64 </w:t>
      </w:r>
      <w:r>
        <w:rPr>
          <w:sz w:val="13"/>
        </w:rPr>
        <w:t>Automatic Dependent Surveillance – Broadcast.</w:t>
      </w:r>
    </w:p>
    <w:p>
      <w:pPr>
        <w:spacing w:before="44"/>
        <w:ind w:left="742" w:right="0" w:firstLine="0"/>
        <w:jc w:val="left"/>
        <w:rPr>
          <w:sz w:val="13"/>
        </w:rPr>
      </w:pPr>
      <w:r>
        <w:rPr>
          <w:position w:val="6"/>
          <w:sz w:val="8"/>
        </w:rPr>
        <w:t>65 </w:t>
      </w:r>
      <w:r>
        <w:rPr>
          <w:sz w:val="13"/>
        </w:rPr>
        <w:t>Opdateringsinterval på højst 8 sekunder og latenstid på højst 2 sekunder.</w:t>
      </w:r>
    </w:p>
    <w:p>
      <w:pPr>
        <w:spacing w:before="41"/>
        <w:ind w:left="742" w:right="0" w:firstLine="0"/>
        <w:jc w:val="left"/>
        <w:rPr>
          <w:sz w:val="13"/>
        </w:rPr>
      </w:pPr>
      <w:r>
        <w:rPr>
          <w:position w:val="6"/>
          <w:sz w:val="8"/>
        </w:rPr>
        <w:t>66 </w:t>
      </w:r>
      <w:r>
        <w:rPr>
          <w:sz w:val="13"/>
        </w:rPr>
        <w:t>General Support Technology Programme.</w:t>
      </w:r>
    </w:p>
    <w:p>
      <w:pPr>
        <w:spacing w:after="0"/>
        <w:jc w:val="left"/>
        <w:rPr>
          <w:sz w:val="13"/>
        </w:rPr>
        <w:sectPr>
          <w:type w:val="continuous"/>
          <w:pgSz w:w="11910" w:h="16840"/>
          <w:pgMar w:top="1400" w:bottom="280" w:left="960" w:right="0"/>
        </w:sectPr>
      </w:pPr>
    </w:p>
    <w:p>
      <w:pPr>
        <w:pStyle w:val="BodyText"/>
        <w:spacing w:line="264" w:lineRule="auto" w:before="126"/>
        <w:ind w:left="742" w:right="1208"/>
      </w:pPr>
      <w:r>
        <w:rPr/>
        <w:t>Den anden løsning med dansk islæt kommer fra NAVIAIR, den danske flyvekontroltjeneste, som ejer 6 % af aktierne i Aireon, et joint-venture i samarbejde med det amerikanske satellitkommuni- kationsselskab Iridium (24,5 %), og flyvekontroltjenester i Canada (51 %), Italien (12,5 %) og Irland (6 %).</w:t>
      </w:r>
      <w:r>
        <w:rPr>
          <w:w w:val="99"/>
          <w:position w:val="6"/>
          <w:sz w:val="8"/>
        </w:rPr>
        <w:t>67</w:t>
      </w:r>
      <w:r>
        <w:rPr>
          <w:position w:val="6"/>
          <w:sz w:val="8"/>
        </w:rPr>
        <w:t>  </w:t>
      </w:r>
      <w:r>
        <w:rPr/>
        <w:t>Aireon har udviklet et ADS-B-modtagesystem, der bliver monteret på 66 Iridium NEXT-satellitter i Low Earth Orbit (ca. 780 km) og forventes klar i 2018. Resultatet er det første globalt dækkende overvågningssystem af luftfarten. Med 66 satellitter og Iridiums eksisterende kommunikationssystem, hvor alle satellitter er i konstant forbindelse med fire andre satellitter (to i det samme plan og en i hvert tilstødende plan) samt et veludbygget system af jordstationer kan Aireon tilbyde global ATC Surveillance. Som ekspert i flyvekontrol er NAVIAIRs rolle at sikre, at systemet opfylder alle krav til og ønsker fra flyvekontrolsegmentet.</w:t>
      </w:r>
    </w:p>
    <w:p>
      <w:pPr>
        <w:pStyle w:val="BodyText"/>
        <w:spacing w:before="3"/>
        <w:rPr>
          <w:sz w:val="19"/>
        </w:rPr>
      </w:pPr>
    </w:p>
    <w:p>
      <w:pPr>
        <w:pStyle w:val="BodyText"/>
        <w:spacing w:line="264" w:lineRule="auto"/>
        <w:ind w:left="742" w:right="1220"/>
      </w:pPr>
      <w:r>
        <w:rPr/>
        <w:t>Redningsaktioner i tilfælde af ulykker bliver mere effektive, når alle fly er overvåget på ATC Sur- veillance-niveau, og det relevante afsøgningsområde reduceres betragteligt. Dette er illustreret i tabellen nedenfor, som viser, at hvis MH370 (Boeing 777) havde været overvåget med ADS-B ville det relevante søgeområde være 4,1 kvadratkilometer, en markant forbedring af de indtil nu</w:t>
      </w:r>
    </w:p>
    <w:p>
      <w:pPr>
        <w:pStyle w:val="BodyText"/>
        <w:spacing w:line="217" w:lineRule="exact"/>
        <w:ind w:left="742"/>
      </w:pPr>
      <w:r>
        <w:rPr/>
        <w:t>100.000 kvadratkilometer, der er afsøgt.</w:t>
      </w:r>
    </w:p>
    <w:p>
      <w:pPr>
        <w:pStyle w:val="BodyText"/>
        <w:rPr>
          <w:sz w:val="22"/>
        </w:rPr>
      </w:pPr>
    </w:p>
    <w:p>
      <w:pPr>
        <w:spacing w:before="139"/>
        <w:ind w:left="742" w:right="0" w:firstLine="0"/>
        <w:jc w:val="left"/>
        <w:rPr>
          <w:b/>
          <w:sz w:val="15"/>
        </w:rPr>
      </w:pPr>
      <w:r>
        <w:rPr>
          <w:b/>
          <w:color w:val="009DDF"/>
          <w:sz w:val="15"/>
        </w:rPr>
        <w:t>Tabel 11. Afsøgningsområde ved forskellige flytracking-systemer</w:t>
      </w:r>
    </w:p>
    <w:p>
      <w:pPr>
        <w:pStyle w:val="BodyText"/>
        <w:spacing w:before="1"/>
        <w:rPr>
          <w:b/>
          <w:sz w:val="9"/>
        </w:rPr>
      </w:pPr>
    </w:p>
    <w:tbl>
      <w:tblPr>
        <w:tblW w:w="0" w:type="auto"/>
        <w:jc w:val="left"/>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0"/>
        <w:gridCol w:w="1934"/>
        <w:gridCol w:w="1285"/>
        <w:gridCol w:w="1392"/>
        <w:gridCol w:w="1410"/>
        <w:gridCol w:w="1491"/>
      </w:tblGrid>
      <w:tr>
        <w:trPr>
          <w:trHeight w:val="772" w:hRule="atLeast"/>
        </w:trPr>
        <w:tc>
          <w:tcPr>
            <w:tcW w:w="1810" w:type="dxa"/>
            <w:shd w:val="clear" w:color="auto" w:fill="A7D2F5"/>
          </w:tcPr>
          <w:p>
            <w:pPr>
              <w:pStyle w:val="TableParagraph"/>
              <w:spacing w:before="0"/>
              <w:ind w:left="0"/>
              <w:rPr>
                <w:rFonts w:ascii="Times New Roman"/>
                <w:sz w:val="16"/>
              </w:rPr>
            </w:pPr>
          </w:p>
        </w:tc>
        <w:tc>
          <w:tcPr>
            <w:tcW w:w="1934" w:type="dxa"/>
            <w:shd w:val="clear" w:color="auto" w:fill="A7D2F5"/>
          </w:tcPr>
          <w:p>
            <w:pPr>
              <w:pStyle w:val="TableParagraph"/>
              <w:spacing w:before="0"/>
              <w:ind w:left="0"/>
              <w:rPr>
                <w:rFonts w:ascii="Times New Roman"/>
                <w:sz w:val="16"/>
              </w:rPr>
            </w:pPr>
          </w:p>
        </w:tc>
        <w:tc>
          <w:tcPr>
            <w:tcW w:w="1285" w:type="dxa"/>
            <w:shd w:val="clear" w:color="auto" w:fill="A7D2F5"/>
          </w:tcPr>
          <w:p>
            <w:pPr>
              <w:pStyle w:val="TableParagraph"/>
              <w:spacing w:line="261" w:lineRule="auto" w:before="52"/>
              <w:ind w:left="24" w:right="210"/>
              <w:rPr>
                <w:b/>
                <w:sz w:val="16"/>
              </w:rPr>
            </w:pPr>
            <w:r>
              <w:rPr>
                <w:b/>
                <w:color w:val="FFFFFF"/>
                <w:sz w:val="16"/>
              </w:rPr>
              <w:t>Propelfly (eksempel)</w:t>
            </w:r>
          </w:p>
        </w:tc>
        <w:tc>
          <w:tcPr>
            <w:tcW w:w="1392" w:type="dxa"/>
            <w:shd w:val="clear" w:color="auto" w:fill="A7D2F5"/>
          </w:tcPr>
          <w:p>
            <w:pPr>
              <w:pStyle w:val="TableParagraph"/>
              <w:spacing w:line="261" w:lineRule="auto" w:before="52"/>
              <w:ind w:left="158" w:right="257"/>
              <w:rPr>
                <w:b/>
                <w:sz w:val="16"/>
              </w:rPr>
            </w:pPr>
            <w:r>
              <w:rPr>
                <w:b/>
                <w:color w:val="FFFFFF"/>
                <w:sz w:val="16"/>
              </w:rPr>
              <w:t>Almindelig turboprop</w:t>
            </w:r>
          </w:p>
        </w:tc>
        <w:tc>
          <w:tcPr>
            <w:tcW w:w="1410" w:type="dxa"/>
            <w:shd w:val="clear" w:color="auto" w:fill="A7D2F5"/>
          </w:tcPr>
          <w:p>
            <w:pPr>
              <w:pStyle w:val="TableParagraph"/>
              <w:spacing w:line="261" w:lineRule="auto" w:before="52"/>
              <w:ind w:left="185" w:right="168"/>
              <w:rPr>
                <w:b/>
                <w:sz w:val="16"/>
              </w:rPr>
            </w:pPr>
            <w:r>
              <w:rPr>
                <w:b/>
                <w:color w:val="FFFFFF"/>
                <w:sz w:val="16"/>
              </w:rPr>
              <w:t>Almindelig regional jet</w:t>
            </w:r>
          </w:p>
        </w:tc>
        <w:tc>
          <w:tcPr>
            <w:tcW w:w="1491" w:type="dxa"/>
            <w:shd w:val="clear" w:color="auto" w:fill="A7D2F5"/>
          </w:tcPr>
          <w:p>
            <w:pPr>
              <w:pStyle w:val="TableParagraph"/>
              <w:spacing w:before="52"/>
              <w:ind w:left="191"/>
              <w:rPr>
                <w:b/>
                <w:sz w:val="16"/>
              </w:rPr>
            </w:pPr>
            <w:r>
              <w:rPr>
                <w:b/>
                <w:color w:val="FFFFFF"/>
                <w:sz w:val="16"/>
              </w:rPr>
              <w:t>Almindelig</w:t>
            </w:r>
          </w:p>
          <w:p>
            <w:pPr>
              <w:pStyle w:val="TableParagraph"/>
              <w:spacing w:line="261" w:lineRule="auto" w:before="60"/>
              <w:ind w:left="191" w:right="317"/>
              <w:rPr>
                <w:b/>
                <w:sz w:val="16"/>
              </w:rPr>
            </w:pPr>
            <w:r>
              <w:rPr>
                <w:b/>
                <w:color w:val="FFFFFF"/>
                <w:sz w:val="16"/>
              </w:rPr>
              <w:t>interkonti- nental jet</w:t>
            </w:r>
          </w:p>
        </w:tc>
      </w:tr>
      <w:tr>
        <w:trPr>
          <w:trHeight w:val="507" w:hRule="atLeast"/>
        </w:trPr>
        <w:tc>
          <w:tcPr>
            <w:tcW w:w="1810" w:type="dxa"/>
            <w:tcBorders>
              <w:top w:val="single" w:sz="8" w:space="0" w:color="A7D2F5"/>
              <w:left w:val="single" w:sz="8" w:space="0" w:color="A7D2F5"/>
              <w:bottom w:val="single" w:sz="8" w:space="0" w:color="A7D2F5"/>
            </w:tcBorders>
          </w:tcPr>
          <w:p>
            <w:pPr>
              <w:pStyle w:val="TableParagraph"/>
              <w:spacing w:before="0"/>
              <w:ind w:left="0"/>
              <w:rPr>
                <w:rFonts w:ascii="Times New Roman"/>
                <w:sz w:val="16"/>
              </w:rPr>
            </w:pPr>
          </w:p>
        </w:tc>
        <w:tc>
          <w:tcPr>
            <w:tcW w:w="1934" w:type="dxa"/>
            <w:tcBorders>
              <w:top w:val="single" w:sz="8" w:space="0" w:color="A7D2F5"/>
              <w:bottom w:val="single" w:sz="8" w:space="0" w:color="A7D2F5"/>
            </w:tcBorders>
          </w:tcPr>
          <w:p>
            <w:pPr>
              <w:pStyle w:val="TableParagraph"/>
              <w:spacing w:before="0"/>
              <w:ind w:left="0"/>
              <w:rPr>
                <w:rFonts w:ascii="Times New Roman"/>
                <w:sz w:val="16"/>
              </w:rPr>
            </w:pPr>
          </w:p>
        </w:tc>
        <w:tc>
          <w:tcPr>
            <w:tcW w:w="1285" w:type="dxa"/>
            <w:tcBorders>
              <w:top w:val="single" w:sz="8" w:space="0" w:color="A7D2F5"/>
              <w:bottom w:val="single" w:sz="8" w:space="0" w:color="A7D2F5"/>
            </w:tcBorders>
          </w:tcPr>
          <w:p>
            <w:pPr>
              <w:pStyle w:val="TableParagraph"/>
              <w:spacing w:before="10"/>
              <w:ind w:left="0"/>
              <w:rPr>
                <w:b/>
                <w:sz w:val="20"/>
              </w:rPr>
            </w:pPr>
          </w:p>
          <w:p>
            <w:pPr>
              <w:pStyle w:val="TableParagraph"/>
              <w:spacing w:before="1"/>
              <w:ind w:left="83" w:right="117"/>
              <w:jc w:val="center"/>
              <w:rPr>
                <w:sz w:val="16"/>
              </w:rPr>
            </w:pPr>
            <w:r>
              <w:rPr>
                <w:sz w:val="16"/>
              </w:rPr>
              <w:t>Cessna C172</w:t>
            </w:r>
          </w:p>
        </w:tc>
        <w:tc>
          <w:tcPr>
            <w:tcW w:w="1392" w:type="dxa"/>
            <w:tcBorders>
              <w:top w:val="single" w:sz="8" w:space="0" w:color="A7D2F5"/>
              <w:bottom w:val="single" w:sz="8" w:space="0" w:color="A7D2F5"/>
            </w:tcBorders>
          </w:tcPr>
          <w:p>
            <w:pPr>
              <w:pStyle w:val="TableParagraph"/>
              <w:spacing w:line="264" w:lineRule="auto"/>
              <w:ind w:left="477" w:right="146" w:hanging="185"/>
              <w:rPr>
                <w:sz w:val="16"/>
              </w:rPr>
            </w:pPr>
            <w:r>
              <w:rPr>
                <w:sz w:val="16"/>
              </w:rPr>
              <w:t>Bombardier Dash 8</w:t>
            </w:r>
          </w:p>
        </w:tc>
        <w:tc>
          <w:tcPr>
            <w:tcW w:w="1410" w:type="dxa"/>
            <w:tcBorders>
              <w:top w:val="single" w:sz="8" w:space="0" w:color="A7D2F5"/>
              <w:bottom w:val="single" w:sz="8" w:space="0" w:color="A7D2F5"/>
            </w:tcBorders>
          </w:tcPr>
          <w:p>
            <w:pPr>
              <w:pStyle w:val="TableParagraph"/>
              <w:spacing w:before="10"/>
              <w:ind w:left="0"/>
              <w:rPr>
                <w:b/>
                <w:sz w:val="20"/>
              </w:rPr>
            </w:pPr>
          </w:p>
          <w:p>
            <w:pPr>
              <w:pStyle w:val="TableParagraph"/>
              <w:spacing w:before="1"/>
              <w:ind w:left="310" w:right="151"/>
              <w:jc w:val="center"/>
              <w:rPr>
                <w:sz w:val="16"/>
              </w:rPr>
            </w:pPr>
            <w:r>
              <w:rPr>
                <w:sz w:val="16"/>
              </w:rPr>
              <w:t>Boeing 737</w:t>
            </w:r>
          </w:p>
        </w:tc>
        <w:tc>
          <w:tcPr>
            <w:tcW w:w="1491" w:type="dxa"/>
            <w:tcBorders>
              <w:top w:val="single" w:sz="8" w:space="0" w:color="A7D2F5"/>
              <w:bottom w:val="single" w:sz="8" w:space="0" w:color="A7D2F5"/>
              <w:right w:val="single" w:sz="8" w:space="0" w:color="A7D2F5"/>
            </w:tcBorders>
          </w:tcPr>
          <w:p>
            <w:pPr>
              <w:pStyle w:val="TableParagraph"/>
              <w:spacing w:before="10"/>
              <w:ind w:left="0"/>
              <w:rPr>
                <w:b/>
                <w:sz w:val="20"/>
              </w:rPr>
            </w:pPr>
          </w:p>
          <w:p>
            <w:pPr>
              <w:pStyle w:val="TableParagraph"/>
              <w:spacing w:before="1"/>
              <w:ind w:left="319" w:right="213"/>
              <w:jc w:val="center"/>
              <w:rPr>
                <w:sz w:val="16"/>
              </w:rPr>
            </w:pPr>
            <w:r>
              <w:rPr>
                <w:sz w:val="16"/>
              </w:rPr>
              <w:t>Boeing 777</w:t>
            </w:r>
          </w:p>
        </w:tc>
      </w:tr>
      <w:tr>
        <w:trPr>
          <w:trHeight w:val="294" w:hRule="atLeast"/>
        </w:trPr>
        <w:tc>
          <w:tcPr>
            <w:tcW w:w="1810" w:type="dxa"/>
            <w:tcBorders>
              <w:top w:val="single" w:sz="8" w:space="0" w:color="A7D2F5"/>
              <w:left w:val="single" w:sz="8" w:space="0" w:color="A7D2F5"/>
              <w:bottom w:val="single" w:sz="8" w:space="0" w:color="A7D2F5"/>
            </w:tcBorders>
          </w:tcPr>
          <w:p>
            <w:pPr>
              <w:pStyle w:val="TableParagraph"/>
              <w:spacing w:before="0"/>
              <w:ind w:left="0"/>
              <w:rPr>
                <w:rFonts w:ascii="Times New Roman"/>
                <w:sz w:val="16"/>
              </w:rPr>
            </w:pPr>
          </w:p>
        </w:tc>
        <w:tc>
          <w:tcPr>
            <w:tcW w:w="1934" w:type="dxa"/>
            <w:tcBorders>
              <w:top w:val="single" w:sz="8" w:space="0" w:color="A7D2F5"/>
              <w:bottom w:val="single" w:sz="8" w:space="0" w:color="A7D2F5"/>
            </w:tcBorders>
          </w:tcPr>
          <w:p>
            <w:pPr>
              <w:pStyle w:val="TableParagraph"/>
              <w:ind w:left="117"/>
              <w:rPr>
                <w:sz w:val="16"/>
              </w:rPr>
            </w:pPr>
            <w:r>
              <w:rPr>
                <w:sz w:val="16"/>
              </w:rPr>
              <w:t>Hastighed (knob)</w:t>
            </w:r>
          </w:p>
        </w:tc>
        <w:tc>
          <w:tcPr>
            <w:tcW w:w="1285" w:type="dxa"/>
            <w:tcBorders>
              <w:top w:val="single" w:sz="8" w:space="0" w:color="A7D2F5"/>
              <w:bottom w:val="single" w:sz="8" w:space="0" w:color="A7D2F5"/>
            </w:tcBorders>
          </w:tcPr>
          <w:p>
            <w:pPr>
              <w:pStyle w:val="TableParagraph"/>
              <w:ind w:left="83" w:right="117"/>
              <w:jc w:val="center"/>
              <w:rPr>
                <w:sz w:val="16"/>
              </w:rPr>
            </w:pPr>
            <w:r>
              <w:rPr>
                <w:sz w:val="16"/>
              </w:rPr>
              <w:t>122</w:t>
            </w:r>
          </w:p>
        </w:tc>
        <w:tc>
          <w:tcPr>
            <w:tcW w:w="1392" w:type="dxa"/>
            <w:tcBorders>
              <w:top w:val="single" w:sz="8" w:space="0" w:color="A7D2F5"/>
              <w:bottom w:val="single" w:sz="8" w:space="0" w:color="A7D2F5"/>
            </w:tcBorders>
          </w:tcPr>
          <w:p>
            <w:pPr>
              <w:pStyle w:val="TableParagraph"/>
              <w:ind w:left="587" w:right="459"/>
              <w:jc w:val="center"/>
              <w:rPr>
                <w:sz w:val="16"/>
              </w:rPr>
            </w:pPr>
            <w:r>
              <w:rPr>
                <w:sz w:val="16"/>
              </w:rPr>
              <w:t>360</w:t>
            </w:r>
          </w:p>
        </w:tc>
        <w:tc>
          <w:tcPr>
            <w:tcW w:w="1410" w:type="dxa"/>
            <w:tcBorders>
              <w:top w:val="single" w:sz="8" w:space="0" w:color="A7D2F5"/>
              <w:bottom w:val="single" w:sz="8" w:space="0" w:color="A7D2F5"/>
            </w:tcBorders>
          </w:tcPr>
          <w:p>
            <w:pPr>
              <w:pStyle w:val="TableParagraph"/>
              <w:ind w:left="310" w:right="151"/>
              <w:jc w:val="center"/>
              <w:rPr>
                <w:sz w:val="16"/>
              </w:rPr>
            </w:pPr>
            <w:r>
              <w:rPr>
                <w:sz w:val="16"/>
              </w:rPr>
              <w:t>444</w:t>
            </w:r>
          </w:p>
        </w:tc>
        <w:tc>
          <w:tcPr>
            <w:tcW w:w="1491" w:type="dxa"/>
            <w:tcBorders>
              <w:top w:val="single" w:sz="8" w:space="0" w:color="A7D2F5"/>
              <w:bottom w:val="single" w:sz="8" w:space="0" w:color="A7D2F5"/>
              <w:right w:val="single" w:sz="8" w:space="0" w:color="A7D2F5"/>
            </w:tcBorders>
          </w:tcPr>
          <w:p>
            <w:pPr>
              <w:pStyle w:val="TableParagraph"/>
              <w:ind w:left="319" w:right="213"/>
              <w:jc w:val="center"/>
              <w:rPr>
                <w:sz w:val="16"/>
              </w:rPr>
            </w:pPr>
            <w:r>
              <w:rPr>
                <w:sz w:val="16"/>
              </w:rPr>
              <w:t>493</w:t>
            </w:r>
          </w:p>
        </w:tc>
      </w:tr>
      <w:tr>
        <w:trPr>
          <w:trHeight w:val="292" w:hRule="atLeast"/>
        </w:trPr>
        <w:tc>
          <w:tcPr>
            <w:tcW w:w="1810" w:type="dxa"/>
            <w:vMerge w:val="restart"/>
            <w:tcBorders>
              <w:top w:val="single" w:sz="8" w:space="0" w:color="A7D2F5"/>
              <w:left w:val="single" w:sz="8" w:space="0" w:color="A7D2F5"/>
              <w:bottom w:val="single" w:sz="8" w:space="0" w:color="A7D2F5"/>
            </w:tcBorders>
          </w:tcPr>
          <w:p>
            <w:pPr>
              <w:pStyle w:val="TableParagraph"/>
              <w:spacing w:line="264" w:lineRule="auto"/>
              <w:ind w:right="132"/>
              <w:rPr>
                <w:b/>
                <w:sz w:val="16"/>
              </w:rPr>
            </w:pPr>
            <w:r>
              <w:rPr>
                <w:b/>
                <w:sz w:val="16"/>
              </w:rPr>
              <w:t>Afsøgningsområ- de (kvadratkilo- meter)</w:t>
            </w:r>
          </w:p>
        </w:tc>
        <w:tc>
          <w:tcPr>
            <w:tcW w:w="1934" w:type="dxa"/>
            <w:tcBorders>
              <w:top w:val="single" w:sz="8" w:space="0" w:color="A7D2F5"/>
              <w:bottom w:val="single" w:sz="8" w:space="0" w:color="A7D2F5"/>
            </w:tcBorders>
          </w:tcPr>
          <w:p>
            <w:pPr>
              <w:pStyle w:val="TableParagraph"/>
              <w:ind w:left="117"/>
              <w:rPr>
                <w:sz w:val="16"/>
              </w:rPr>
            </w:pPr>
            <w:r>
              <w:rPr>
                <w:sz w:val="16"/>
              </w:rPr>
              <w:t>PIREP (30 min.)</w:t>
            </w:r>
          </w:p>
        </w:tc>
        <w:tc>
          <w:tcPr>
            <w:tcW w:w="1285" w:type="dxa"/>
            <w:tcBorders>
              <w:top w:val="single" w:sz="8" w:space="0" w:color="A7D2F5"/>
              <w:bottom w:val="single" w:sz="8" w:space="0" w:color="A7D2F5"/>
            </w:tcBorders>
          </w:tcPr>
          <w:p>
            <w:pPr>
              <w:pStyle w:val="TableParagraph"/>
              <w:ind w:left="83" w:right="115"/>
              <w:jc w:val="center"/>
              <w:rPr>
                <w:sz w:val="16"/>
              </w:rPr>
            </w:pPr>
            <w:r>
              <w:rPr>
                <w:sz w:val="16"/>
              </w:rPr>
              <w:t>12.763</w:t>
            </w:r>
          </w:p>
        </w:tc>
        <w:tc>
          <w:tcPr>
            <w:tcW w:w="1392" w:type="dxa"/>
            <w:tcBorders>
              <w:top w:val="single" w:sz="8" w:space="0" w:color="A7D2F5"/>
              <w:bottom w:val="single" w:sz="8" w:space="0" w:color="A7D2F5"/>
            </w:tcBorders>
          </w:tcPr>
          <w:p>
            <w:pPr>
              <w:pStyle w:val="TableParagraph"/>
              <w:ind w:left="0" w:right="294"/>
              <w:jc w:val="right"/>
              <w:rPr>
                <w:sz w:val="16"/>
              </w:rPr>
            </w:pPr>
            <w:r>
              <w:rPr>
                <w:sz w:val="16"/>
              </w:rPr>
              <w:t>111.129</w:t>
            </w:r>
          </w:p>
        </w:tc>
        <w:tc>
          <w:tcPr>
            <w:tcW w:w="1410" w:type="dxa"/>
            <w:tcBorders>
              <w:top w:val="single" w:sz="8" w:space="0" w:color="A7D2F5"/>
              <w:bottom w:val="single" w:sz="8" w:space="0" w:color="A7D2F5"/>
            </w:tcBorders>
          </w:tcPr>
          <w:p>
            <w:pPr>
              <w:pStyle w:val="TableParagraph"/>
              <w:ind w:left="310" w:right="151"/>
              <w:jc w:val="center"/>
              <w:rPr>
                <w:sz w:val="16"/>
              </w:rPr>
            </w:pPr>
            <w:r>
              <w:rPr>
                <w:sz w:val="16"/>
              </w:rPr>
              <w:t>169.039</w:t>
            </w:r>
          </w:p>
        </w:tc>
        <w:tc>
          <w:tcPr>
            <w:tcW w:w="1491" w:type="dxa"/>
            <w:tcBorders>
              <w:top w:val="single" w:sz="8" w:space="0" w:color="A7D2F5"/>
              <w:bottom w:val="single" w:sz="8" w:space="0" w:color="A7D2F5"/>
              <w:right w:val="single" w:sz="8" w:space="0" w:color="A7D2F5"/>
            </w:tcBorders>
          </w:tcPr>
          <w:p>
            <w:pPr>
              <w:pStyle w:val="TableParagraph"/>
              <w:ind w:left="318" w:right="213"/>
              <w:jc w:val="center"/>
              <w:rPr>
                <w:sz w:val="16"/>
              </w:rPr>
            </w:pPr>
            <w:r>
              <w:rPr>
                <w:sz w:val="16"/>
              </w:rPr>
              <w:t>208.409</w:t>
            </w:r>
          </w:p>
        </w:tc>
      </w:tr>
      <w:tr>
        <w:trPr>
          <w:trHeight w:val="294" w:hRule="atLeast"/>
        </w:trPr>
        <w:tc>
          <w:tcPr>
            <w:tcW w:w="1810" w:type="dxa"/>
            <w:vMerge/>
            <w:tcBorders>
              <w:top w:val="nil"/>
              <w:left w:val="single" w:sz="8" w:space="0" w:color="A7D2F5"/>
              <w:bottom w:val="single" w:sz="8" w:space="0" w:color="A7D2F5"/>
            </w:tcBorders>
          </w:tcPr>
          <w:p>
            <w:pPr>
              <w:rPr>
                <w:sz w:val="2"/>
                <w:szCs w:val="2"/>
              </w:rPr>
            </w:pPr>
          </w:p>
        </w:tc>
        <w:tc>
          <w:tcPr>
            <w:tcW w:w="1934" w:type="dxa"/>
            <w:tcBorders>
              <w:top w:val="single" w:sz="8" w:space="0" w:color="A7D2F5"/>
              <w:bottom w:val="single" w:sz="8" w:space="0" w:color="A7D2F5"/>
            </w:tcBorders>
          </w:tcPr>
          <w:p>
            <w:pPr>
              <w:pStyle w:val="TableParagraph"/>
              <w:spacing w:before="42"/>
              <w:ind w:left="117"/>
              <w:rPr>
                <w:sz w:val="16"/>
              </w:rPr>
            </w:pPr>
            <w:r>
              <w:rPr>
                <w:sz w:val="16"/>
              </w:rPr>
              <w:t>ADS-C (15 min.)</w:t>
            </w:r>
          </w:p>
        </w:tc>
        <w:tc>
          <w:tcPr>
            <w:tcW w:w="1285" w:type="dxa"/>
            <w:tcBorders>
              <w:top w:val="single" w:sz="8" w:space="0" w:color="A7D2F5"/>
              <w:bottom w:val="single" w:sz="8" w:space="0" w:color="A7D2F5"/>
            </w:tcBorders>
          </w:tcPr>
          <w:p>
            <w:pPr>
              <w:pStyle w:val="TableParagraph"/>
              <w:spacing w:before="42"/>
              <w:ind w:left="83" w:right="116"/>
              <w:jc w:val="center"/>
              <w:rPr>
                <w:sz w:val="16"/>
              </w:rPr>
            </w:pPr>
            <w:r>
              <w:rPr>
                <w:sz w:val="16"/>
              </w:rPr>
              <w:t>3.191</w:t>
            </w:r>
          </w:p>
        </w:tc>
        <w:tc>
          <w:tcPr>
            <w:tcW w:w="1392" w:type="dxa"/>
            <w:tcBorders>
              <w:top w:val="single" w:sz="8" w:space="0" w:color="A7D2F5"/>
              <w:bottom w:val="single" w:sz="8" w:space="0" w:color="A7D2F5"/>
            </w:tcBorders>
          </w:tcPr>
          <w:p>
            <w:pPr>
              <w:pStyle w:val="TableParagraph"/>
              <w:spacing w:before="42"/>
              <w:ind w:left="0" w:right="347"/>
              <w:jc w:val="right"/>
              <w:rPr>
                <w:sz w:val="16"/>
              </w:rPr>
            </w:pPr>
            <w:r>
              <w:rPr>
                <w:sz w:val="16"/>
              </w:rPr>
              <w:t>27.782</w:t>
            </w:r>
          </w:p>
        </w:tc>
        <w:tc>
          <w:tcPr>
            <w:tcW w:w="1410" w:type="dxa"/>
            <w:tcBorders>
              <w:top w:val="single" w:sz="8" w:space="0" w:color="A7D2F5"/>
              <w:bottom w:val="single" w:sz="8" w:space="0" w:color="A7D2F5"/>
            </w:tcBorders>
          </w:tcPr>
          <w:p>
            <w:pPr>
              <w:pStyle w:val="TableParagraph"/>
              <w:spacing w:before="42"/>
              <w:ind w:left="310" w:right="149"/>
              <w:jc w:val="center"/>
              <w:rPr>
                <w:sz w:val="16"/>
              </w:rPr>
            </w:pPr>
            <w:r>
              <w:rPr>
                <w:sz w:val="16"/>
              </w:rPr>
              <w:t>42.260</w:t>
            </w:r>
          </w:p>
        </w:tc>
        <w:tc>
          <w:tcPr>
            <w:tcW w:w="1491" w:type="dxa"/>
            <w:tcBorders>
              <w:top w:val="single" w:sz="8" w:space="0" w:color="A7D2F5"/>
              <w:bottom w:val="single" w:sz="8" w:space="0" w:color="A7D2F5"/>
              <w:right w:val="single" w:sz="8" w:space="0" w:color="A7D2F5"/>
            </w:tcBorders>
          </w:tcPr>
          <w:p>
            <w:pPr>
              <w:pStyle w:val="TableParagraph"/>
              <w:spacing w:before="42"/>
              <w:ind w:left="316" w:right="213"/>
              <w:jc w:val="center"/>
              <w:rPr>
                <w:sz w:val="16"/>
              </w:rPr>
            </w:pPr>
            <w:r>
              <w:rPr>
                <w:sz w:val="16"/>
              </w:rPr>
              <w:t>52.102</w:t>
            </w:r>
          </w:p>
        </w:tc>
      </w:tr>
      <w:tr>
        <w:trPr>
          <w:trHeight w:val="294" w:hRule="atLeast"/>
        </w:trPr>
        <w:tc>
          <w:tcPr>
            <w:tcW w:w="1810" w:type="dxa"/>
            <w:vMerge/>
            <w:tcBorders>
              <w:top w:val="nil"/>
              <w:left w:val="single" w:sz="8" w:space="0" w:color="A7D2F5"/>
              <w:bottom w:val="single" w:sz="8" w:space="0" w:color="A7D2F5"/>
            </w:tcBorders>
          </w:tcPr>
          <w:p>
            <w:pPr>
              <w:rPr>
                <w:sz w:val="2"/>
                <w:szCs w:val="2"/>
              </w:rPr>
            </w:pPr>
          </w:p>
        </w:tc>
        <w:tc>
          <w:tcPr>
            <w:tcW w:w="1934" w:type="dxa"/>
            <w:tcBorders>
              <w:top w:val="single" w:sz="8" w:space="0" w:color="A7D2F5"/>
              <w:bottom w:val="single" w:sz="8" w:space="0" w:color="A7D2F5"/>
            </w:tcBorders>
          </w:tcPr>
          <w:p>
            <w:pPr>
              <w:pStyle w:val="TableParagraph"/>
              <w:spacing w:before="42"/>
              <w:ind w:left="117"/>
              <w:rPr>
                <w:sz w:val="16"/>
              </w:rPr>
            </w:pPr>
            <w:r>
              <w:rPr>
                <w:sz w:val="16"/>
              </w:rPr>
              <w:t>SB ADS-B (8 sek.)</w:t>
            </w:r>
          </w:p>
        </w:tc>
        <w:tc>
          <w:tcPr>
            <w:tcW w:w="1285" w:type="dxa"/>
            <w:tcBorders>
              <w:top w:val="single" w:sz="8" w:space="0" w:color="A7D2F5"/>
              <w:bottom w:val="single" w:sz="8" w:space="0" w:color="A7D2F5"/>
            </w:tcBorders>
          </w:tcPr>
          <w:p>
            <w:pPr>
              <w:pStyle w:val="TableParagraph"/>
              <w:spacing w:before="42"/>
              <w:ind w:left="83" w:right="117"/>
              <w:jc w:val="center"/>
              <w:rPr>
                <w:sz w:val="16"/>
              </w:rPr>
            </w:pPr>
            <w:r>
              <w:rPr>
                <w:sz w:val="16"/>
              </w:rPr>
              <w:t>0,3</w:t>
            </w:r>
          </w:p>
        </w:tc>
        <w:tc>
          <w:tcPr>
            <w:tcW w:w="1392" w:type="dxa"/>
            <w:tcBorders>
              <w:top w:val="single" w:sz="8" w:space="0" w:color="A7D2F5"/>
              <w:bottom w:val="single" w:sz="8" w:space="0" w:color="A7D2F5"/>
            </w:tcBorders>
          </w:tcPr>
          <w:p>
            <w:pPr>
              <w:pStyle w:val="TableParagraph"/>
              <w:spacing w:before="42"/>
              <w:ind w:left="587" w:right="459"/>
              <w:jc w:val="center"/>
              <w:rPr>
                <w:sz w:val="16"/>
              </w:rPr>
            </w:pPr>
            <w:r>
              <w:rPr>
                <w:sz w:val="16"/>
              </w:rPr>
              <w:t>2,2</w:t>
            </w:r>
          </w:p>
        </w:tc>
        <w:tc>
          <w:tcPr>
            <w:tcW w:w="1410" w:type="dxa"/>
            <w:tcBorders>
              <w:top w:val="single" w:sz="8" w:space="0" w:color="A7D2F5"/>
              <w:bottom w:val="single" w:sz="8" w:space="0" w:color="A7D2F5"/>
            </w:tcBorders>
          </w:tcPr>
          <w:p>
            <w:pPr>
              <w:pStyle w:val="TableParagraph"/>
              <w:spacing w:before="42"/>
              <w:ind w:left="310" w:right="151"/>
              <w:jc w:val="center"/>
              <w:rPr>
                <w:sz w:val="16"/>
              </w:rPr>
            </w:pPr>
            <w:r>
              <w:rPr>
                <w:sz w:val="16"/>
              </w:rPr>
              <w:t>3,3</w:t>
            </w:r>
          </w:p>
        </w:tc>
        <w:tc>
          <w:tcPr>
            <w:tcW w:w="1491" w:type="dxa"/>
            <w:tcBorders>
              <w:top w:val="single" w:sz="8" w:space="0" w:color="A7D2F5"/>
              <w:bottom w:val="single" w:sz="8" w:space="0" w:color="A7D2F5"/>
              <w:right w:val="single" w:sz="8" w:space="0" w:color="A7D2F5"/>
            </w:tcBorders>
          </w:tcPr>
          <w:p>
            <w:pPr>
              <w:pStyle w:val="TableParagraph"/>
              <w:spacing w:before="42"/>
              <w:ind w:left="319" w:right="213"/>
              <w:jc w:val="center"/>
              <w:rPr>
                <w:sz w:val="16"/>
              </w:rPr>
            </w:pPr>
            <w:r>
              <w:rPr>
                <w:sz w:val="16"/>
              </w:rPr>
              <w:t>4,1</w:t>
            </w:r>
          </w:p>
        </w:tc>
      </w:tr>
    </w:tbl>
    <w:p>
      <w:pPr>
        <w:spacing w:line="364" w:lineRule="auto" w:before="83"/>
        <w:ind w:left="742" w:right="2218" w:firstLine="0"/>
        <w:jc w:val="left"/>
        <w:rPr>
          <w:sz w:val="13"/>
        </w:rPr>
      </w:pPr>
      <w:r>
        <w:rPr>
          <w:sz w:val="13"/>
        </w:rPr>
        <w:t>Note: Parentesen indikerer opdateringsfrekvens. PIREP: Pilotrapport over VHF, den eksisterende metode over oceanerne. SB: Space-based.</w:t>
      </w:r>
    </w:p>
    <w:p>
      <w:pPr>
        <w:spacing w:line="158" w:lineRule="exact" w:before="0"/>
        <w:ind w:left="742" w:right="0" w:firstLine="0"/>
        <w:jc w:val="left"/>
        <w:rPr>
          <w:sz w:val="13"/>
        </w:rPr>
      </w:pPr>
      <w:r>
        <w:rPr>
          <w:sz w:val="13"/>
        </w:rPr>
        <w:t>Kilde: Aireon.</w:t>
      </w:r>
    </w:p>
    <w:p>
      <w:pPr>
        <w:pStyle w:val="BodyText"/>
        <w:spacing w:before="7"/>
        <w:rPr>
          <w:sz w:val="21"/>
        </w:rPr>
      </w:pPr>
    </w:p>
    <w:p>
      <w:pPr>
        <w:pStyle w:val="BodyText"/>
        <w:spacing w:line="264" w:lineRule="auto"/>
        <w:ind w:left="742" w:right="1279"/>
        <w:jc w:val="both"/>
      </w:pPr>
      <w:r>
        <w:rPr/>
        <w:t>Aireon vil stille data vederlagsfrit til rådighed for redningstjenester i forbindelse med ulykker, men vil i øvrigt sælge data til flyvekontroltjenester til brug for flyovervågning og dermed optimering af afvikling af lufttrafik samt til flyselskaber, så de kan leve op til ICAO’s rapporteringspligt fra 2018. Også her spiller NAVIAIR en vigtig rolle i definitionen af tjenesterne, så de bliver mest brugbare.</w:t>
      </w:r>
    </w:p>
    <w:p>
      <w:pPr>
        <w:pStyle w:val="BodyText"/>
        <w:spacing w:before="6"/>
        <w:rPr>
          <w:sz w:val="19"/>
        </w:rPr>
      </w:pPr>
    </w:p>
    <w:p>
      <w:pPr>
        <w:pStyle w:val="BodyText"/>
        <w:spacing w:line="264" w:lineRule="auto"/>
        <w:ind w:left="742" w:right="1205"/>
      </w:pPr>
      <w:r>
        <w:rPr/>
        <w:t>Redning er ikke den eneste måde, hvorpå systemet bidrager til samfundsøkonomien. En væsentlig fordel ved systemet er, at fordi man kan overvåge alle fly i realtid, er det muligt at lade dem flyve tættere i meget trafikkerede korridorer (eksempelvis mellem Europa og Nordamerika). Aireons system tillader således, at fly kan flyve med 15 sømils afstand i stedet for de nuværende 60 sømil, hvilket sikrer, at fly kan stige til cruisinghøjde hurtigere, og flere fly kan udnytte de bedste jet- strømme, hvilket kan spare brændstof, tid og gavne samfundet ved at reducere negative miljø- mæssige eksternaliteter.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3176;mso-wrap-distance-left:0;mso-wrap-distance-right:0" from="85.103996pt,18.447422pt" to="229.123996pt,18.447422pt" stroked="true" strokeweight=".48004pt" strokecolor="#000000">
            <v:stroke dashstyle="solid"/>
            <w10:wrap type="topAndBottom"/>
          </v:line>
        </w:pict>
      </w:r>
    </w:p>
    <w:p>
      <w:pPr>
        <w:spacing w:before="99"/>
        <w:ind w:left="742" w:right="0" w:firstLine="0"/>
        <w:jc w:val="left"/>
        <w:rPr>
          <w:sz w:val="13"/>
        </w:rPr>
      </w:pPr>
      <w:r>
        <w:rPr>
          <w:position w:val="6"/>
          <w:sz w:val="8"/>
        </w:rPr>
        <w:t>67 </w:t>
      </w:r>
      <w:r>
        <w:rPr>
          <w:sz w:val="13"/>
        </w:rPr>
        <w:t>NaviAir </w:t>
      </w:r>
      <w:r>
        <w:rPr>
          <w:i/>
          <w:sz w:val="13"/>
        </w:rPr>
        <w:t>Aireon</w:t>
      </w:r>
      <w:r>
        <w:rPr>
          <w:sz w:val="13"/>
        </w:rPr>
        <w:t>, tilgængelig her: </w:t>
      </w:r>
      <w:hyperlink r:id="rId81">
        <w:r>
          <w:rPr>
            <w:color w:val="009DDF"/>
            <w:sz w:val="13"/>
          </w:rPr>
          <w:t>http://www.naviair.dk/aireon.1238.aspx </w:t>
        </w:r>
      </w:hyperlink>
      <w:r>
        <w:rPr>
          <w:sz w:val="13"/>
        </w:rPr>
        <w:t>(tilgået 18. april 2016).</w:t>
      </w:r>
    </w:p>
    <w:p>
      <w:pPr>
        <w:spacing w:after="0"/>
        <w:jc w:val="left"/>
        <w:rPr>
          <w:sz w:val="13"/>
        </w:rPr>
        <w:sectPr>
          <w:pgSz w:w="11910" w:h="16840"/>
          <w:pgMar w:header="0" w:footer="1056" w:top="1580" w:bottom="1240" w:left="960" w:right="0"/>
        </w:sectPr>
      </w:pPr>
    </w:p>
    <w:p>
      <w:pPr>
        <w:pStyle w:val="ListParagraph"/>
        <w:numPr>
          <w:ilvl w:val="2"/>
          <w:numId w:val="7"/>
        </w:numPr>
        <w:tabs>
          <w:tab w:pos="743" w:val="left" w:leader="none"/>
        </w:tabs>
        <w:spacing w:line="240" w:lineRule="auto" w:before="126" w:after="0"/>
        <w:ind w:left="742" w:right="0" w:hanging="624"/>
        <w:jc w:val="left"/>
        <w:rPr>
          <w:b/>
          <w:sz w:val="18"/>
        </w:rPr>
      </w:pPr>
      <w:r>
        <w:rPr>
          <w:b/>
          <w:sz w:val="18"/>
        </w:rPr>
        <w:t>Case: Satellitbaseret</w:t>
      </w:r>
      <w:r>
        <w:rPr>
          <w:b/>
          <w:spacing w:val="-1"/>
          <w:sz w:val="18"/>
        </w:rPr>
        <w:t> </w:t>
      </w:r>
      <w:r>
        <w:rPr>
          <w:b/>
          <w:sz w:val="18"/>
        </w:rPr>
        <w:t>skibsovervågning</w:t>
      </w:r>
    </w:p>
    <w:p>
      <w:pPr>
        <w:pStyle w:val="BodyText"/>
        <w:spacing w:line="264" w:lineRule="auto" w:before="22"/>
        <w:ind w:left="742" w:right="1271"/>
        <w:rPr>
          <w:sz w:val="8"/>
        </w:rPr>
      </w:pPr>
      <w:r>
        <w:rPr/>
        <w:t>Ulovligt fiskeri (IUU) er et problem, som har alvorlige konsekvenser for bæredygtigheden af fiske- bestanden. Det er estimeret, at 500.000 ton ulovlige fisk med en markedsværdi på mere end 8 mia. DKK blev importeret til EU-lande i 2007.</w:t>
      </w:r>
      <w:r>
        <w:rPr>
          <w:w w:val="99"/>
          <w:position w:val="6"/>
          <w:sz w:val="8"/>
        </w:rPr>
        <w:t>68</w:t>
      </w:r>
      <w:r>
        <w:rPr>
          <w:position w:val="6"/>
          <w:sz w:val="8"/>
        </w:rPr>
        <w:t>  </w:t>
      </w:r>
      <w:r>
        <w:rPr/>
        <w:t>Globalt er det beregnet, at 1 ud af 5 fisk fanges ulovligt og IUU er et stort problem, der årligt koster verdensøkonomien mere end 150 mia. DKK.</w:t>
      </w:r>
      <w:r>
        <w:rPr>
          <w:w w:val="99"/>
          <w:position w:val="6"/>
          <w:sz w:val="8"/>
        </w:rPr>
        <w:t>69</w:t>
      </w:r>
    </w:p>
    <w:p>
      <w:pPr>
        <w:pStyle w:val="BodyText"/>
        <w:spacing w:before="6"/>
        <w:rPr>
          <w:sz w:val="19"/>
        </w:rPr>
      </w:pPr>
    </w:p>
    <w:p>
      <w:pPr>
        <w:pStyle w:val="BodyText"/>
        <w:spacing w:line="264" w:lineRule="auto"/>
        <w:ind w:left="742" w:right="1198"/>
      </w:pPr>
      <w:r>
        <w:rPr/>
        <w:t>Den Internationale Maritime Organisation (IMO) kræver, at alle skibe på mere end 300 bruttoton, der sejler internationalt, alle passagerskibe samt alle skibe på mere end 500 bruttoton</w:t>
      </w:r>
      <w:r>
        <w:rPr>
          <w:w w:val="99"/>
          <w:position w:val="6"/>
          <w:sz w:val="8"/>
        </w:rPr>
        <w:t>70</w:t>
      </w:r>
      <w:r>
        <w:rPr>
          <w:position w:val="6"/>
          <w:sz w:val="8"/>
        </w:rPr>
        <w:t>  </w:t>
      </w:r>
      <w:r>
        <w:rPr/>
        <w:t>skal være udstyret med en AIS-sender</w:t>
      </w:r>
      <w:r>
        <w:rPr>
          <w:w w:val="99"/>
          <w:position w:val="6"/>
          <w:sz w:val="8"/>
        </w:rPr>
        <w:t>71</w:t>
      </w:r>
      <w:r>
        <w:rPr/>
        <w:t>. EU kræver tillige, at alle fiskebåde på mindst 15 meter skal være udstyret med AIS, og at fiskebåde på mellem 12 og 15 meter er udstyret med VMS</w:t>
      </w:r>
      <w:r>
        <w:rPr>
          <w:w w:val="99"/>
          <w:position w:val="6"/>
          <w:sz w:val="8"/>
        </w:rPr>
        <w:t>72</w:t>
      </w:r>
      <w:r>
        <w:rPr/>
        <w:t>. Det er muligt at identificere eventuelt ulovlig aktivitet i Danmarks og Færøernes farvande ved at sammenligne JO-satellitbilleder med den information, man kan hente fra AIS. En fiskerbåd, der fisker ulovligt, slukker formodentlig sin AIS-sender, men kan så identificeres på billedet (optisk eller radar).</w:t>
      </w:r>
    </w:p>
    <w:p>
      <w:pPr>
        <w:pStyle w:val="BodyText"/>
        <w:spacing w:before="5"/>
        <w:rPr>
          <w:sz w:val="19"/>
        </w:rPr>
      </w:pPr>
    </w:p>
    <w:p>
      <w:pPr>
        <w:pStyle w:val="BodyText"/>
        <w:spacing w:line="264" w:lineRule="auto"/>
        <w:ind w:left="742" w:right="1132"/>
      </w:pPr>
      <w:r>
        <w:rPr/>
        <w:t>AIS-data kan komme fra forskellige kilder, hvoraf mange er jordbaserede modtagestationer. En mere effektiv måde at tilgå data ville være ved hjælp af en konstellation af satellitter, og studen- tersatellitterne AAUSAT-3</w:t>
      </w:r>
      <w:r>
        <w:rPr>
          <w:w w:val="99"/>
          <w:position w:val="6"/>
          <w:sz w:val="8"/>
        </w:rPr>
        <w:t>73</w:t>
      </w:r>
      <w:r>
        <w:rPr>
          <w:position w:val="6"/>
          <w:sz w:val="8"/>
        </w:rPr>
        <w:t>  </w:t>
      </w:r>
      <w:r>
        <w:rPr/>
        <w:t>og AAUSAT-4</w:t>
      </w:r>
      <w:r>
        <w:rPr>
          <w:w w:val="99"/>
          <w:position w:val="6"/>
          <w:sz w:val="8"/>
        </w:rPr>
        <w:t>74</w:t>
      </w:r>
      <w:r>
        <w:rPr>
          <w:position w:val="6"/>
          <w:sz w:val="8"/>
        </w:rPr>
        <w:t>  </w:t>
      </w:r>
      <w:r>
        <w:rPr/>
        <w:t>har demonstreret mulighederne. Satellitterne blev udsty- ret med en AIS-modtager bygget af GomSpace</w:t>
      </w:r>
      <w:r>
        <w:rPr>
          <w:w w:val="99"/>
          <w:position w:val="6"/>
          <w:sz w:val="8"/>
        </w:rPr>
        <w:t>75</w:t>
      </w:r>
      <w:r>
        <w:rPr>
          <w:position w:val="6"/>
          <w:sz w:val="8"/>
        </w:rPr>
        <w:t>  </w:t>
      </w:r>
      <w:r>
        <w:rPr/>
        <w:t>og blev derfor i stand til at finde lokaliteten på alle skibe udstyret med AIS. </w:t>
      </w:r>
      <w:hyperlink w:history="true" w:anchor="_bookmark37">
        <w:r>
          <w:rPr/>
          <w:t>Figur 17 </w:t>
        </w:r>
      </w:hyperlink>
      <w:r>
        <w:rPr/>
        <w:t>viser de skibe, som AAUSAT-3 identificerede den 22. februar 2014.</w:t>
      </w:r>
    </w:p>
    <w:p>
      <w:pPr>
        <w:pStyle w:val="BodyText"/>
        <w:spacing w:before="3"/>
        <w:rPr>
          <w:sz w:val="11"/>
        </w:rPr>
      </w:pPr>
    </w:p>
    <w:p>
      <w:pPr>
        <w:spacing w:after="0"/>
        <w:rPr>
          <w:sz w:val="11"/>
        </w:rPr>
        <w:sectPr>
          <w:pgSz w:w="11910" w:h="16840"/>
          <w:pgMar w:header="0" w:footer="1056" w:top="1580" w:bottom="1240" w:left="960" w:right="0"/>
        </w:sectPr>
      </w:pPr>
    </w:p>
    <w:p>
      <w:pPr>
        <w:pStyle w:val="BodyText"/>
        <w:spacing w:line="264" w:lineRule="auto" w:before="100"/>
        <w:ind w:left="742" w:right="-19"/>
      </w:pPr>
      <w:r>
        <w:rPr/>
        <w:t>Effektiv overvågning af fiskeri er den bedste måde at sikre, at de aftalte, bæredygtige, fiskekvoter bliver fulgt til gavn for den lovlige fiskeindustri og planetens biodiversitet. Et fransk</w:t>
      </w:r>
      <w:r>
        <w:rPr>
          <w:w w:val="99"/>
          <w:position w:val="6"/>
          <w:sz w:val="8"/>
        </w:rPr>
        <w:t>76</w:t>
      </w:r>
      <w:r>
        <w:rPr>
          <w:position w:val="6"/>
          <w:sz w:val="8"/>
        </w:rPr>
        <w:t>  </w:t>
      </w:r>
      <w:r>
        <w:rPr/>
        <w:t>studie af brug af jordobser- vation til monitorering af landets eksklusive økonomi- ske zoner i Det Indiske Ocean har vist, at 90 % af ulovligt fiskeri var ophørt efter et år, og der var ingen rapporterede overtrædelser to år efter at projektet startede.</w:t>
      </w:r>
    </w:p>
    <w:p>
      <w:pPr>
        <w:pStyle w:val="BodyText"/>
        <w:spacing w:before="3"/>
        <w:rPr>
          <w:sz w:val="19"/>
        </w:rPr>
      </w:pPr>
    </w:p>
    <w:p>
      <w:pPr>
        <w:pStyle w:val="BodyText"/>
        <w:spacing w:line="264" w:lineRule="auto" w:before="1"/>
        <w:ind w:left="742" w:right="139"/>
        <w:jc w:val="both"/>
        <w:rPr>
          <w:sz w:val="8"/>
        </w:rPr>
      </w:pPr>
      <w:r>
        <w:rPr/>
        <w:t>Udenlandske virksomheder (eksempelvis ExactEarth fra Canada) har også udviklet på teknologien og til- byder nu satellitbaserede AIS-data på kommercielle vilkår.</w:t>
      </w:r>
      <w:r>
        <w:rPr>
          <w:w w:val="99"/>
          <w:position w:val="6"/>
          <w:sz w:val="8"/>
        </w:rPr>
        <w:t>77</w:t>
      </w:r>
    </w:p>
    <w:p>
      <w:pPr>
        <w:pStyle w:val="BodyText"/>
        <w:spacing w:before="2"/>
        <w:rPr>
          <w:sz w:val="20"/>
        </w:rPr>
      </w:pPr>
      <w:r>
        <w:rPr/>
        <w:br w:type="column"/>
      </w:r>
      <w:r>
        <w:rPr>
          <w:sz w:val="20"/>
        </w:rPr>
      </w:r>
    </w:p>
    <w:p>
      <w:pPr>
        <w:spacing w:before="0"/>
        <w:ind w:left="234" w:right="0" w:firstLine="0"/>
        <w:jc w:val="left"/>
        <w:rPr>
          <w:b/>
          <w:sz w:val="15"/>
        </w:rPr>
      </w:pPr>
      <w:bookmarkStart w:name="_bookmark37" w:id="38"/>
      <w:bookmarkEnd w:id="38"/>
      <w:r>
        <w:rPr/>
      </w:r>
      <w:r>
        <w:rPr>
          <w:b/>
          <w:color w:val="009DDF"/>
          <w:sz w:val="15"/>
        </w:rPr>
        <w:t>Figur 17. AAUSAT-3 skibsovervågning</w:t>
      </w:r>
    </w:p>
    <w:p>
      <w:pPr>
        <w:pStyle w:val="BodyText"/>
        <w:spacing w:before="4"/>
        <w:rPr>
          <w:b/>
          <w:sz w:val="8"/>
        </w:rPr>
      </w:pPr>
    </w:p>
    <w:p>
      <w:pPr>
        <w:pStyle w:val="BodyText"/>
        <w:ind w:left="232"/>
        <w:rPr>
          <w:sz w:val="20"/>
        </w:rPr>
      </w:pPr>
      <w:r>
        <w:rPr>
          <w:sz w:val="20"/>
        </w:rPr>
        <w:drawing>
          <wp:inline distT="0" distB="0" distL="0" distR="0">
            <wp:extent cx="2368357" cy="1916811"/>
            <wp:effectExtent l="0" t="0" r="0" b="0"/>
            <wp:docPr id="53" name="image42.jpeg" descr=""/>
            <wp:cNvGraphicFramePr>
              <a:graphicFrameLocks noChangeAspect="1"/>
            </wp:cNvGraphicFramePr>
            <a:graphic>
              <a:graphicData uri="http://schemas.openxmlformats.org/drawingml/2006/picture">
                <pic:pic>
                  <pic:nvPicPr>
                    <pic:cNvPr id="54" name="image42.jpeg"/>
                    <pic:cNvPicPr/>
                  </pic:nvPicPr>
                  <pic:blipFill>
                    <a:blip r:embed="rId82" cstate="print"/>
                    <a:stretch>
                      <a:fillRect/>
                    </a:stretch>
                  </pic:blipFill>
                  <pic:spPr>
                    <a:xfrm>
                      <a:off x="0" y="0"/>
                      <a:ext cx="2368357" cy="1916811"/>
                    </a:xfrm>
                    <a:prstGeom prst="rect">
                      <a:avLst/>
                    </a:prstGeom>
                  </pic:spPr>
                </pic:pic>
              </a:graphicData>
            </a:graphic>
          </wp:inline>
        </w:drawing>
      </w:r>
      <w:r>
        <w:rPr>
          <w:sz w:val="20"/>
        </w:rPr>
      </w:r>
    </w:p>
    <w:p>
      <w:pPr>
        <w:spacing w:before="91"/>
        <w:ind w:left="234" w:right="0" w:firstLine="0"/>
        <w:jc w:val="left"/>
        <w:rPr>
          <w:sz w:val="16"/>
        </w:rPr>
      </w:pPr>
      <w:r>
        <w:rPr>
          <w:sz w:val="16"/>
        </w:rPr>
        <w:t>Kilde: AAUSAT-3</w:t>
      </w:r>
    </w:p>
    <w:p>
      <w:pPr>
        <w:spacing w:after="0"/>
        <w:jc w:val="left"/>
        <w:rPr>
          <w:sz w:val="16"/>
        </w:rPr>
        <w:sectPr>
          <w:type w:val="continuous"/>
          <w:pgSz w:w="11910" w:h="16840"/>
          <w:pgMar w:top="1400" w:bottom="280" w:left="960" w:right="0"/>
          <w:cols w:num="2" w:equalWidth="0">
            <w:col w:w="5634" w:space="40"/>
            <w:col w:w="5276"/>
          </w:cols>
        </w:sectPr>
      </w:pPr>
    </w:p>
    <w:p>
      <w:pPr>
        <w:pStyle w:val="BodyText"/>
        <w:rPr>
          <w:sz w:val="20"/>
        </w:rPr>
      </w:pPr>
    </w:p>
    <w:p>
      <w:pPr>
        <w:pStyle w:val="BodyText"/>
        <w:spacing w:before="4" w:after="1"/>
        <w:rPr>
          <w:sz w:val="13"/>
        </w:rPr>
      </w:pPr>
    </w:p>
    <w:p>
      <w:pPr>
        <w:pStyle w:val="BodyText"/>
        <w:spacing w:line="20" w:lineRule="exact"/>
        <w:ind w:left="737"/>
        <w:rPr>
          <w:sz w:val="2"/>
        </w:rPr>
      </w:pPr>
      <w:r>
        <w:rPr>
          <w:sz w:val="2"/>
        </w:rPr>
        <w:pict>
          <v:group style="width:144.050pt;height:.5pt;mso-position-horizontal-relative:char;mso-position-vertical-relative:line" coordorigin="0,0" coordsize="2881,10">
            <v:line style="position:absolute" from="0,5" to="2880,5" stroked="true" strokeweight=".47998pt" strokecolor="#000000">
              <v:stroke dashstyle="solid"/>
            </v:line>
          </v:group>
        </w:pict>
      </w:r>
      <w:r>
        <w:rPr>
          <w:sz w:val="2"/>
        </w:rPr>
      </w:r>
    </w:p>
    <w:p>
      <w:pPr>
        <w:spacing w:line="321" w:lineRule="auto" w:before="118"/>
        <w:ind w:left="742" w:right="0" w:firstLine="0"/>
        <w:jc w:val="left"/>
        <w:rPr>
          <w:sz w:val="13"/>
        </w:rPr>
      </w:pPr>
      <w:r>
        <w:rPr>
          <w:position w:val="6"/>
          <w:sz w:val="8"/>
        </w:rPr>
        <w:t>68 </w:t>
      </w:r>
      <w:r>
        <w:rPr>
          <w:sz w:val="13"/>
        </w:rPr>
        <w:t>Seafish (2012) The Seafish Guide to Illegal, Unreported and Unregulated Fishing, tilgængelig her: </w:t>
      </w:r>
      <w:hyperlink r:id="rId83">
        <w:r>
          <w:rPr>
            <w:color w:val="009DDF"/>
            <w:sz w:val="13"/>
          </w:rPr>
          <w:t>http://www.seafish.org/media/742176/seafishguidetoiuu_201211.pdf.</w:t>
        </w:r>
      </w:hyperlink>
    </w:p>
    <w:p>
      <w:pPr>
        <w:spacing w:line="155" w:lineRule="exact" w:before="0"/>
        <w:ind w:left="742" w:right="0" w:firstLine="0"/>
        <w:jc w:val="left"/>
        <w:rPr>
          <w:sz w:val="13"/>
        </w:rPr>
      </w:pPr>
      <w:r>
        <w:rPr>
          <w:position w:val="6"/>
          <w:sz w:val="8"/>
        </w:rPr>
        <w:t>69 </w:t>
      </w:r>
      <w:r>
        <w:rPr>
          <w:sz w:val="13"/>
        </w:rPr>
        <w:t>Satellite Applications Catapult (2014) Case Study: Ending Illegal Fishing, tilgængelig her: </w:t>
      </w:r>
      <w:hyperlink r:id="rId84">
        <w:r>
          <w:rPr>
            <w:color w:val="009DDF"/>
            <w:sz w:val="13"/>
          </w:rPr>
          <w:t>https://sa.catapult.org.uk/ docu-</w:t>
        </w:r>
      </w:hyperlink>
    </w:p>
    <w:p>
      <w:pPr>
        <w:spacing w:before="53"/>
        <w:ind w:left="742" w:right="0" w:firstLine="0"/>
        <w:jc w:val="left"/>
        <w:rPr>
          <w:sz w:val="13"/>
        </w:rPr>
      </w:pPr>
      <w:hyperlink r:id="rId84">
        <w:r>
          <w:rPr>
            <w:color w:val="009DDF"/>
            <w:sz w:val="13"/>
          </w:rPr>
          <w:t>ments/10625/53165/Case+Study+-+IUU+-+July+2014Final.pdf/fd32b1e8-f441-4cf1-a1b6-95764300b142.</w:t>
        </w:r>
      </w:hyperlink>
    </w:p>
    <w:p>
      <w:pPr>
        <w:spacing w:before="41"/>
        <w:ind w:left="742" w:right="0" w:firstLine="0"/>
        <w:jc w:val="left"/>
        <w:rPr>
          <w:sz w:val="13"/>
        </w:rPr>
      </w:pPr>
      <w:r>
        <w:rPr>
          <w:position w:val="6"/>
          <w:sz w:val="8"/>
        </w:rPr>
        <w:t>70 </w:t>
      </w:r>
      <w:r>
        <w:rPr>
          <w:sz w:val="13"/>
        </w:rPr>
        <w:t>IMO International Convention on the Safety of Life at Sea (SOLAS).</w:t>
      </w:r>
    </w:p>
    <w:p>
      <w:pPr>
        <w:spacing w:line="316" w:lineRule="auto" w:before="44"/>
        <w:ind w:left="742" w:right="1181" w:firstLine="0"/>
        <w:jc w:val="left"/>
        <w:rPr>
          <w:sz w:val="13"/>
        </w:rPr>
      </w:pPr>
      <w:r>
        <w:rPr>
          <w:position w:val="6"/>
          <w:sz w:val="8"/>
        </w:rPr>
        <w:t>71 </w:t>
      </w:r>
      <w:r>
        <w:rPr>
          <w:sz w:val="13"/>
        </w:rPr>
        <w:t>Automatic Identification System, en teknologi tilsvarende ADS-B for fly, hvor skibe konstant udsender position, identitet, hastighed og kurs. Skibe og kyststationer inden for ca. 50 sømil indsamler oplysningerne.</w:t>
      </w:r>
    </w:p>
    <w:p>
      <w:pPr>
        <w:spacing w:line="161" w:lineRule="exact" w:before="0"/>
        <w:ind w:left="742" w:right="0" w:firstLine="0"/>
        <w:jc w:val="left"/>
        <w:rPr>
          <w:sz w:val="13"/>
        </w:rPr>
      </w:pPr>
      <w:r>
        <w:rPr>
          <w:position w:val="6"/>
          <w:sz w:val="8"/>
        </w:rPr>
        <w:t>72 </w:t>
      </w:r>
      <w:r>
        <w:rPr>
          <w:sz w:val="13"/>
        </w:rPr>
        <w:t>Council Regulation (EC) No 1224/2009 of 20 November 2009 establishing a Community control system for ensuring compliance with</w:t>
      </w:r>
    </w:p>
    <w:p>
      <w:pPr>
        <w:spacing w:line="321" w:lineRule="auto" w:before="50"/>
        <w:ind w:left="742" w:right="1765" w:firstLine="0"/>
        <w:jc w:val="left"/>
        <w:rPr>
          <w:sz w:val="13"/>
        </w:rPr>
      </w:pPr>
      <w:r>
        <w:rPr>
          <w:sz w:val="13"/>
        </w:rPr>
        <w:t>the rules of the common fisheries policy, amending Regulations (EC) No 847/96, (EC) No 2371/2002, (EC) No 811/2004, (EC) No 768/2005, (EC) No 2115/2005, (EC) No 2166/2005, (EC) No 388/2006, (EC) No 509/2007, (EC) No 676/2007, (EC)</w:t>
      </w:r>
    </w:p>
    <w:p>
      <w:pPr>
        <w:spacing w:line="321" w:lineRule="auto" w:before="0"/>
        <w:ind w:left="742" w:right="1578" w:firstLine="0"/>
        <w:jc w:val="left"/>
        <w:rPr>
          <w:sz w:val="13"/>
        </w:rPr>
      </w:pPr>
      <w:r>
        <w:rPr>
          <w:sz w:val="13"/>
        </w:rPr>
        <w:t>No 1098/2007, (EC) No 1300/2008, (EC) No 1342/2008 and repealing Regulations (EEC) No 2847/93, (EC) No 1627/94 and (EC) No 1966/2006.</w:t>
      </w:r>
    </w:p>
    <w:p>
      <w:pPr>
        <w:spacing w:line="155" w:lineRule="exact" w:before="0"/>
        <w:ind w:left="742" w:right="0" w:firstLine="0"/>
        <w:jc w:val="left"/>
        <w:rPr>
          <w:sz w:val="13"/>
        </w:rPr>
      </w:pPr>
      <w:r>
        <w:rPr>
          <w:position w:val="6"/>
          <w:sz w:val="8"/>
        </w:rPr>
        <w:t>73  </w:t>
      </w:r>
      <w:r>
        <w:rPr>
          <w:sz w:val="13"/>
        </w:rPr>
        <w:t>Se </w:t>
      </w:r>
      <w:hyperlink r:id="rId85">
        <w:r>
          <w:rPr>
            <w:color w:val="009DDF"/>
            <w:sz w:val="13"/>
          </w:rPr>
          <w:t>http://www.space.aau.dk/aausat3/ </w:t>
        </w:r>
      </w:hyperlink>
      <w:r>
        <w:rPr>
          <w:sz w:val="13"/>
        </w:rPr>
        <w:t>for mere om</w:t>
      </w:r>
      <w:r>
        <w:rPr>
          <w:spacing w:val="-33"/>
          <w:sz w:val="13"/>
        </w:rPr>
        <w:t> </w:t>
      </w:r>
      <w:r>
        <w:rPr>
          <w:sz w:val="13"/>
        </w:rPr>
        <w:t>AAUSAT-3.</w:t>
      </w:r>
    </w:p>
    <w:p>
      <w:pPr>
        <w:spacing w:before="40"/>
        <w:ind w:left="742" w:right="0" w:firstLine="0"/>
        <w:jc w:val="left"/>
        <w:rPr>
          <w:sz w:val="13"/>
        </w:rPr>
      </w:pPr>
      <w:r>
        <w:rPr>
          <w:position w:val="6"/>
          <w:sz w:val="8"/>
        </w:rPr>
        <w:t>74  </w:t>
      </w:r>
      <w:r>
        <w:rPr>
          <w:sz w:val="13"/>
        </w:rPr>
        <w:t>Se </w:t>
      </w:r>
      <w:hyperlink r:id="rId86">
        <w:r>
          <w:rPr>
            <w:color w:val="009DDF"/>
            <w:sz w:val="13"/>
          </w:rPr>
          <w:t>http://www.space.aau.dk/aausat4/ </w:t>
        </w:r>
      </w:hyperlink>
      <w:r>
        <w:rPr>
          <w:sz w:val="13"/>
        </w:rPr>
        <w:t>for mere om</w:t>
      </w:r>
      <w:r>
        <w:rPr>
          <w:spacing w:val="-33"/>
          <w:sz w:val="13"/>
        </w:rPr>
        <w:t> </w:t>
      </w:r>
      <w:r>
        <w:rPr>
          <w:sz w:val="13"/>
        </w:rPr>
        <w:t>AAUSAT-4.</w:t>
      </w:r>
    </w:p>
    <w:p>
      <w:pPr>
        <w:spacing w:before="42"/>
        <w:ind w:left="742" w:right="0" w:firstLine="0"/>
        <w:jc w:val="left"/>
        <w:rPr>
          <w:sz w:val="13"/>
        </w:rPr>
      </w:pPr>
      <w:r>
        <w:rPr>
          <w:position w:val="6"/>
          <w:sz w:val="8"/>
        </w:rPr>
        <w:t>75 </w:t>
      </w:r>
      <w:r>
        <w:rPr>
          <w:sz w:val="13"/>
        </w:rPr>
        <w:t>Se </w:t>
      </w:r>
      <w:hyperlink r:id="rId87">
        <w:r>
          <w:rPr>
            <w:color w:val="009DDF"/>
            <w:sz w:val="13"/>
          </w:rPr>
          <w:t>http://gomspace.com/index.php?p=products-satlabais </w:t>
        </w:r>
      </w:hyperlink>
      <w:r>
        <w:rPr>
          <w:sz w:val="13"/>
        </w:rPr>
        <w:t>for mere om GomSpaces Satlab QubeAIS modtager.</w:t>
      </w:r>
    </w:p>
    <w:p>
      <w:pPr>
        <w:spacing w:before="43"/>
        <w:ind w:left="742" w:right="0" w:firstLine="0"/>
        <w:jc w:val="left"/>
        <w:rPr>
          <w:i/>
          <w:sz w:val="13"/>
        </w:rPr>
      </w:pPr>
      <w:r>
        <w:rPr>
          <w:position w:val="6"/>
          <w:sz w:val="8"/>
        </w:rPr>
        <w:t>76 </w:t>
      </w:r>
      <w:r>
        <w:rPr>
          <w:sz w:val="13"/>
        </w:rPr>
        <w:t>OECD (2008) </w:t>
      </w:r>
      <w:r>
        <w:rPr>
          <w:i/>
          <w:sz w:val="13"/>
        </w:rPr>
        <w:t>Space technology and climate change.</w:t>
      </w:r>
    </w:p>
    <w:p>
      <w:pPr>
        <w:spacing w:before="41"/>
        <w:ind w:left="742" w:right="0" w:firstLine="0"/>
        <w:jc w:val="left"/>
        <w:rPr>
          <w:sz w:val="13"/>
        </w:rPr>
      </w:pPr>
      <w:r>
        <w:rPr>
          <w:position w:val="6"/>
          <w:sz w:val="8"/>
        </w:rPr>
        <w:t>77 </w:t>
      </w:r>
      <w:hyperlink r:id="rId88">
        <w:r>
          <w:rPr>
            <w:color w:val="009DDF"/>
            <w:sz w:val="13"/>
          </w:rPr>
          <w:t>www.exactearth.com.</w:t>
        </w:r>
      </w:hyperlink>
    </w:p>
    <w:p>
      <w:pPr>
        <w:spacing w:after="0"/>
        <w:jc w:val="left"/>
        <w:rPr>
          <w:sz w:val="13"/>
        </w:rPr>
        <w:sectPr>
          <w:type w:val="continuous"/>
          <w:pgSz w:w="11910" w:h="16840"/>
          <w:pgMar w:top="1400" w:bottom="280" w:left="960" w:right="0"/>
        </w:sectPr>
      </w:pPr>
    </w:p>
    <w:p>
      <w:pPr>
        <w:pStyle w:val="ListParagraph"/>
        <w:numPr>
          <w:ilvl w:val="2"/>
          <w:numId w:val="7"/>
        </w:numPr>
        <w:tabs>
          <w:tab w:pos="743" w:val="left" w:leader="none"/>
        </w:tabs>
        <w:spacing w:line="240" w:lineRule="auto" w:before="126" w:after="0"/>
        <w:ind w:left="742" w:right="0" w:hanging="624"/>
        <w:jc w:val="left"/>
        <w:rPr>
          <w:b/>
          <w:sz w:val="18"/>
        </w:rPr>
      </w:pPr>
      <w:r>
        <w:rPr>
          <w:b/>
          <w:sz w:val="18"/>
        </w:rPr>
        <w:t>Case: Demente borgere – øget tryghed samt besparelser til</w:t>
      </w:r>
      <w:r>
        <w:rPr>
          <w:b/>
          <w:spacing w:val="-3"/>
          <w:sz w:val="18"/>
        </w:rPr>
        <w:t> </w:t>
      </w:r>
      <w:r>
        <w:rPr>
          <w:b/>
          <w:sz w:val="18"/>
        </w:rPr>
        <w:t>samfundet</w:t>
      </w:r>
    </w:p>
    <w:p>
      <w:pPr>
        <w:pStyle w:val="BodyText"/>
        <w:spacing w:line="264" w:lineRule="auto" w:before="22"/>
        <w:ind w:left="742" w:right="1138"/>
      </w:pPr>
      <w:r>
        <w:rPr/>
        <w:t>Demens er en fællesbetegnelse for en række sygdomstilstande, som er karakteriseret ved vedva- rende svækkelse af mentale funktioner. Svækkelsen af mentale funktioner kan medføre, at demen- te ikke kan finde hjem, når de færdes ude på egen hånd. Dette leder i sagens natur til stor bekym- ring for de pårørende. Derudover er der ofte store samfundsmæssige omkostninger forbundet med at lede efter de forsvundne demente borgere.</w:t>
      </w:r>
    </w:p>
    <w:p>
      <w:pPr>
        <w:pStyle w:val="BodyText"/>
        <w:spacing w:before="4"/>
        <w:rPr>
          <w:sz w:val="14"/>
        </w:rPr>
      </w:pPr>
      <w:r>
        <w:rPr/>
        <w:drawing>
          <wp:anchor distT="0" distB="0" distL="0" distR="0" allowOverlap="1" layoutInCell="1" locked="0" behindDoc="0" simplePos="0" relativeHeight="177">
            <wp:simplePos x="0" y="0"/>
            <wp:positionH relativeFrom="page">
              <wp:posOffset>1739264</wp:posOffset>
            </wp:positionH>
            <wp:positionV relativeFrom="paragraph">
              <wp:posOffset>135421</wp:posOffset>
            </wp:positionV>
            <wp:extent cx="4443952" cy="1800225"/>
            <wp:effectExtent l="0" t="0" r="0" b="0"/>
            <wp:wrapTopAndBottom/>
            <wp:docPr id="55" name="image43.png" descr=""/>
            <wp:cNvGraphicFramePr>
              <a:graphicFrameLocks noChangeAspect="1"/>
            </wp:cNvGraphicFramePr>
            <a:graphic>
              <a:graphicData uri="http://schemas.openxmlformats.org/drawingml/2006/picture">
                <pic:pic>
                  <pic:nvPicPr>
                    <pic:cNvPr id="56" name="image43.png"/>
                    <pic:cNvPicPr/>
                  </pic:nvPicPr>
                  <pic:blipFill>
                    <a:blip r:embed="rId89" cstate="print"/>
                    <a:stretch>
                      <a:fillRect/>
                    </a:stretch>
                  </pic:blipFill>
                  <pic:spPr>
                    <a:xfrm>
                      <a:off x="0" y="0"/>
                      <a:ext cx="4443952" cy="1800225"/>
                    </a:xfrm>
                    <a:prstGeom prst="rect">
                      <a:avLst/>
                    </a:prstGeom>
                  </pic:spPr>
                </pic:pic>
              </a:graphicData>
            </a:graphic>
          </wp:anchor>
        </w:drawing>
      </w:r>
    </w:p>
    <w:p>
      <w:pPr>
        <w:pStyle w:val="BodyText"/>
        <w:spacing w:before="3"/>
        <w:rPr>
          <w:sz w:val="19"/>
        </w:rPr>
      </w:pPr>
    </w:p>
    <w:p>
      <w:pPr>
        <w:pStyle w:val="BodyText"/>
        <w:spacing w:line="264" w:lineRule="auto"/>
        <w:ind w:left="742" w:right="1202"/>
      </w:pPr>
      <w:r>
        <w:rPr/>
        <w:t>I dag kan GPS-teknologi anvendes til at spore den demente. For eksempel tilbyder en dansk pro- ducent en halskæde med indbygget GPS og alarmsystem</w:t>
      </w:r>
      <w:r>
        <w:rPr>
          <w:vertAlign w:val="superscript"/>
        </w:rPr>
        <w:t>78</w:t>
      </w:r>
      <w:r>
        <w:rPr>
          <w:vertAlign w:val="baseline"/>
        </w:rPr>
        <w:t>. Så længe de demente har halskæden på, vil pårørende være i stand til at lokalisere dem. GPS-systemet kan også anvendes til at opsæt- te personlige tryghedszoner, så de pårørende får besked, hvis de demente bevæger sig uden for disse zoner. GPS-udstyret bidrager derfor til at skabe øget tryghed hos de pårørende. Værdien af denne tryghed er naturligvis svær at måle. Men ABT-fonden forventer at den øgede tryghed med- fører, at demente, som bor sammen med en pårørende, kan bo længere i hjemmet.</w:t>
      </w:r>
    </w:p>
    <w:p>
      <w:pPr>
        <w:pStyle w:val="BodyText"/>
        <w:spacing w:before="5"/>
        <w:rPr>
          <w:sz w:val="19"/>
        </w:rPr>
      </w:pPr>
    </w:p>
    <w:p>
      <w:pPr>
        <w:pStyle w:val="BodyText"/>
        <w:spacing w:line="264" w:lineRule="auto"/>
        <w:ind w:left="742" w:right="1137"/>
      </w:pPr>
      <w:r>
        <w:rPr>
          <w:spacing w:val="-1"/>
        </w:rPr>
        <w:t>V</w:t>
      </w:r>
      <w:r>
        <w:rPr/>
        <w:t>ed</w:t>
      </w:r>
      <w:r>
        <w:rPr>
          <w:spacing w:val="-1"/>
        </w:rPr>
        <w:t> </w:t>
      </w:r>
      <w:r>
        <w:rPr/>
        <w:t>at</w:t>
      </w:r>
      <w:r>
        <w:rPr>
          <w:spacing w:val="-1"/>
        </w:rPr>
        <w:t> </w:t>
      </w:r>
      <w:r>
        <w:rPr/>
        <w:t>a</w:t>
      </w:r>
      <w:r>
        <w:rPr>
          <w:spacing w:val="-2"/>
        </w:rPr>
        <w:t>n</w:t>
      </w:r>
      <w:r>
        <w:rPr>
          <w:spacing w:val="-1"/>
        </w:rPr>
        <w:t>v</w:t>
      </w:r>
      <w:r>
        <w:rPr/>
        <w:t>e</w:t>
      </w:r>
      <w:r>
        <w:rPr>
          <w:spacing w:val="-2"/>
        </w:rPr>
        <w:t>n</w:t>
      </w:r>
      <w:r>
        <w:rPr/>
        <w:t>de</w:t>
      </w:r>
      <w:r>
        <w:rPr>
          <w:spacing w:val="-1"/>
        </w:rPr>
        <w:t> </w:t>
      </w:r>
      <w:r>
        <w:rPr/>
        <w:t>data</w:t>
      </w:r>
      <w:r>
        <w:rPr>
          <w:spacing w:val="-1"/>
        </w:rPr>
        <w:t> </w:t>
      </w:r>
      <w:r>
        <w:rPr/>
        <w:t>fra</w:t>
      </w:r>
      <w:r>
        <w:rPr>
          <w:spacing w:val="-2"/>
        </w:rPr>
        <w:t> </w:t>
      </w:r>
      <w:r>
        <w:rPr>
          <w:spacing w:val="2"/>
        </w:rPr>
        <w:t>a</w:t>
      </w:r>
      <w:r>
        <w:rPr>
          <w:spacing w:val="-2"/>
        </w:rPr>
        <w:t>n</w:t>
      </w:r>
      <w:r>
        <w:rPr/>
        <w:t>al</w:t>
      </w:r>
      <w:r>
        <w:rPr>
          <w:spacing w:val="-1"/>
        </w:rPr>
        <w:t>y</w:t>
      </w:r>
      <w:r>
        <w:rPr/>
        <w:t>sen </w:t>
      </w:r>
      <w:r>
        <w:rPr>
          <w:spacing w:val="-2"/>
        </w:rPr>
        <w:t>“</w:t>
      </w:r>
      <w:r>
        <w:rPr/>
        <w:t>Dem</w:t>
      </w:r>
      <w:r>
        <w:rPr>
          <w:spacing w:val="1"/>
        </w:rPr>
        <w:t>o</w:t>
      </w:r>
      <w:r>
        <w:rPr>
          <w:spacing w:val="-2"/>
        </w:rPr>
        <w:t>n</w:t>
      </w:r>
      <w:r>
        <w:rPr/>
        <w:t>strat</w:t>
      </w:r>
      <w:r>
        <w:rPr>
          <w:spacing w:val="-2"/>
        </w:rPr>
        <w:t>i</w:t>
      </w:r>
      <w:r>
        <w:rPr/>
        <w:t>o</w:t>
      </w:r>
      <w:r>
        <w:rPr>
          <w:spacing w:val="-2"/>
        </w:rPr>
        <w:t>n</w:t>
      </w:r>
      <w:r>
        <w:rPr/>
        <w:t>spr</w:t>
      </w:r>
      <w:r>
        <w:rPr>
          <w:spacing w:val="1"/>
        </w:rPr>
        <w:t>o</w:t>
      </w:r>
      <w:r>
        <w:rPr>
          <w:spacing w:val="-1"/>
        </w:rPr>
        <w:t>j</w:t>
      </w:r>
      <w:r>
        <w:rPr>
          <w:spacing w:val="1"/>
        </w:rPr>
        <w:t>e</w:t>
      </w:r>
      <w:r>
        <w:rPr>
          <w:spacing w:val="-1"/>
        </w:rPr>
        <w:t>k</w:t>
      </w:r>
      <w:r>
        <w:rPr/>
        <w:t>t med</w:t>
      </w:r>
      <w:r>
        <w:rPr>
          <w:spacing w:val="-1"/>
        </w:rPr>
        <w:t> </w:t>
      </w:r>
      <w:r>
        <w:rPr/>
        <w:t>br</w:t>
      </w:r>
      <w:r>
        <w:rPr>
          <w:spacing w:val="-2"/>
        </w:rPr>
        <w:t>u</w:t>
      </w:r>
      <w:r>
        <w:rPr/>
        <w:t>g</w:t>
      </w:r>
      <w:r>
        <w:rPr>
          <w:spacing w:val="-1"/>
        </w:rPr>
        <w:t> </w:t>
      </w:r>
      <w:r>
        <w:rPr/>
        <w:t>af</w:t>
      </w:r>
      <w:r>
        <w:rPr>
          <w:spacing w:val="-2"/>
        </w:rPr>
        <w:t> </w:t>
      </w:r>
      <w:r>
        <w:rPr>
          <w:spacing w:val="-1"/>
        </w:rPr>
        <w:t>GP</w:t>
      </w:r>
      <w:r>
        <w:rPr/>
        <w:t>S</w:t>
      </w:r>
      <w:r>
        <w:rPr>
          <w:spacing w:val="-2"/>
        </w:rPr>
        <w:t> </w:t>
      </w:r>
      <w:r>
        <w:rPr>
          <w:spacing w:val="1"/>
        </w:rPr>
        <w:t>sy</w:t>
      </w:r>
      <w:r>
        <w:rPr/>
        <w:t>stem</w:t>
      </w:r>
      <w:r>
        <w:rPr>
          <w:spacing w:val="-1"/>
        </w:rPr>
        <w:t> </w:t>
      </w:r>
      <w:r>
        <w:rPr/>
        <w:t>i eg</w:t>
      </w:r>
      <w:r>
        <w:rPr>
          <w:spacing w:val="-2"/>
        </w:rPr>
        <w:t>e</w:t>
      </w:r>
      <w:r>
        <w:rPr/>
        <w:t>t </w:t>
      </w:r>
      <w:r>
        <w:rPr>
          <w:spacing w:val="-2"/>
        </w:rPr>
        <w:t>h</w:t>
      </w:r>
      <w:r>
        <w:rPr>
          <w:spacing w:val="-1"/>
        </w:rPr>
        <w:t>j</w:t>
      </w:r>
      <w:r>
        <w:rPr>
          <w:spacing w:val="1"/>
        </w:rPr>
        <w:t>e</w:t>
      </w:r>
      <w:r>
        <w:rPr/>
        <w:t>m</w:t>
      </w:r>
      <w:r>
        <w:rPr>
          <w:spacing w:val="3"/>
        </w:rPr>
        <w:t>”</w:t>
      </w:r>
      <w:r>
        <w:rPr>
          <w:w w:val="99"/>
          <w:position w:val="6"/>
          <w:sz w:val="8"/>
        </w:rPr>
        <w:t>79 </w:t>
      </w:r>
      <w:r>
        <w:rPr/>
        <w:t> er det estimeret, at der i 2011 var omkring 40.700 demente, der boede hjemme med en pårøren- de. Analysen indikerer, at 42 pct. af de hjemmeboende demente kan blive længere i hjemmet som følge af GPS-udstyr. Når demente bliver længere i hjemmet spares plads og personale på demens- ple</w:t>
      </w:r>
      <w:r>
        <w:rPr>
          <w:spacing w:val="-3"/>
        </w:rPr>
        <w:t>j</w:t>
      </w:r>
      <w:r>
        <w:rPr/>
        <w:t>e</w:t>
      </w:r>
      <w:r>
        <w:rPr>
          <w:spacing w:val="-2"/>
        </w:rPr>
        <w:t>h</w:t>
      </w:r>
      <w:r>
        <w:rPr>
          <w:spacing w:val="-1"/>
        </w:rPr>
        <w:t>j</w:t>
      </w:r>
      <w:r>
        <w:rPr>
          <w:spacing w:val="1"/>
        </w:rPr>
        <w:t>e</w:t>
      </w:r>
      <w:r>
        <w:rPr/>
        <w:t>m.</w:t>
      </w:r>
      <w:r>
        <w:rPr>
          <w:spacing w:val="-2"/>
        </w:rPr>
        <w:t> </w:t>
      </w:r>
      <w:r>
        <w:rPr>
          <w:spacing w:val="-1"/>
        </w:rPr>
        <w:t>A</w:t>
      </w:r>
      <w:r>
        <w:rPr>
          <w:spacing w:val="-2"/>
        </w:rPr>
        <w:t>n</w:t>
      </w:r>
      <w:r>
        <w:rPr/>
        <w:t>al</w:t>
      </w:r>
      <w:r>
        <w:rPr>
          <w:spacing w:val="-1"/>
        </w:rPr>
        <w:t>y</w:t>
      </w:r>
      <w:r>
        <w:rPr/>
        <w:t>sen </w:t>
      </w:r>
      <w:r>
        <w:rPr>
          <w:spacing w:val="-1"/>
        </w:rPr>
        <w:t>v</w:t>
      </w:r>
      <w:r>
        <w:rPr>
          <w:spacing w:val="-2"/>
        </w:rPr>
        <w:t>u</w:t>
      </w:r>
      <w:r>
        <w:rPr/>
        <w:t>rd</w:t>
      </w:r>
      <w:r>
        <w:rPr>
          <w:spacing w:val="2"/>
        </w:rPr>
        <w:t>e</w:t>
      </w:r>
      <w:r>
        <w:rPr/>
        <w:t>re</w:t>
      </w:r>
      <w:r>
        <w:rPr>
          <w:spacing w:val="1"/>
        </w:rPr>
        <w:t>r</w:t>
      </w:r>
      <w:r>
        <w:rPr/>
        <w:t>,</w:t>
      </w:r>
      <w:r>
        <w:rPr>
          <w:spacing w:val="-2"/>
        </w:rPr>
        <w:t> </w:t>
      </w:r>
      <w:r>
        <w:rPr/>
        <w:t>at</w:t>
      </w:r>
      <w:r>
        <w:rPr>
          <w:spacing w:val="-1"/>
        </w:rPr>
        <w:t> </w:t>
      </w:r>
      <w:r>
        <w:rPr/>
        <w:t>den</w:t>
      </w:r>
      <w:r>
        <w:rPr>
          <w:spacing w:val="-2"/>
        </w:rPr>
        <w:t> </w:t>
      </w:r>
      <w:r>
        <w:rPr/>
        <w:t>årlige</w:t>
      </w:r>
      <w:r>
        <w:rPr>
          <w:spacing w:val="-1"/>
        </w:rPr>
        <w:t> </w:t>
      </w:r>
      <w:r>
        <w:rPr/>
        <w:t>bespar</w:t>
      </w:r>
      <w:r>
        <w:rPr>
          <w:spacing w:val="-2"/>
        </w:rPr>
        <w:t>e</w:t>
      </w:r>
      <w:r>
        <w:rPr/>
        <w:t>l</w:t>
      </w:r>
      <w:r>
        <w:rPr>
          <w:spacing w:val="-3"/>
        </w:rPr>
        <w:t>s</w:t>
      </w:r>
      <w:r>
        <w:rPr/>
        <w:t>e</w:t>
      </w:r>
      <w:r>
        <w:rPr>
          <w:spacing w:val="1"/>
        </w:rPr>
        <w:t> </w:t>
      </w:r>
      <w:r>
        <w:rPr>
          <w:spacing w:val="-2"/>
        </w:rPr>
        <w:t>u</w:t>
      </w:r>
      <w:r>
        <w:rPr/>
        <w:t>dgør</w:t>
      </w:r>
      <w:r>
        <w:rPr>
          <w:spacing w:val="-1"/>
        </w:rPr>
        <w:t> </w:t>
      </w:r>
      <w:r>
        <w:rPr/>
        <w:t>cir</w:t>
      </w:r>
      <w:r>
        <w:rPr>
          <w:spacing w:val="-2"/>
        </w:rPr>
        <w:t>k</w:t>
      </w:r>
      <w:r>
        <w:rPr/>
        <w:t>a</w:t>
      </w:r>
      <w:r>
        <w:rPr>
          <w:spacing w:val="-1"/>
        </w:rPr>
        <w:t> </w:t>
      </w:r>
      <w:r>
        <w:rPr/>
        <w:t>108</w:t>
      </w:r>
      <w:r>
        <w:rPr>
          <w:spacing w:val="-1"/>
        </w:rPr>
        <w:t>.</w:t>
      </w:r>
      <w:r>
        <w:rPr/>
        <w:t>000</w:t>
      </w:r>
      <w:r>
        <w:rPr>
          <w:spacing w:val="1"/>
        </w:rPr>
        <w:t> </w:t>
      </w:r>
      <w:r>
        <w:rPr/>
        <w:t>D</w:t>
      </w:r>
      <w:r>
        <w:rPr>
          <w:spacing w:val="-2"/>
        </w:rPr>
        <w:t>K</w:t>
      </w:r>
      <w:r>
        <w:rPr/>
        <w:t>K</w:t>
      </w:r>
      <w:r>
        <w:rPr>
          <w:spacing w:val="-1"/>
        </w:rPr>
        <w:t> </w:t>
      </w:r>
      <w:r>
        <w:rPr/>
        <w:t>pr.</w:t>
      </w:r>
      <w:r>
        <w:rPr>
          <w:spacing w:val="-2"/>
        </w:rPr>
        <w:t> </w:t>
      </w:r>
      <w:r>
        <w:rPr/>
        <w:t>deme</w:t>
      </w:r>
      <w:r>
        <w:rPr>
          <w:spacing w:val="-2"/>
        </w:rPr>
        <w:t>n</w:t>
      </w:r>
      <w:r>
        <w:rPr>
          <w:spacing w:val="1"/>
        </w:rPr>
        <w:t>t</w:t>
      </w:r>
      <w:r>
        <w:rPr>
          <w:w w:val="99"/>
          <w:position w:val="6"/>
          <w:sz w:val="8"/>
        </w:rPr>
        <w:t>80</w:t>
      </w:r>
      <w:r>
        <w:rPr>
          <w:position w:val="6"/>
          <w:sz w:val="8"/>
        </w:rPr>
        <w:t> </w:t>
      </w:r>
      <w:r>
        <w:rPr>
          <w:spacing w:val="6"/>
          <w:position w:val="6"/>
          <w:sz w:val="8"/>
        </w:rPr>
        <w:t> </w:t>
      </w:r>
      <w:r>
        <w:rPr/>
        <w:t>som bliver boende længere hjemme. Besparelsen er baseret på tal fra en slutevaluering af fem kommu- ners brug af GPS-sporing af demente på plejehjem foretaget for ABT-fonden i 2011 og dækker over, at den ældre kan blive længere i eget hjem samt personale og politiressourcer til eftersøg- ning. </w:t>
      </w:r>
      <w:r>
        <w:rPr>
          <w:b/>
        </w:rPr>
        <w:t>Den samlede potentielle besparelse bliver dermed 1,9 mia. DKK pr. år </w:t>
      </w:r>
      <w:r>
        <w:rPr/>
        <w:t>ved at demente bor længere hjemme. Her tages der ikke hensyn til eventuelle forskelle i omkostningerne for den demente ved at bo henholdsvis hjemme eller på</w:t>
      </w:r>
      <w:r>
        <w:rPr>
          <w:spacing w:val="-7"/>
        </w:rPr>
        <w:t> </w:t>
      </w:r>
      <w:r>
        <w:rPr/>
        <w:t>institution.</w:t>
      </w:r>
    </w:p>
    <w:p>
      <w:pPr>
        <w:pStyle w:val="BodyText"/>
        <w:spacing w:before="2"/>
        <w:rPr>
          <w:sz w:val="19"/>
        </w:rPr>
      </w:pPr>
    </w:p>
    <w:p>
      <w:pPr>
        <w:pStyle w:val="BodyText"/>
        <w:spacing w:line="264" w:lineRule="auto"/>
        <w:ind w:left="742" w:right="1212"/>
        <w:rPr>
          <w:b/>
        </w:rPr>
      </w:pPr>
      <w:r>
        <w:rPr/>
        <w:t>Ud over besparelser ved at bo længere i eget hjem, sparede samfundet også omkostninger til ef- tersøgning. I analysen fra ABT-fonden er angivet antallet af eftersøgninger af demente i 1. kvartal 2011. Baseret på 1. kvartal vurderes det, at der årligt er cirka 340 eftersøgninger af demente på landsplan. Ud fra en antagelse om, at en eftersøgning består af 6 timers arbejde for 8 politibetjen- te, er det i ABT-fondens analyse vurderet, at en eftersøgning koster ca. 12.800 DKK. På denne baggrund vurderes det, at den </w:t>
      </w:r>
      <w:r>
        <w:rPr>
          <w:b/>
        </w:rPr>
        <w:t>samlede potentielle besparelse ved færre eftersøgninger af demente svarer til cirka 4,4 mio. DKK årligt.</w:t>
      </w:r>
    </w:p>
    <w:p>
      <w:pPr>
        <w:pStyle w:val="BodyText"/>
        <w:rPr>
          <w:b/>
          <w:sz w:val="20"/>
        </w:rPr>
      </w:pPr>
    </w:p>
    <w:p>
      <w:pPr>
        <w:pStyle w:val="BodyText"/>
        <w:spacing w:before="8"/>
        <w:rPr>
          <w:b/>
          <w:sz w:val="14"/>
        </w:rPr>
      </w:pPr>
      <w:r>
        <w:rPr/>
        <w:pict>
          <v:line style="position:absolute;mso-position-horizontal-relative:page;mso-position-vertical-relative:paragraph;z-index:3248;mso-wrap-distance-left:0;mso-wrap-distance-right:0" from="85.103996pt,11.135019pt" to="229.123996pt,11.135019pt" stroked="true" strokeweight=".48004pt" strokecolor="#000000">
            <v:stroke dashstyle="solid"/>
            <w10:wrap type="topAndBottom"/>
          </v:line>
        </w:pict>
      </w:r>
    </w:p>
    <w:p>
      <w:pPr>
        <w:spacing w:line="321" w:lineRule="auto" w:before="99"/>
        <w:ind w:left="742" w:right="1211" w:firstLine="0"/>
        <w:jc w:val="left"/>
        <w:rPr>
          <w:sz w:val="13"/>
        </w:rPr>
      </w:pPr>
      <w:r>
        <w:rPr>
          <w:position w:val="6"/>
          <w:sz w:val="8"/>
        </w:rPr>
        <w:t>78 </w:t>
      </w:r>
      <w:r>
        <w:rPr>
          <w:sz w:val="13"/>
        </w:rPr>
        <w:t>Kilde: </w:t>
      </w:r>
      <w:hyperlink r:id="rId90">
        <w:r>
          <w:rPr>
            <w:color w:val="009DDF"/>
            <w:sz w:val="13"/>
          </w:rPr>
          <w:t>http://www.videnscenterfordemens.dk/pleje-og-behandling/pleje-og-omsorg/teknologiske-hjaelpemidler/gps-sporingsenhed-til-</w:t>
        </w:r>
      </w:hyperlink>
      <w:r>
        <w:rPr>
          <w:color w:val="009DDF"/>
          <w:sz w:val="13"/>
        </w:rPr>
        <w:t> </w:t>
      </w:r>
      <w:hyperlink r:id="rId90">
        <w:r>
          <w:rPr>
            <w:color w:val="009DDF"/>
            <w:sz w:val="13"/>
          </w:rPr>
          <w:t>personer-med-demens</w:t>
        </w:r>
      </w:hyperlink>
      <w:hyperlink r:id="rId90">
        <w:r>
          <w:rPr>
            <w:color w:val="009DDF"/>
            <w:sz w:val="13"/>
          </w:rPr>
          <w:t>/.</w:t>
        </w:r>
      </w:hyperlink>
    </w:p>
    <w:p>
      <w:pPr>
        <w:spacing w:line="155" w:lineRule="exact" w:before="0"/>
        <w:ind w:left="742" w:right="0" w:firstLine="0"/>
        <w:jc w:val="left"/>
        <w:rPr>
          <w:sz w:val="13"/>
        </w:rPr>
      </w:pPr>
      <w:r>
        <w:rPr>
          <w:position w:val="6"/>
          <w:sz w:val="8"/>
        </w:rPr>
        <w:t>79 </w:t>
      </w:r>
      <w:r>
        <w:rPr>
          <w:sz w:val="13"/>
        </w:rPr>
        <w:t>Kilde: ABT-fonden 2011.</w:t>
      </w:r>
    </w:p>
    <w:p>
      <w:pPr>
        <w:spacing w:line="316" w:lineRule="auto" w:before="43"/>
        <w:ind w:left="742" w:right="1511" w:firstLine="0"/>
        <w:jc w:val="left"/>
        <w:rPr>
          <w:sz w:val="13"/>
        </w:rPr>
      </w:pPr>
      <w:r>
        <w:rPr>
          <w:position w:val="6"/>
          <w:sz w:val="8"/>
        </w:rPr>
        <w:t>80 </w:t>
      </w:r>
      <w:r>
        <w:rPr>
          <w:sz w:val="13"/>
        </w:rPr>
        <w:t>Kilde: Demonstrationsprojekt med brug af GPS system i eget hjem. </w:t>
      </w:r>
      <w:hyperlink r:id="rId91">
        <w:r>
          <w:rPr>
            <w:color w:val="009DDF"/>
            <w:sz w:val="13"/>
          </w:rPr>
          <w:t>http://www.digst.dk/~/media/Afsluttede-projekter/GPS-med-</w:t>
        </w:r>
      </w:hyperlink>
      <w:r>
        <w:rPr>
          <w:color w:val="009DDF"/>
          <w:sz w:val="13"/>
        </w:rPr>
        <w:t> </w:t>
      </w:r>
      <w:hyperlink r:id="rId91">
        <w:r>
          <w:rPr>
            <w:color w:val="009DDF"/>
            <w:sz w:val="13"/>
          </w:rPr>
          <w:t>tilkaldeknap-til-demente/Slutevaluering---GPS-til-demente.pdf?la=da.</w:t>
        </w:r>
      </w:hyperlink>
    </w:p>
    <w:p>
      <w:pPr>
        <w:spacing w:after="0" w:line="316" w:lineRule="auto"/>
        <w:jc w:val="left"/>
        <w:rPr>
          <w:sz w:val="13"/>
        </w:rPr>
        <w:sectPr>
          <w:pgSz w:w="11910" w:h="16840"/>
          <w:pgMar w:header="0" w:footer="1056" w:top="1580" w:bottom="1240" w:left="960" w:right="0"/>
        </w:sectPr>
      </w:pPr>
    </w:p>
    <w:p>
      <w:pPr>
        <w:pStyle w:val="BodyText"/>
        <w:spacing w:line="264" w:lineRule="auto" w:before="126"/>
        <w:ind w:left="742" w:right="1149"/>
      </w:pPr>
      <w:r>
        <w:rPr/>
        <w:t>Flertallet af danske kommuner anvender GPS til sporing af personer med demens. I forbindelse med tv-programmet </w:t>
      </w:r>
      <w:r>
        <w:rPr>
          <w:i/>
        </w:rPr>
        <w:t>'DR2 undersøger: De forsvundne demente'</w:t>
      </w:r>
      <w:r>
        <w:rPr/>
        <w:t>, sendt oktober 2014, blev kommu- nerne i 2014 spurgt om deres brug af GPS. 67 ud af de 71 deltagende kommuner anvendte GPS, men antallet af GPS-enheder i den enkelte kommune varierede meget.</w:t>
      </w:r>
      <w:r>
        <w:rPr>
          <w:vertAlign w:val="superscript"/>
        </w:rPr>
        <w:t>81</w:t>
      </w:r>
      <w:r>
        <w:rPr>
          <w:vertAlign w:val="baseline"/>
        </w:rPr>
        <w:t> Systemet forudsætter, at der er en omsorgsgiver til at modtage meldinger fra GPS'en og til at spore den demente. Denne person skal have de tekniske kompetencer samt tid og ressourcer til at spore og hente den demen- te. Dette kan betyde, at det fulde potentiale beskrevet ovenfor ikke er muligt at realisere.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3272;mso-wrap-distance-left:0;mso-wrap-distance-right:0" from="85.103996pt,8.311377pt" to="229.123996pt,8.311377pt" stroked="true" strokeweight=".48004pt" strokecolor="#000000">
            <v:stroke dashstyle="solid"/>
            <w10:wrap type="topAndBottom"/>
          </v:line>
        </w:pict>
      </w:r>
    </w:p>
    <w:p>
      <w:pPr>
        <w:spacing w:before="99"/>
        <w:ind w:left="742" w:right="0" w:firstLine="0"/>
        <w:jc w:val="left"/>
        <w:rPr>
          <w:sz w:val="13"/>
        </w:rPr>
      </w:pPr>
      <w:r>
        <w:rPr>
          <w:position w:val="6"/>
          <w:sz w:val="8"/>
        </w:rPr>
        <w:t>81 </w:t>
      </w:r>
      <w:r>
        <w:rPr>
          <w:sz w:val="13"/>
        </w:rPr>
        <w:t>Kilde: </w:t>
      </w:r>
      <w:hyperlink r:id="rId92">
        <w:r>
          <w:rPr>
            <w:color w:val="009DDF"/>
            <w:sz w:val="13"/>
          </w:rPr>
          <w:t>http://sarita.dk.</w:t>
        </w:r>
      </w:hyperlink>
    </w:p>
    <w:p>
      <w:pPr>
        <w:spacing w:after="0"/>
        <w:jc w:val="left"/>
        <w:rPr>
          <w:sz w:val="13"/>
        </w:rPr>
        <w:sectPr>
          <w:pgSz w:w="11910" w:h="16840"/>
          <w:pgMar w:header="0" w:footer="1056" w:top="1580" w:bottom="1240" w:left="960" w:right="0"/>
        </w:sectPr>
      </w:pPr>
    </w:p>
    <w:p>
      <w:pPr>
        <w:pStyle w:val="Heading1"/>
        <w:numPr>
          <w:ilvl w:val="0"/>
          <w:numId w:val="12"/>
        </w:numPr>
        <w:tabs>
          <w:tab w:pos="741" w:val="left" w:leader="none"/>
          <w:tab w:pos="743" w:val="left" w:leader="none"/>
        </w:tabs>
        <w:spacing w:line="240" w:lineRule="auto" w:before="110" w:after="0"/>
        <w:ind w:left="742" w:right="0" w:hanging="624"/>
        <w:jc w:val="left"/>
        <w:rPr>
          <w:color w:val="009DDF"/>
        </w:rPr>
      </w:pPr>
      <w:bookmarkStart w:name="_bookmark38" w:id="39"/>
      <w:bookmarkEnd w:id="39"/>
      <w:r>
        <w:rPr>
          <w:color w:val="009DDF"/>
        </w:rPr>
        <w:t>DAN</w:t>
      </w:r>
      <w:r>
        <w:rPr>
          <w:color w:val="009DDF"/>
        </w:rPr>
        <w:t>MARKS</w:t>
      </w:r>
      <w:r>
        <w:rPr>
          <w:color w:val="009DDF"/>
          <w:spacing w:val="-1"/>
        </w:rPr>
        <w:t> </w:t>
      </w:r>
      <w:r>
        <w:rPr>
          <w:color w:val="009DDF"/>
        </w:rPr>
        <w:t>STYRKEPOSITIONER</w:t>
      </w:r>
    </w:p>
    <w:p>
      <w:pPr>
        <w:pStyle w:val="BodyText"/>
        <w:spacing w:line="264" w:lineRule="auto" w:before="276"/>
        <w:ind w:left="742" w:right="1164"/>
      </w:pPr>
      <w:r>
        <w:rPr/>
        <w:t>Med afsæt i den faktabaserede kortlægning og beskrivelse af rumområdet i Danmark (kapitel 3) og endvidere vurderingen af områdets samfundsøkonomiske gevinster (kapitel 4) vurderes i det føl- gende, hvilke dele af rumområdet i Danmark der repræsenterer styrkepositioner for henholdsvis erhvervsliv, forskning og myndigheder – og deres samspil.</w:t>
      </w:r>
    </w:p>
    <w:p>
      <w:pPr>
        <w:pStyle w:val="BodyText"/>
        <w:spacing w:before="6"/>
        <w:rPr>
          <w:sz w:val="19"/>
        </w:rPr>
      </w:pPr>
    </w:p>
    <w:p>
      <w:pPr>
        <w:pStyle w:val="BodyText"/>
        <w:spacing w:line="264" w:lineRule="auto" w:before="1"/>
        <w:ind w:left="742" w:right="1176"/>
      </w:pPr>
      <w:r>
        <w:rPr/>
        <w:t>Styrkepositioner forstås i nærværende sammenhæng som de dele af rumområdet, der skaber rela- tivt meget værdi. Hvilke erhvervsområder skaber fx relativt stor økonomisk værdi og kan derigen- nem drive forretningsmæssig attraktivitet og investeringstilbøjelighed? Hvilke forskningsområder vurderes fx til at være længst fremme og skabe mest og bedst forskning? Og på hvilke områder leverer myndigheder fx tilstrækkelig kvalitet til brug for andre myndigheder og slutbrugere blandt borgere og virksomheder? Der er her tale om vurderinger, som triangulerer alle typer kvantitative og kvalitative data fra kortlægningen samt den erfaringsbaserede vurdering fra Rambøll og London Economics.</w:t>
      </w:r>
    </w:p>
    <w:p>
      <w:pPr>
        <w:pStyle w:val="BodyText"/>
        <w:spacing w:before="4"/>
        <w:rPr>
          <w:sz w:val="19"/>
        </w:rPr>
      </w:pPr>
    </w:p>
    <w:p>
      <w:pPr>
        <w:pStyle w:val="BodyText"/>
        <w:spacing w:line="264" w:lineRule="auto"/>
        <w:ind w:left="742" w:right="1118"/>
      </w:pPr>
      <w:r>
        <w:rPr/>
        <w:t>Det ligger uden for rammerne af denne kortlægning at analysere komparative fordele via sammen- ligninger på tværs af lande, omend der dog indgår sammenligninger af en række lande i den de- skriptive gennemgang af rumområdet i dag. Derfor fokuseres der på sammenligninger inden for det danske rumområde, fx mellem styrkepositioner på tværs af satellitteknologierne jordobservation, navigation og kommunikation.</w:t>
      </w:r>
    </w:p>
    <w:p>
      <w:pPr>
        <w:pStyle w:val="BodyText"/>
        <w:spacing w:before="6"/>
        <w:rPr>
          <w:sz w:val="19"/>
        </w:rPr>
      </w:pPr>
    </w:p>
    <w:p>
      <w:pPr>
        <w:pStyle w:val="BodyText"/>
        <w:spacing w:line="264" w:lineRule="auto"/>
        <w:ind w:left="742" w:right="1207"/>
      </w:pPr>
      <w:r>
        <w:rPr/>
        <w:t>I nærværende kapitel er der tale om aktuelle styrkepositioner, baseret på senest tilgængelige data (fx virksomhedsdemografiske registerdata fra 2013 eller aktuelle kvalitative interview). Aktuelle styrkepositioner, som giver grundlag for at diskutere de fremadrettede kommercielle muligheder samt myndighedernes fremtidige behov behandles i de følgende kapitler.</w:t>
      </w:r>
    </w:p>
    <w:p>
      <w:pPr>
        <w:pStyle w:val="BodyText"/>
        <w:spacing w:before="6"/>
        <w:rPr>
          <w:sz w:val="19"/>
        </w:rPr>
      </w:pPr>
    </w:p>
    <w:p>
      <w:pPr>
        <w:pStyle w:val="Heading2"/>
        <w:numPr>
          <w:ilvl w:val="1"/>
          <w:numId w:val="12"/>
        </w:numPr>
        <w:tabs>
          <w:tab w:pos="741" w:val="left" w:leader="none"/>
          <w:tab w:pos="743" w:val="left" w:leader="none"/>
        </w:tabs>
        <w:spacing w:line="240" w:lineRule="auto" w:before="1" w:after="0"/>
        <w:ind w:left="742" w:right="0" w:hanging="624"/>
        <w:jc w:val="left"/>
      </w:pPr>
      <w:bookmarkStart w:name="_bookmark39" w:id="40"/>
      <w:bookmarkEnd w:id="40"/>
      <w:r>
        <w:rPr/>
        <w:t>S</w:t>
      </w:r>
      <w:r>
        <w:rPr/>
        <w:t>tyrkepositioner i samspillet mellem erhvervsliv, forskning og</w:t>
      </w:r>
      <w:r>
        <w:rPr>
          <w:spacing w:val="-7"/>
        </w:rPr>
        <w:t> </w:t>
      </w:r>
      <w:r>
        <w:rPr/>
        <w:t>myndigheder</w:t>
      </w:r>
    </w:p>
    <w:p>
      <w:pPr>
        <w:pStyle w:val="BodyText"/>
        <w:spacing w:line="264" w:lineRule="auto" w:before="21"/>
        <w:ind w:left="742" w:right="1343"/>
      </w:pPr>
      <w:r>
        <w:rPr/>
        <w:t>Styrelsen for Forskning og Innovation foretog i 2011 en afdækning af de økonomiske effekter af erhvervslivets forskningssamarbejde med offentlige vidensinstitutioner. Analysen viste bl.a., at forsknings- og udviklingsaktive virksomheder, der investerer i forskning og udvikling i forbindelse med et universitetssamarbejde, årligt har 6,8 % højere produktivitet end forsknings- og udvik- lingsaktive virksomheder uden universitetssamarbejde.</w:t>
      </w:r>
    </w:p>
    <w:p>
      <w:pPr>
        <w:pStyle w:val="BodyText"/>
        <w:spacing w:before="6"/>
        <w:rPr>
          <w:sz w:val="19"/>
        </w:rPr>
      </w:pPr>
    </w:p>
    <w:p>
      <w:pPr>
        <w:pStyle w:val="BodyText"/>
        <w:spacing w:line="264" w:lineRule="auto"/>
        <w:ind w:left="742" w:right="1153"/>
      </w:pPr>
      <w:r>
        <w:rPr/>
        <w:t>Man kan betragte rumområdet som et system af netværk mellem virksomheder, forskningsinstitu- tioner og myndigheder, der hver især skaber værdi, innovation og vækst i snitflader med synergi mellem de forskellige aktører. Heraf følger, at en forskningsmæssig styrkeposition eksempelvis kan have væsentlig afsmittende betydning for forretningsudvikling og investeringer blandt virksomhe- derne og dermed generere erhvervsmæssige styrkepositioner. Tilsvarende kan en forskningsmæs- sig styrkeposition bidrage til, at myndigheder får nye muligheder for at levere ydelser til andre myndigheder eller virksomheder og borgere. Nedenstående figur illustrerer denne synergi mellem aktørerne på rumområdet i Danmark og er baseret på kortlægningens mange interview med virk- somheder, forskningsinstitutioner og myndigheder.</w:t>
      </w:r>
    </w:p>
    <w:p>
      <w:pPr>
        <w:spacing w:after="0" w:line="264" w:lineRule="auto"/>
        <w:sectPr>
          <w:pgSz w:w="11910" w:h="16840"/>
          <w:pgMar w:header="0" w:footer="1056" w:top="1580" w:bottom="1240" w:left="960" w:right="0"/>
        </w:sectPr>
      </w:pPr>
    </w:p>
    <w:p>
      <w:pPr>
        <w:spacing w:before="101"/>
        <w:ind w:left="742" w:right="0" w:firstLine="0"/>
        <w:jc w:val="left"/>
        <w:rPr>
          <w:b/>
          <w:sz w:val="15"/>
        </w:rPr>
      </w:pPr>
      <w:r>
        <w:rPr/>
        <w:pict>
          <v:line style="position:absolute;mso-position-horizontal-relative:page;mso-position-vertical-relative:paragraph;z-index:3296;mso-wrap-distance-left:0;mso-wrap-distance-right:0" from="85.050003pt,19.406698pt" to="530.014551pt,19.406698pt" stroked="true" strokeweight=".382272pt" strokecolor="#797766">
            <v:stroke dashstyle="solid"/>
            <w10:wrap type="topAndBottom"/>
          </v:line>
        </w:pict>
      </w:r>
      <w:r>
        <w:rPr/>
        <w:pict>
          <v:group style="position:absolute;margin-left:93.106895pt;margin-top:29.855284pt;width:423.35pt;height:166.75pt;mso-position-horizontal-relative:page;mso-position-vertical-relative:paragraph;z-index:3584;mso-wrap-distance-left:0;mso-wrap-distance-right:0" coordorigin="1862,597" coordsize="8467,3335">
            <v:shape style="position:absolute;left:4888;top:1722;width:2497;height:975" coordorigin="4888,1722" coordsize="2497,975" path="m6136,1722l6028,1724,5923,1729,5821,1738,5722,1750,5627,1765,5536,1782,5449,1803,5367,1826,5290,1851,5219,1879,5153,1909,5094,1941,5042,1975,4958,2048,4906,2127,4888,2210,4893,2252,4928,2333,4996,2409,5094,2478,5153,2510,5219,2540,5290,2568,5367,2593,5449,2617,5536,2637,5627,2655,5722,2670,5821,2681,5923,2690,6028,2695,6136,2697,6244,2695,6349,2690,6451,2681,6550,2670,6645,2655,6737,2637,6823,2617,6905,2593,6982,2568,7054,2540,7119,2510,7178,2478,7231,2444,7314,2371,7366,2293,7384,2210,7380,2168,7344,2087,7276,2011,7178,1941,7119,1909,7054,1879,6982,1851,6905,1826,6823,1803,6737,1782,6645,1765,6550,1750,6451,1738,6349,1729,6244,1724,6136,1722xe" filled="true" fillcolor="#a7d2f5" stroked="false">
              <v:path arrowok="t"/>
              <v:fill type="solid"/>
            </v:shape>
            <v:shape style="position:absolute;left:4888;top:1722;width:2497;height:975" coordorigin="4888,1722" coordsize="2497,975" path="m4888,2210l4906,2127,4958,2048,5042,1975,5094,1941,5153,1909,5219,1879,5290,1851,5367,1826,5449,1803,5536,1782,5627,1765,5722,1750,5821,1738,5923,1729,6028,1724,6136,1722,6244,1724,6349,1729,6451,1738,6550,1750,6645,1765,6737,1782,6823,1803,6905,1826,6982,1851,7054,1879,7119,1909,7178,1941,7231,1975,7314,2048,7366,2127,7384,2210,7380,2252,7344,2333,7276,2409,7178,2478,7119,2510,7054,2540,6982,2568,6905,2593,6823,2617,6737,2637,6645,2655,6550,2670,6451,2681,6349,2690,6244,2695,6136,2697,6028,2695,5923,2690,5821,2681,5722,2670,5627,2655,5536,2637,5449,2617,5367,2593,5290,2568,5219,2540,5153,2510,5094,2478,5042,2444,4958,2371,4906,2293,4888,2210xe" filled="false" stroked="true" strokeweight=".382375pt" strokecolor="#797766">
              <v:path arrowok="t"/>
              <v:stroke dashstyle="solid"/>
            </v:shape>
            <v:shape style="position:absolute;left:6738;top:1529;width:1293;height:806" coordorigin="6738,1529" coordsize="1293,806" path="m7039,1591l7013,1601,6987,1613,6963,1625,6940,1639,6918,1653,6897,1667,6877,1681,6859,1697,6842,1713,6826,1729,6811,1745,6786,1779,6775,1797,6765,1815,6758,1833,6751,1853,6745,1871,6742,1891,6739,1909,6738,1929,6739,1949,6740,1967,6744,1987,6749,2005,6755,2025,6763,2043,6773,2063,6783,2081,6796,2099,6810,2117,6825,2135,6843,2153,6861,2169,6881,2185,6902,2201,6924,2215,6946,2229,6970,2243,6995,2255,7020,2267,7073,2287,7157,2311,7216,2323,7276,2331,7337,2335,7430,2335,7492,2331,7554,2323,7584,2317,7607,2311,7338,2311,7278,2307,7219,2299,7162,2287,7107,2271,7080,2263,7054,2253,7029,2243,7004,2233,6981,2221,6958,2209,6936,2195,6915,2181,6895,2167,6877,2151,6859,2135,6843,2119,6815,2085,6803,2067,6793,2051,6785,2033,6778,2015,6772,1999,6768,1981,6764,1963,6763,1945,6762,1929,6763,1911,6766,1893,6769,1877,6774,1859,6780,1843,6788,1825,6796,1809,6806,1793,6818,1777,6830,1761,6844,1745,6859,1729,6875,1715,6893,1699,6911,1685,6931,1673,6952,1659,6975,1647,6998,1635,7023,1623,7049,1613,7039,1591xm7612,1553l7431,1553,7461,1555,7491,1559,7520,1561,7549,1567,7578,1571,7606,1577,7688,1601,7714,1611,7740,1621,7764,1631,7788,1643,7811,1655,7833,1669,7853,1683,7873,1697,7892,1713,7910,1729,7926,1747,7941,1763,7954,1781,7966,1799,7976,1817,7985,1835,7992,1853,7998,1871,8002,1889,8005,1907,8006,1923,8006,1943,8004,1961,8002,1977,7997,1995,7992,2013,7985,2031,7976,2047,7967,2065,7943,2099,7929,2115,7914,2131,7898,2145,7881,2161,7862,2175,7841,2189,7820,2203,7797,2215,7773,2229,7748,2239,7722,2251,7695,2261,7666,2271,7608,2287,7549,2299,7489,2307,7428,2311,7607,2311,7614,2309,7644,2303,7703,2283,7731,2273,7759,2261,7785,2249,7809,2237,7833,2223,7855,2209,7876,2195,7896,2179,7915,2163,7932,2147,7948,2131,7963,2113,7976,2095,7988,2077,7998,2059,8007,2039,8015,2021,8021,2001,8026,1981,8029,1963,8030,1943,8030,1923,8029,1903,8026,1883,8021,1863,8015,1843,8007,1823,7997,1805,7986,1785,7959,1747,7943,1729,7926,1711,7907,1695,7888,1679,7867,1663,7845,1649,7822,1635,7799,1621,7774,1609,7749,1599,7722,1587,7696,1577,7612,1553xm7129,1537l7070,1591,7150,1605,7144,1587,7131,1587,7125,1563,7136,1560,7129,1537xm7136,1560l7125,1563,7131,1587,7143,1583,7136,1560xm7143,1583l7131,1587,7144,1587,7143,1583xm7432,1529l7339,1529,7277,1533,7246,1537,7215,1543,7184,1547,7136,1560,7143,1583,7160,1577,7219,1565,7280,1557,7340,1553,7612,1553,7582,1547,7553,1543,7523,1537,7493,1533,7432,1529xe" filled="true" fillcolor="#c00000" stroked="false">
              <v:path arrowok="t"/>
              <v:fill type="solid"/>
            </v:shape>
            <v:shape style="position:absolute;left:6738;top:1528;width:1293;height:818" coordorigin="6738,1529" coordsize="1293,818" path="m7610,2299l7548,2299,7552,2321,7541,2323,7545,2347,7610,2299xm7438,1529l7344,1529,7281,1533,7218,1541,7187,1547,7095,1571,7067,1581,7039,1591,7013,1601,6987,1613,6963,1625,6939,1639,6917,1653,6896,1667,6876,1683,6858,1697,6840,1713,6824,1731,6809,1747,6796,1765,6784,1783,6773,1801,6763,1821,6755,1839,6749,1859,6744,1879,6740,1899,6738,1919,6738,1939,6739,1959,6742,1979,6747,1999,6753,2019,6761,2039,6770,2059,6782,2079,6809,2117,6824,2135,6841,2151,6859,2169,6878,2185,6898,2199,6920,2213,6942,2227,6965,2241,6989,2253,7014,2263,7040,2275,7067,2285,7150,2309,7209,2321,7299,2333,7361,2337,7393,2337,7487,2331,7519,2327,7541,2323,7539,2313,7392,2313,7362,2311,7331,2311,7301,2309,7212,2297,7128,2279,7101,2271,7049,2251,7024,2241,7000,2231,6976,2219,6954,2207,6933,2193,6912,2179,6893,2165,6875,2149,6857,2133,6842,2117,6827,2101,6814,2083,6802,2065,6791,2047,6783,2029,6776,2009,6770,1991,6766,1973,6763,1955,6762,1937,6763,1919,6765,1901,6768,1883,6772,1865,6778,1847,6786,1829,6794,1813,6804,1795,6816,1779,6828,1763,6843,1747,6858,1731,6874,1715,6892,1701,6911,1687,6931,1673,6952,1659,6975,1647,6998,1635,7023,1623,7049,1613,7075,1603,7103,1593,7162,1577,7223,1565,7284,1557,7346,1553,7609,1553,7560,1543,7469,1531,7438,1529xm7548,2299l7536,2300,7541,2323,7552,2321,7548,2299xm7536,2300l7515,2303,7484,2307,7392,2313,7539,2313,7536,2300xm7532,2277l7536,2300,7548,2299,7610,2299,7532,2277xm7609,1553l7437,1553,7468,1555,7556,1567,7613,1579,7694,1603,7745,1623,7769,1635,7792,1647,7815,1659,7836,1671,7856,1685,7876,1699,7894,1715,7911,1731,7927,1747,7941,1765,7955,1781,7967,1799,7974,1813,7981,1827,7988,1841,7993,1855,7997,1869,8001,1883,8003,1897,8005,1909,8006,1919,8006,1939,8005,1951,8004,1965,8001,1979,7998,1993,7994,2007,7989,2019,7984,2033,7977,2047,7970,2059,7962,2073,7953,2085,7943,2097,7933,2111,7922,2123,7910,2135,7897,2147,7883,2159,7869,2169,7854,2181,7838,2191,7821,2201,7804,2213,7816,2233,7834,2223,7852,2211,7868,2201,7884,2189,7899,2177,7913,2165,7927,2151,7940,2139,7952,2125,7963,2113,7973,2099,7983,2085,7991,2071,7999,2057,8006,2043,8012,2027,8017,2013,8022,1999,8025,1983,8028,1967,8030,1953,8030,1939,8030,1923,8029,1907,8027,1891,8024,1877,8020,1861,8016,1845,8010,1831,8003,1815,7996,1801,7987,1787,7974,1767,7960,1749,7944,1731,7928,1713,7910,1697,7890,1681,7870,1665,7849,1651,7826,1637,7803,1625,7779,1613,7754,1601,7728,1591,7702,1581,7675,1571,7618,1555,7609,1553xe" filled="true" fillcolor="#c00000" stroked="false">
              <v:path arrowok="t"/>
              <v:fill type="solid"/>
            </v:shape>
            <v:shape style="position:absolute;left:2022;top:597;width:8228;height:3335" type="#_x0000_t75" stroked="false">
              <v:imagedata r:id="rId93" o:title=""/>
            </v:shape>
            <v:shape style="position:absolute;left:1862;top:872;width:993;height:424" type="#_x0000_t202" filled="false" stroked="false">
              <v:textbox inset="0,0,0,0">
                <w:txbxContent>
                  <w:p>
                    <w:pPr>
                      <w:spacing w:line="252" w:lineRule="auto" w:before="7"/>
                      <w:ind w:left="-1" w:right="18" w:hanging="1"/>
                      <w:jc w:val="center"/>
                      <w:rPr>
                        <w:sz w:val="11"/>
                      </w:rPr>
                    </w:pPr>
                    <w:r>
                      <w:rPr>
                        <w:w w:val="105"/>
                        <w:sz w:val="11"/>
                      </w:rPr>
                      <w:t>SUCCESFULDE VIRKSOMHEDER REINVESTERER</w:t>
                    </w:r>
                  </w:p>
                </w:txbxContent>
              </v:textbox>
              <w10:wrap type="none"/>
            </v:shape>
            <v:shape style="position:absolute;left:9808;top:923;width:521;height:143" type="#_x0000_t202" filled="false" stroked="false">
              <v:textbox inset="0,0,0,0">
                <w:txbxContent>
                  <w:p>
                    <w:pPr>
                      <w:spacing w:before="7"/>
                      <w:ind w:left="0" w:right="0" w:firstLine="0"/>
                      <w:jc w:val="left"/>
                      <w:rPr>
                        <w:sz w:val="11"/>
                      </w:rPr>
                    </w:pPr>
                    <w:r>
                      <w:rPr>
                        <w:w w:val="105"/>
                        <w:sz w:val="11"/>
                      </w:rPr>
                      <w:t>KAPITAL</w:t>
                    </w:r>
                  </w:p>
                </w:txbxContent>
              </v:textbox>
              <w10:wrap type="none"/>
            </v:shape>
            <v:shape style="position:absolute;left:3487;top:1360;width:1077;height:155" type="#_x0000_t202" filled="false" stroked="false">
              <v:textbox inset="0,0,0,0">
                <w:txbxContent>
                  <w:p>
                    <w:pPr>
                      <w:spacing w:before="7"/>
                      <w:ind w:left="0" w:right="0" w:firstLine="0"/>
                      <w:jc w:val="left"/>
                      <w:rPr>
                        <w:sz w:val="12"/>
                      </w:rPr>
                    </w:pPr>
                    <w:r>
                      <w:rPr>
                        <w:color w:val="FFFFFF"/>
                        <w:w w:val="105"/>
                        <w:sz w:val="12"/>
                      </w:rPr>
                      <w:t>VIRKSOMHEDER</w:t>
                    </w:r>
                  </w:p>
                </w:txbxContent>
              </v:textbox>
              <w10:wrap type="none"/>
            </v:shape>
            <v:shape style="position:absolute;left:5591;top:1436;width:1140;height:155" type="#_x0000_t202" filled="false" stroked="false">
              <v:textbox inset="0,0,0,0">
                <w:txbxContent>
                  <w:p>
                    <w:pPr>
                      <w:spacing w:before="7"/>
                      <w:ind w:left="0" w:right="0" w:firstLine="0"/>
                      <w:jc w:val="left"/>
                      <w:rPr>
                        <w:sz w:val="12"/>
                      </w:rPr>
                    </w:pPr>
                    <w:r>
                      <w:rPr>
                        <w:w w:val="105"/>
                        <w:sz w:val="12"/>
                      </w:rPr>
                      <w:t>VÆRDISKABELSE</w:t>
                    </w:r>
                  </w:p>
                </w:txbxContent>
              </v:textbox>
              <w10:wrap type="none"/>
            </v:shape>
            <v:shape style="position:absolute;left:7769;top:1288;width:1060;height:308" type="#_x0000_t202" filled="false" stroked="false">
              <v:textbox inset="0,0,0,0">
                <w:txbxContent>
                  <w:p>
                    <w:pPr>
                      <w:spacing w:line="252" w:lineRule="auto" w:before="7"/>
                      <w:ind w:left="0" w:right="14" w:firstLine="57"/>
                      <w:jc w:val="left"/>
                      <w:rPr>
                        <w:sz w:val="12"/>
                      </w:rPr>
                    </w:pPr>
                    <w:r>
                      <w:rPr>
                        <w:color w:val="FFFFFF"/>
                        <w:w w:val="105"/>
                        <w:sz w:val="12"/>
                      </w:rPr>
                      <w:t>FORSKNINGS- INSTITUTIONER</w:t>
                    </w:r>
                  </w:p>
                </w:txbxContent>
              </v:textbox>
              <w10:wrap type="none"/>
            </v:shape>
            <v:shape style="position:absolute;left:5591;top:1979;width:1110;height:461" type="#_x0000_t202" filled="false" stroked="false">
              <v:textbox inset="0,0,0,0">
                <w:txbxContent>
                  <w:p>
                    <w:pPr>
                      <w:spacing w:line="252" w:lineRule="auto" w:before="7"/>
                      <w:ind w:left="0" w:right="18" w:hanging="1"/>
                      <w:jc w:val="center"/>
                      <w:rPr>
                        <w:sz w:val="12"/>
                      </w:rPr>
                    </w:pPr>
                    <w:r>
                      <w:rPr>
                        <w:b/>
                        <w:w w:val="105"/>
                        <w:sz w:val="12"/>
                      </w:rPr>
                      <w:t>RUMOMRÅDET </w:t>
                    </w:r>
                    <w:r>
                      <w:rPr>
                        <w:spacing w:val="-2"/>
                        <w:w w:val="105"/>
                        <w:sz w:val="12"/>
                      </w:rPr>
                      <w:t>(MULTILATERALE </w:t>
                    </w:r>
                    <w:r>
                      <w:rPr>
                        <w:w w:val="105"/>
                        <w:sz w:val="12"/>
                      </w:rPr>
                      <w:t>NETVÆRK)</w:t>
                    </w:r>
                  </w:p>
                </w:txbxContent>
              </v:textbox>
              <w10:wrap type="none"/>
            </v:shape>
            <v:shape style="position:absolute;left:3745;top:2689;width:1140;height:155" type="#_x0000_t202" filled="false" stroked="false">
              <v:textbox inset="0,0,0,0">
                <w:txbxContent>
                  <w:p>
                    <w:pPr>
                      <w:spacing w:before="7"/>
                      <w:ind w:left="0" w:right="0" w:firstLine="0"/>
                      <w:jc w:val="left"/>
                      <w:rPr>
                        <w:sz w:val="12"/>
                      </w:rPr>
                    </w:pPr>
                    <w:r>
                      <w:rPr>
                        <w:w w:val="105"/>
                        <w:sz w:val="12"/>
                      </w:rPr>
                      <w:t>VÆRDISKABELSE</w:t>
                    </w:r>
                  </w:p>
                </w:txbxContent>
              </v:textbox>
              <w10:wrap type="none"/>
            </v:shape>
            <v:shape style="position:absolute;left:7458;top:2689;width:1140;height:155" type="#_x0000_t202" filled="false" stroked="false">
              <v:textbox inset="0,0,0,0">
                <w:txbxContent>
                  <w:p>
                    <w:pPr>
                      <w:spacing w:before="7"/>
                      <w:ind w:left="0" w:right="0" w:firstLine="0"/>
                      <w:jc w:val="left"/>
                      <w:rPr>
                        <w:sz w:val="12"/>
                      </w:rPr>
                    </w:pPr>
                    <w:r>
                      <w:rPr>
                        <w:w w:val="105"/>
                        <w:sz w:val="12"/>
                      </w:rPr>
                      <w:t>VÆRDISKABELSE</w:t>
                    </w:r>
                  </w:p>
                </w:txbxContent>
              </v:textbox>
              <w10:wrap type="none"/>
            </v:shape>
            <v:shape style="position:absolute;left:5717;top:3324;width:917;height:155" type="#_x0000_t202" filled="false" stroked="false">
              <v:textbox inset="0,0,0,0">
                <w:txbxContent>
                  <w:p>
                    <w:pPr>
                      <w:spacing w:before="7"/>
                      <w:ind w:left="0" w:right="0" w:firstLine="0"/>
                      <w:jc w:val="left"/>
                      <w:rPr>
                        <w:sz w:val="12"/>
                      </w:rPr>
                    </w:pPr>
                    <w:r>
                      <w:rPr>
                        <w:color w:val="FFFFFF"/>
                        <w:w w:val="105"/>
                        <w:sz w:val="12"/>
                      </w:rPr>
                      <w:t>MYNDIGHEDR</w:t>
                    </w:r>
                  </w:p>
                </w:txbxContent>
              </v:textbox>
              <w10:wrap type="none"/>
            </v:shape>
            <v:shape style="position:absolute;left:2080;top:3715;width:675;height:143" type="#_x0000_t202" filled="false" stroked="false">
              <v:textbox inset="0,0,0,0">
                <w:txbxContent>
                  <w:p>
                    <w:pPr>
                      <w:spacing w:before="7"/>
                      <w:ind w:left="0" w:right="0" w:firstLine="0"/>
                      <w:jc w:val="left"/>
                      <w:rPr>
                        <w:sz w:val="11"/>
                      </w:rPr>
                    </w:pPr>
                    <w:r>
                      <w:rPr>
                        <w:w w:val="105"/>
                        <w:sz w:val="11"/>
                      </w:rPr>
                      <w:t>MARKEDET</w:t>
                    </w:r>
                  </w:p>
                </w:txbxContent>
              </v:textbox>
              <w10:wrap type="none"/>
            </v:shape>
            <v:shape style="position:absolute;left:9627;top:3667;width:630;height:143" type="#_x0000_t202" filled="false" stroked="false">
              <v:textbox inset="0,0,0,0">
                <w:txbxContent>
                  <w:p>
                    <w:pPr>
                      <w:spacing w:before="7"/>
                      <w:ind w:left="0" w:right="0" w:firstLine="0"/>
                      <w:jc w:val="left"/>
                      <w:rPr>
                        <w:sz w:val="11"/>
                      </w:rPr>
                    </w:pPr>
                    <w:r>
                      <w:rPr>
                        <w:w w:val="105"/>
                        <w:sz w:val="11"/>
                      </w:rPr>
                      <w:t>TALENTER</w:t>
                    </w:r>
                  </w:p>
                </w:txbxContent>
              </v:textbox>
              <w10:wrap type="none"/>
            </v:shape>
            <w10:wrap type="topAndBottom"/>
          </v:group>
        </w:pict>
      </w:r>
      <w:r>
        <w:rPr/>
        <w:pict>
          <v:line style="position:absolute;mso-position-horizontal-relative:page;mso-position-vertical-relative:paragraph;z-index:3608;mso-wrap-distance-left:0;mso-wrap-distance-right:0" from="85.050003pt,205.510513pt" to="530.014551pt,205.510566pt" stroked="true" strokeweight=".382272pt" strokecolor="#797766">
            <v:stroke dashstyle="solid"/>
            <w10:wrap type="topAndBottom"/>
          </v:line>
        </w:pict>
      </w:r>
      <w:r>
        <w:rPr>
          <w:b/>
          <w:color w:val="009DDF"/>
          <w:sz w:val="15"/>
        </w:rPr>
        <w:t>Figur 18. Værdiskabelse i et system mellem virksomheder, forskningsinstitutioner og myndigheder</w:t>
      </w:r>
    </w:p>
    <w:p>
      <w:pPr>
        <w:pStyle w:val="BodyText"/>
        <w:spacing w:before="4"/>
        <w:rPr>
          <w:b/>
          <w:sz w:val="9"/>
        </w:rPr>
      </w:pPr>
    </w:p>
    <w:p>
      <w:pPr>
        <w:pStyle w:val="BodyText"/>
        <w:spacing w:before="10"/>
        <w:rPr>
          <w:b/>
          <w:sz w:val="6"/>
        </w:rPr>
      </w:pPr>
    </w:p>
    <w:p>
      <w:pPr>
        <w:spacing w:before="75"/>
        <w:ind w:left="742" w:right="0" w:firstLine="0"/>
        <w:jc w:val="left"/>
        <w:rPr>
          <w:sz w:val="13"/>
        </w:rPr>
      </w:pPr>
      <w:r>
        <w:rPr>
          <w:sz w:val="13"/>
        </w:rPr>
        <w:t>Kilde: Rambøll og London Economics.</w:t>
      </w:r>
    </w:p>
    <w:p>
      <w:pPr>
        <w:pStyle w:val="BodyText"/>
        <w:spacing w:before="7"/>
        <w:rPr>
          <w:sz w:val="21"/>
        </w:rPr>
      </w:pPr>
    </w:p>
    <w:p>
      <w:pPr>
        <w:pStyle w:val="BodyText"/>
        <w:spacing w:line="264" w:lineRule="auto"/>
        <w:ind w:left="742" w:right="1198"/>
      </w:pPr>
      <w:r>
        <w:rPr/>
        <w:t>Kortlægningen indeholder en række interessante eksempler på samspil mellem styrkepositioner blandt de forskellige aktører. Eksempelvis har relationer mellem Aalborg Universitet (AAU) og virk- somheden GomSpace (der bl.a. producerer nanosatelitter) haft afgørende betydning for virksom- hedens udviklingsaktiviteter og væsentlige vækst de seneste år.</w:t>
      </w:r>
    </w:p>
    <w:p>
      <w:pPr>
        <w:pStyle w:val="BodyText"/>
        <w:spacing w:before="6"/>
        <w:rPr>
          <w:sz w:val="19"/>
        </w:rPr>
      </w:pPr>
    </w:p>
    <w:p>
      <w:pPr>
        <w:pStyle w:val="BodyText"/>
        <w:spacing w:line="264" w:lineRule="auto"/>
        <w:ind w:left="742" w:right="1192"/>
      </w:pPr>
      <w:r>
        <w:rPr/>
        <w:t>I ovenstående eksempel er der tale om en aktuel synergi mellem AAU og GomSpace. Men synergi- er er dynamiske og flytter sig netop derhen, hvor de skaber mest værdi. Det illustreres eksempel- vis af det væsentlige samarbejde, som DHI GRAS (distributør af satellitbilleder) tidligere har haft med Københavns Universitet (KU), men som nu har skiftet til at være et intensivt samarbejde med DTU Space.</w:t>
      </w:r>
    </w:p>
    <w:p>
      <w:pPr>
        <w:spacing w:before="143"/>
        <w:ind w:left="742" w:right="0" w:firstLine="0"/>
        <w:jc w:val="left"/>
        <w:rPr>
          <w:b/>
          <w:sz w:val="15"/>
        </w:rPr>
      </w:pPr>
      <w:r>
        <w:rPr/>
        <w:pict>
          <v:line style="position:absolute;mso-position-horizontal-relative:page;mso-position-vertical-relative:paragraph;z-index:3632;mso-wrap-distance-left:0;mso-wrap-distance-right:0" from="87.233276pt,21.458897pt" to="311.274581pt,21.458897pt" stroked="true" strokeweight=".408098pt" strokecolor="#797766">
            <v:stroke dashstyle="solid"/>
            <w10:wrap type="topAndBottom"/>
          </v:line>
        </w:pict>
      </w:r>
      <w:r>
        <w:rPr/>
        <w:pict>
          <v:line style="position:absolute;mso-position-horizontal-relative:page;mso-position-vertical-relative:paragraph;z-index:3656;mso-wrap-distance-left:0;mso-wrap-distance-right:0" from="320.979919pt,21.458897pt" to="561.117175pt,21.458897pt" stroked="true" strokeweight=".408098pt" strokecolor="#797766">
            <v:stroke dashstyle="solid"/>
            <w10:wrap type="topAndBottom"/>
          </v:line>
        </w:pict>
      </w:r>
      <w:r>
        <w:rPr>
          <w:b/>
          <w:color w:val="009DDF"/>
          <w:sz w:val="15"/>
        </w:rPr>
        <w:t>Figur 19. Udvikling i samarbejdet mellem DHI GRAS og de danske forskningsinstitutioner</w:t>
      </w:r>
    </w:p>
    <w:p>
      <w:pPr>
        <w:pStyle w:val="BodyText"/>
        <w:spacing w:before="2"/>
        <w:rPr>
          <w:b/>
          <w:sz w:val="8"/>
        </w:rPr>
      </w:pPr>
    </w:p>
    <w:p>
      <w:pPr>
        <w:spacing w:after="0"/>
        <w:rPr>
          <w:sz w:val="8"/>
        </w:rPr>
        <w:sectPr>
          <w:pgSz w:w="11910" w:h="16840"/>
          <w:pgMar w:header="0" w:footer="1056" w:top="1580" w:bottom="1240" w:left="960" w:right="0"/>
        </w:sectPr>
      </w:pPr>
    </w:p>
    <w:p>
      <w:pPr>
        <w:spacing w:before="106"/>
        <w:ind w:left="0" w:right="38" w:firstLine="0"/>
        <w:jc w:val="right"/>
        <w:rPr>
          <w:b/>
          <w:sz w:val="12"/>
        </w:rPr>
      </w:pPr>
      <w:r>
        <w:rPr>
          <w:b/>
          <w:sz w:val="12"/>
        </w:rPr>
        <w:t>Før</w:t>
      </w:r>
    </w:p>
    <w:p>
      <w:pPr>
        <w:pStyle w:val="BodyText"/>
        <w:spacing w:before="10"/>
        <w:rPr>
          <w:b/>
          <w:sz w:val="14"/>
        </w:rPr>
      </w:pPr>
      <w:r>
        <w:rPr/>
        <w:br w:type="column"/>
      </w:r>
      <w:r>
        <w:rPr>
          <w:b/>
          <w:sz w:val="14"/>
        </w:rPr>
      </w:r>
    </w:p>
    <w:p>
      <w:pPr>
        <w:tabs>
          <w:tab w:pos="1500" w:val="left" w:leader="none"/>
        </w:tabs>
        <w:spacing w:before="0"/>
        <w:ind w:left="816" w:right="0" w:firstLine="0"/>
        <w:jc w:val="left"/>
        <w:rPr>
          <w:sz w:val="11"/>
        </w:rPr>
      </w:pPr>
      <w:r>
        <w:rPr/>
        <w:pict>
          <v:group style="position:absolute;margin-left:120.938004pt;margin-top:9.882408pt;width:164.95pt;height:68.4pt;mso-position-horizontal-relative:page;mso-position-vertical-relative:paragraph;z-index:-177904" coordorigin="2419,198" coordsize="3299,1368">
            <v:shape style="position:absolute;left:3132;top:201;width:1522;height:923" coordorigin="3132,202" coordsize="1522,923" path="m3893,202l3798,205,3706,216,3618,233,3536,256,3459,284,3388,318,3324,357,3269,399,3222,446,3184,496,3156,549,3132,663,3138,721,3184,830,3222,880,3269,926,3324,969,3388,1008,3459,1041,3536,1070,3618,1093,3706,1110,3798,1120,3893,1124,3989,1120,4080,1110,4168,1093,4251,1070,4328,1041,4398,1008,4462,969,4518,926,4565,880,4603,830,4631,776,4654,663,4648,605,4603,496,4565,446,4518,399,4462,357,4398,318,4328,284,4251,256,4168,233,4080,216,3989,205,3893,202xe" filled="true" fillcolor="#009ddf" stroked="false">
              <v:path arrowok="t"/>
              <v:fill type="solid"/>
            </v:shape>
            <v:shape style="position:absolute;left:3132;top:201;width:1522;height:923" coordorigin="3132,202" coordsize="1522,923" path="m3132,663l3156,549,3184,496,3222,446,3269,399,3324,357,3388,318,3459,284,3536,256,3618,233,3706,216,3798,205,3893,202,3989,205,4080,216,4168,233,4251,256,4328,284,4398,318,4462,357,4518,399,4565,446,4603,496,4631,549,4654,663,4648,721,4603,830,4565,880,4518,926,4462,969,4398,1008,4328,1041,4251,1070,4168,1093,4080,1110,3989,1120,3893,1124,3798,1120,3706,1110,3618,1093,3536,1070,3459,1041,3388,1008,3324,969,3269,926,3222,880,3184,830,3156,776,3132,663xe" filled="false" stroked="true" strokeweight=".408438pt" strokecolor="#009ddf">
              <v:path arrowok="t"/>
              <v:stroke dashstyle="solid"/>
            </v:shape>
            <v:shape style="position:absolute;left:4191;top:638;width:1522;height:923" coordorigin="4191,638" coordsize="1522,923" path="m4952,638l4857,642,4765,652,4677,669,4594,692,4517,721,4447,755,4383,793,4328,836,4280,883,4242,933,4215,986,4191,1100,4197,1157,4242,1266,4280,1316,4328,1363,4383,1406,4447,1444,4517,1478,4594,1507,4677,1530,4765,1547,4857,1557,4952,1561,5047,1557,5139,1547,5227,1530,5310,1507,5387,1478,5457,1444,5521,1406,5576,1363,5624,1316,5662,1266,5690,1213,5713,1100,5707,1042,5662,933,5624,883,5576,836,5521,793,5457,755,5387,721,5310,692,5227,669,5139,652,5047,642,4952,638xe" filled="true" fillcolor="#d0cfc5" stroked="false">
              <v:path arrowok="t"/>
              <v:fill opacity="39321f" type="solid"/>
            </v:shape>
            <v:shape style="position:absolute;left:4191;top:638;width:1522;height:923" coordorigin="4191,638" coordsize="1522,923" path="m4191,1100l4215,986,4242,933,4280,883,4328,836,4383,793,4447,755,4517,721,4594,692,4677,669,4765,652,4857,642,4952,638,5047,642,5139,652,5227,669,5310,692,5387,721,5457,755,5521,793,5576,836,5624,883,5662,933,5690,986,5713,1100,5707,1157,5662,1266,5624,1316,5576,1363,5521,1406,5457,1444,5387,1478,5310,1507,5227,1530,5139,1547,5047,1557,4952,1561,4857,1557,4765,1547,4677,1530,4594,1507,4517,1478,4447,1444,4383,1406,4328,1363,4280,1316,4242,1266,4215,1213,4191,1100xe" filled="false" stroked="true" strokeweight=".408438pt" strokecolor="#d0cfc5">
              <v:path arrowok="t"/>
              <v:stroke dashstyle="solid"/>
            </v:shape>
            <v:shape style="position:absolute;left:2422;top:201;width:1522;height:923" coordorigin="2423,202" coordsize="1522,923" path="m3184,202l3088,205,2996,216,2909,233,2826,256,2749,284,2678,318,2615,357,2559,399,2512,446,2474,496,2446,549,2423,663,2429,721,2474,830,2512,880,2559,926,2615,969,2678,1008,2749,1041,2826,1070,2909,1093,2996,1110,3088,1120,3184,1124,3279,1120,3371,1110,3459,1093,3541,1070,3618,1041,3689,1008,3752,969,3808,926,3855,880,3893,830,3921,776,3944,663,3938,605,3893,496,3855,446,3808,399,3752,357,3689,318,3618,284,3541,256,3459,233,3371,216,3279,205,3184,202xe" filled="true" fillcolor="#a7d2f5" stroked="false">
              <v:path arrowok="t"/>
              <v:fill opacity="39321f" type="solid"/>
            </v:shape>
            <v:shape style="position:absolute;left:2422;top:201;width:1522;height:923" coordorigin="2423,202" coordsize="1522,923" path="m2423,663l2446,549,2474,496,2512,446,2559,399,2615,357,2678,318,2749,284,2826,256,2909,233,2996,216,3088,205,3184,202,3279,205,3371,216,3459,233,3541,256,3618,284,3689,318,3752,357,3808,399,3855,446,3893,496,3921,549,3944,663,3938,721,3893,830,3855,880,3808,926,3752,969,3689,1008,3618,1041,3541,1070,3459,1093,3371,1110,3279,1120,3184,1124,3088,1120,2996,1110,2909,1093,2826,1070,2749,1041,2678,1008,2615,969,2559,926,2512,880,2474,830,2446,776,2423,663xe" filled="false" stroked="true" strokeweight=".408438pt" strokecolor="#a7d2f5">
              <v:path arrowok="t"/>
              <v:stroke dashstyle="solid"/>
            </v:shape>
            <v:shape style="position:absolute;left:2925;top:1584;width:2465;height:1904" coordorigin="2926,1584" coordsize="2465,1904" path="m3555,917l3712,1431m3454,917l3364,1431m4422,918l4765,353e" filled="false" stroked="true" strokeweight=".408731pt" strokecolor="#797766">
              <v:path arrowok="t"/>
              <v:stroke dashstyle="solid"/>
            </v:shape>
            <w10:wrap type="none"/>
          </v:group>
        </w:pict>
      </w:r>
      <w:r>
        <w:rPr>
          <w:w w:val="105"/>
          <w:sz w:val="11"/>
        </w:rPr>
        <w:t>KU</w:t>
        <w:tab/>
        <w:t>DHI</w:t>
      </w:r>
      <w:r>
        <w:rPr>
          <w:spacing w:val="-3"/>
          <w:w w:val="105"/>
          <w:sz w:val="11"/>
        </w:rPr>
        <w:t> </w:t>
      </w:r>
      <w:r>
        <w:rPr>
          <w:spacing w:val="-6"/>
          <w:w w:val="105"/>
          <w:sz w:val="11"/>
        </w:rPr>
        <w:t>GRAS</w:t>
      </w:r>
    </w:p>
    <w:p>
      <w:pPr>
        <w:pStyle w:val="BodyText"/>
        <w:rPr>
          <w:sz w:val="14"/>
        </w:rPr>
      </w:pPr>
    </w:p>
    <w:p>
      <w:pPr>
        <w:pStyle w:val="BodyText"/>
        <w:spacing w:before="3"/>
        <w:rPr>
          <w:sz w:val="16"/>
        </w:rPr>
      </w:pPr>
    </w:p>
    <w:p>
      <w:pPr>
        <w:spacing w:before="1"/>
        <w:ind w:left="1090" w:right="0" w:firstLine="0"/>
        <w:jc w:val="left"/>
        <w:rPr>
          <w:b/>
          <w:sz w:val="12"/>
        </w:rPr>
      </w:pPr>
      <w:r>
        <w:rPr>
          <w:b/>
          <w:w w:val="105"/>
          <w:sz w:val="12"/>
        </w:rPr>
        <w:t>Kritisk</w:t>
      </w:r>
    </w:p>
    <w:p>
      <w:pPr>
        <w:spacing w:before="3"/>
        <w:ind w:left="1101" w:right="0" w:firstLine="0"/>
        <w:jc w:val="left"/>
        <w:rPr>
          <w:b/>
          <w:sz w:val="12"/>
        </w:rPr>
      </w:pPr>
      <w:r>
        <w:rPr/>
        <w:pict>
          <v:shape style="position:absolute;margin-left:344.485809pt;margin-top:8.958338pt;width:8.25pt;height:73.8pt;mso-position-horizontal-relative:page;mso-position-vertical-relative:paragraph;z-index:5896" type="#_x0000_t202" filled="false" stroked="false">
            <v:textbox inset="0,0,0,0" style="layout-flow:vertical;mso-layout-flow-alt:bottom-to-top">
              <w:txbxContent>
                <w:p>
                  <w:pPr>
                    <w:spacing w:before="22"/>
                    <w:ind w:left="20" w:right="0" w:firstLine="0"/>
                    <w:jc w:val="left"/>
                    <w:rPr>
                      <w:sz w:val="10"/>
                    </w:rPr>
                  </w:pPr>
                  <w:r>
                    <w:rPr>
                      <w:sz w:val="10"/>
                    </w:rPr>
                    <w:t>Samarbejde med DHI GRAS</w:t>
                  </w:r>
                </w:p>
              </w:txbxContent>
            </v:textbox>
            <w10:wrap type="none"/>
          </v:shape>
        </w:pict>
      </w:r>
      <w:r>
        <w:rPr>
          <w:b/>
          <w:w w:val="105"/>
          <w:sz w:val="12"/>
        </w:rPr>
        <w:t>masse</w:t>
      </w:r>
    </w:p>
    <w:p>
      <w:pPr>
        <w:pStyle w:val="BodyText"/>
        <w:rPr>
          <w:b/>
          <w:sz w:val="10"/>
        </w:rPr>
      </w:pPr>
      <w:r>
        <w:rPr/>
        <w:br w:type="column"/>
      </w:r>
      <w:r>
        <w:rPr>
          <w:b/>
          <w:sz w:val="10"/>
        </w:rPr>
      </w:r>
    </w:p>
    <w:p>
      <w:pPr>
        <w:pStyle w:val="BodyText"/>
        <w:rPr>
          <w:b/>
          <w:sz w:val="10"/>
        </w:rPr>
      </w:pPr>
    </w:p>
    <w:p>
      <w:pPr>
        <w:pStyle w:val="BodyText"/>
        <w:spacing w:before="8"/>
        <w:rPr>
          <w:b/>
          <w:sz w:val="8"/>
        </w:rPr>
      </w:pPr>
    </w:p>
    <w:p>
      <w:pPr>
        <w:spacing w:before="0"/>
        <w:ind w:left="346" w:right="0" w:firstLine="0"/>
        <w:jc w:val="left"/>
        <w:rPr>
          <w:sz w:val="9"/>
        </w:rPr>
      </w:pPr>
      <w:r>
        <w:rPr>
          <w:sz w:val="9"/>
        </w:rPr>
        <w:t>Enkelte projekter</w:t>
      </w:r>
    </w:p>
    <w:p>
      <w:pPr>
        <w:pStyle w:val="BodyText"/>
        <w:spacing w:before="6"/>
        <w:rPr>
          <w:sz w:val="12"/>
        </w:rPr>
      </w:pPr>
    </w:p>
    <w:p>
      <w:pPr>
        <w:spacing w:before="0"/>
        <w:ind w:left="706" w:right="0" w:firstLine="0"/>
        <w:jc w:val="left"/>
        <w:rPr>
          <w:sz w:val="11"/>
        </w:rPr>
      </w:pPr>
      <w:r>
        <w:rPr/>
        <w:pict>
          <v:group style="position:absolute;margin-left:356.026276pt;margin-top:-7.490816pt;width:161pt;height:129.9pt;mso-position-horizontal-relative:page;mso-position-vertical-relative:paragraph;z-index:-177928" coordorigin="7121,-150" coordsize="3220,2598">
            <v:shape style="position:absolute;left:398;top:1858;width:5669;height:4573" coordorigin="398,1858" coordsize="5669,4573" path="m7155,-137l7155,2405m7121,2414l7146,2414m7121,-137l7146,-137m7155,2414l10327,2414m7155,2448l7155,2422m7555,2448l7555,2422m7948,2448l7948,2422m8349,2448l8349,2422m8750,2448l8750,2422m9142,2448l9142,2422m9543,2448l9543,2422m9935,2448l9935,2422m10336,2448l10336,2422e" filled="false" stroked="true" strokeweight=".42473pt" strokecolor="#000000">
              <v:path arrowok="t"/>
              <v:stroke dashstyle="solid"/>
            </v:shape>
            <v:shape style="position:absolute;left:7150;top:113;width:3182;height:1276" coordorigin="7150,114" coordsize="3182,1276" path="m7150,1389l7150,1389,8745,1389,8942,114,10135,114,10332,114e" filled="false" stroked="true" strokeweight=".848393pt" strokecolor="#797766">
              <v:path arrowok="t"/>
              <v:stroke dashstyle="solid"/>
            </v:shape>
            <v:shape style="position:absolute;left:7150;top:-142;width:3182;height:2041" coordorigin="7150,-141" coordsize="3182,2041" path="m7150,-141l7347,-14,7551,114,7747,241,7943,369,8148,496,8344,624,8541,752,8745,879,8942,1007,9138,1134,9334,1262,9538,1389,9735,1517,9931,1645,10135,1772,10332,1899e" filled="false" stroked="true" strokeweight=".848845pt" strokecolor="#009ddf">
              <v:path arrowok="t"/>
              <v:stroke dashstyle="solid"/>
            </v:shape>
            <w10:wrap type="none"/>
          </v:group>
        </w:pict>
      </w:r>
      <w:r>
        <w:rPr>
          <w:w w:val="105"/>
          <w:sz w:val="11"/>
        </w:rPr>
        <w:t>DTU Space &amp; Miljø</w:t>
      </w:r>
    </w:p>
    <w:p>
      <w:pPr>
        <w:spacing w:after="0"/>
        <w:jc w:val="left"/>
        <w:rPr>
          <w:sz w:val="11"/>
        </w:rPr>
        <w:sectPr>
          <w:type w:val="continuous"/>
          <w:pgSz w:w="11910" w:h="16840"/>
          <w:pgMar w:top="1400" w:bottom="280" w:left="960" w:right="0"/>
          <w:cols w:num="3" w:equalWidth="0">
            <w:col w:w="1088" w:space="107"/>
            <w:col w:w="2085" w:space="39"/>
            <w:col w:w="7631"/>
          </w:cols>
        </w:sectPr>
      </w:pPr>
    </w:p>
    <w:p>
      <w:pPr>
        <w:pStyle w:val="BodyText"/>
        <w:rPr>
          <w:sz w:val="20"/>
        </w:rPr>
      </w:pPr>
    </w:p>
    <w:p>
      <w:pPr>
        <w:pStyle w:val="BodyText"/>
        <w:rPr>
          <w:sz w:val="20"/>
        </w:rPr>
      </w:pPr>
    </w:p>
    <w:p>
      <w:pPr>
        <w:spacing w:after="0"/>
        <w:rPr>
          <w:sz w:val="20"/>
        </w:rPr>
        <w:sectPr>
          <w:type w:val="continuous"/>
          <w:pgSz w:w="11910" w:h="16840"/>
          <w:pgMar w:top="1400" w:bottom="280" w:left="960" w:right="0"/>
        </w:sectPr>
      </w:pPr>
    </w:p>
    <w:p>
      <w:pPr>
        <w:pStyle w:val="BodyText"/>
        <w:rPr>
          <w:sz w:val="14"/>
        </w:rPr>
      </w:pPr>
    </w:p>
    <w:p>
      <w:pPr>
        <w:pStyle w:val="BodyText"/>
        <w:spacing w:before="5"/>
        <w:rPr>
          <w:sz w:val="14"/>
        </w:rPr>
      </w:pPr>
    </w:p>
    <w:p>
      <w:pPr>
        <w:spacing w:before="0"/>
        <w:ind w:left="0" w:right="0" w:firstLine="0"/>
        <w:jc w:val="right"/>
        <w:rPr>
          <w:b/>
          <w:sz w:val="12"/>
        </w:rPr>
      </w:pPr>
      <w:r>
        <w:rPr>
          <w:b/>
          <w:w w:val="105"/>
          <w:sz w:val="12"/>
        </w:rPr>
        <w:t>I dag</w:t>
      </w:r>
    </w:p>
    <w:p>
      <w:pPr>
        <w:pStyle w:val="BodyText"/>
        <w:rPr>
          <w:b/>
          <w:sz w:val="10"/>
        </w:rPr>
      </w:pPr>
      <w:r>
        <w:rPr/>
        <w:br w:type="column"/>
      </w:r>
      <w:r>
        <w:rPr>
          <w:b/>
          <w:sz w:val="10"/>
        </w:rPr>
      </w:r>
    </w:p>
    <w:p>
      <w:pPr>
        <w:pStyle w:val="BodyText"/>
        <w:rPr>
          <w:b/>
          <w:sz w:val="9"/>
        </w:rPr>
      </w:pPr>
    </w:p>
    <w:p>
      <w:pPr>
        <w:spacing w:before="1"/>
        <w:ind w:left="469" w:right="0" w:firstLine="0"/>
        <w:jc w:val="left"/>
        <w:rPr>
          <w:sz w:val="9"/>
        </w:rPr>
      </w:pPr>
      <w:r>
        <w:rPr>
          <w:sz w:val="9"/>
        </w:rPr>
        <w:t>Deling af personale Mange projekter</w:t>
      </w:r>
    </w:p>
    <w:p>
      <w:pPr>
        <w:spacing w:after="0"/>
        <w:jc w:val="left"/>
        <w:rPr>
          <w:sz w:val="9"/>
        </w:rPr>
        <w:sectPr>
          <w:type w:val="continuous"/>
          <w:pgSz w:w="11910" w:h="16840"/>
          <w:pgMar w:top="1400" w:bottom="280" w:left="960" w:right="0"/>
          <w:cols w:num="2" w:equalWidth="0">
            <w:col w:w="1186" w:space="40"/>
            <w:col w:w="9724"/>
          </w:cols>
        </w:sectPr>
      </w:pPr>
    </w:p>
    <w:p>
      <w:pPr>
        <w:pStyle w:val="BodyText"/>
        <w:spacing w:before="8"/>
        <w:rPr>
          <w:sz w:val="15"/>
        </w:rPr>
      </w:pPr>
    </w:p>
    <w:p>
      <w:pPr>
        <w:tabs>
          <w:tab w:pos="2695" w:val="left" w:leader="none"/>
        </w:tabs>
        <w:spacing w:before="1"/>
        <w:ind w:left="1462" w:right="0" w:firstLine="0"/>
        <w:jc w:val="left"/>
        <w:rPr>
          <w:sz w:val="11"/>
        </w:rPr>
      </w:pPr>
      <w:r>
        <w:rPr/>
        <w:pict>
          <v:group style="position:absolute;margin-left:88.666512pt;margin-top:11.196377pt;width:173.25pt;height:59.95pt;mso-position-horizontal-relative:page;mso-position-vertical-relative:paragraph;z-index:-177880" coordorigin="1773,224" coordsize="3465,1199">
            <v:shape style="position:absolute;left:3132;top:228;width:1522;height:923" coordorigin="3132,228" coordsize="1522,923" path="m3893,228l3798,232,3706,242,3618,259,3536,282,3459,311,3388,344,3324,383,3269,426,3222,472,3184,523,3156,576,3132,689,3138,747,3184,856,3222,906,3269,953,3324,995,3388,1034,3459,1068,3536,1096,3618,1119,3706,1136,3798,1147,3893,1150,3989,1147,4080,1136,4168,1119,4251,1096,4328,1068,4398,1034,4462,995,4518,953,4565,906,4603,856,4631,803,4654,689,4648,631,4603,523,4565,472,4518,426,4462,383,4398,344,4328,311,4251,282,4168,259,4080,242,3989,232,3893,228xe" filled="true" fillcolor="#009ddf" stroked="false">
              <v:path arrowok="t"/>
              <v:fill type="solid"/>
            </v:shape>
            <v:shape style="position:absolute;left:3132;top:228;width:1522;height:923" coordorigin="3132,228" coordsize="1522,923" path="m3132,689l3156,576,3184,523,3222,472,3269,426,3324,383,3388,344,3459,311,3536,282,3618,259,3706,242,3798,232,3893,228,3989,232,4080,242,4168,259,4251,282,4328,311,4398,344,4462,383,4518,426,4565,472,4603,523,4631,576,4654,689,4648,747,4603,856,4565,906,4518,953,4462,995,4398,1034,4328,1068,4251,1096,4168,1119,4080,1136,3989,1147,3893,1150,3798,1147,3706,1136,3618,1119,3536,1096,3459,1068,3388,1034,3324,995,3269,953,3222,906,3184,856,3156,803,3132,689xe" filled="false" stroked="true" strokeweight=".408438pt" strokecolor="#009ddf">
              <v:path arrowok="t"/>
              <v:stroke dashstyle="solid"/>
            </v:shape>
            <v:shape style="position:absolute;left:3712;top:432;width:1522;height:923" coordorigin="3712,432" coordsize="1522,923" path="m4473,432l4378,436,4286,446,4198,463,4115,486,4038,515,3968,548,3904,587,3849,630,3801,676,3764,727,3736,780,3712,893,3718,951,3764,1060,3801,1110,3849,1157,3904,1200,3968,1238,4038,1272,4115,1300,4198,1323,4286,1340,4378,1351,4473,1354,4569,1351,4660,1340,4748,1323,4831,1300,4908,1272,4978,1238,5042,1200,5098,1157,5145,1110,5183,1060,5211,1007,5234,893,5228,835,5183,727,5145,676,5098,630,5042,587,4978,548,4908,515,4831,486,4748,463,4660,446,4569,436,4473,432xe" filled="true" fillcolor="#d0cfc5" stroked="false">
              <v:path arrowok="t"/>
              <v:fill opacity="39321f" type="solid"/>
            </v:shape>
            <v:shape style="position:absolute;left:3712;top:432;width:1522;height:923" coordorigin="3712,432" coordsize="1522,923" path="m3712,893l3736,780,3764,727,3801,676,3849,630,3904,587,3968,548,4038,515,4115,486,4198,463,4286,446,4378,436,4473,432,4569,436,4660,446,4748,463,4831,486,4908,515,4978,548,5042,587,5098,630,5145,676,5183,727,5211,780,5234,893,5228,951,5183,1060,5145,1110,5098,1157,5042,1200,4978,1238,4908,1272,4831,1300,4748,1323,4660,1340,4569,1351,4473,1354,4378,1351,4286,1340,4198,1323,4115,1300,4038,1272,3968,1238,3904,1200,3849,1157,3801,1110,3764,1060,3736,1007,3712,893xe" filled="false" stroked="true" strokeweight=".408438pt" strokecolor="#d0cfc5">
              <v:path arrowok="t"/>
              <v:stroke dashstyle="solid"/>
            </v:shape>
            <v:shape style="position:absolute;left:1777;top:228;width:1523;height:923" coordorigin="1777,228" coordsize="1523,923" path="m2539,228l2443,232,2351,242,2264,259,2181,282,2104,311,2033,344,1970,383,1914,426,1867,472,1829,523,1801,576,1777,689,1783,747,1829,856,1867,906,1914,953,1970,995,2033,1034,2104,1068,2181,1096,2264,1119,2351,1136,2443,1147,2539,1150,2634,1147,2726,1136,2814,1119,2897,1096,2974,1068,3045,1034,3108,995,3164,953,3211,906,3249,856,3277,803,3300,689,3294,631,3249,523,3211,472,3164,426,3108,383,3045,344,2974,311,2897,282,2814,259,2726,242,2634,232,2539,228xe" filled="true" fillcolor="#a7d2f5" stroked="false">
              <v:path arrowok="t"/>
              <v:fill opacity="39321f" type="solid"/>
            </v:shape>
            <v:shape style="position:absolute;left:1777;top:228;width:1523;height:923" coordorigin="1777,228" coordsize="1523,923" path="m1777,689l1801,576,1829,523,1867,472,1914,426,1970,383,2033,344,2104,311,2181,282,2264,259,2351,242,2443,232,2539,228,2634,232,2726,242,2814,259,2897,282,2974,311,3045,344,3108,383,3164,426,3211,472,3249,523,3277,576,3300,689,3294,747,3249,856,3211,906,3164,953,3108,995,3045,1034,2974,1068,2897,1096,2814,1119,2726,1136,2634,1147,2539,1150,2443,1147,2351,1136,2264,1119,2181,1096,2104,1068,2033,1034,1970,995,1914,953,1867,906,1829,856,1801,803,1777,689xe" filled="false" stroked="true" strokeweight=".408437pt" strokecolor="#a7d2f5">
              <v:path arrowok="t"/>
              <v:stroke dashstyle="solid"/>
            </v:shape>
            <v:shape style="position:absolute;left:2560;top:3714;width:2060;height:1251" coordorigin="2561,3715" coordsize="2060,1251" path="m4164,1010l4328,1410m3996,1010l3906,1419m3246,710l3157,1224e" filled="false" stroked="true" strokeweight=".408731pt" strokecolor="#797766">
              <v:path arrowok="t"/>
              <v:stroke dashstyle="solid"/>
            </v:shape>
            <w10:wrap type="none"/>
          </v:group>
        </w:pict>
      </w:r>
      <w:r>
        <w:rPr>
          <w:w w:val="105"/>
          <w:sz w:val="11"/>
        </w:rPr>
        <w:t>KU</w:t>
        <w:tab/>
        <w:t>DHI</w:t>
      </w:r>
      <w:r>
        <w:rPr>
          <w:spacing w:val="1"/>
          <w:w w:val="105"/>
          <w:sz w:val="11"/>
        </w:rPr>
        <w:t> </w:t>
      </w:r>
      <w:r>
        <w:rPr>
          <w:w w:val="105"/>
          <w:sz w:val="11"/>
        </w:rPr>
        <w:t>GRAS</w:t>
      </w:r>
    </w:p>
    <w:p>
      <w:pPr>
        <w:pStyle w:val="BodyText"/>
        <w:spacing w:before="6"/>
        <w:rPr>
          <w:sz w:val="11"/>
        </w:rPr>
      </w:pPr>
    </w:p>
    <w:p>
      <w:pPr>
        <w:spacing w:after="0"/>
        <w:rPr>
          <w:sz w:val="11"/>
        </w:rPr>
        <w:sectPr>
          <w:type w:val="continuous"/>
          <w:pgSz w:w="11910" w:h="16840"/>
          <w:pgMar w:top="1400" w:bottom="280" w:left="960" w:right="0"/>
        </w:sectPr>
      </w:pPr>
    </w:p>
    <w:p>
      <w:pPr>
        <w:pStyle w:val="BodyText"/>
        <w:rPr>
          <w:sz w:val="14"/>
        </w:rPr>
      </w:pPr>
    </w:p>
    <w:p>
      <w:pPr>
        <w:pStyle w:val="BodyText"/>
        <w:spacing w:before="3"/>
        <w:rPr>
          <w:sz w:val="17"/>
        </w:rPr>
      </w:pPr>
    </w:p>
    <w:p>
      <w:pPr>
        <w:spacing w:before="0"/>
        <w:ind w:left="0" w:right="0" w:firstLine="0"/>
        <w:jc w:val="right"/>
        <w:rPr>
          <w:b/>
          <w:sz w:val="12"/>
        </w:rPr>
      </w:pPr>
      <w:r>
        <w:rPr>
          <w:b/>
          <w:spacing w:val="-1"/>
          <w:w w:val="105"/>
          <w:sz w:val="12"/>
        </w:rPr>
        <w:t>Kritisk</w:t>
      </w:r>
    </w:p>
    <w:p>
      <w:pPr>
        <w:spacing w:before="4"/>
        <w:ind w:left="0" w:right="0" w:firstLine="0"/>
        <w:jc w:val="right"/>
        <w:rPr>
          <w:b/>
          <w:sz w:val="12"/>
        </w:rPr>
      </w:pPr>
      <w:r>
        <w:rPr>
          <w:b/>
          <w:spacing w:val="-1"/>
          <w:w w:val="105"/>
          <w:sz w:val="12"/>
        </w:rPr>
        <w:t>masse</w:t>
      </w:r>
    </w:p>
    <w:p>
      <w:pPr>
        <w:spacing w:before="103"/>
        <w:ind w:left="507" w:right="0" w:firstLine="0"/>
        <w:jc w:val="left"/>
        <w:rPr>
          <w:sz w:val="11"/>
        </w:rPr>
      </w:pPr>
      <w:r>
        <w:rPr/>
        <w:br w:type="column"/>
      </w:r>
      <w:r>
        <w:rPr>
          <w:w w:val="105"/>
          <w:sz w:val="11"/>
        </w:rPr>
        <w:t>DTU Space &amp; </w:t>
      </w:r>
      <w:r>
        <w:rPr>
          <w:spacing w:val="-4"/>
          <w:w w:val="105"/>
          <w:sz w:val="11"/>
        </w:rPr>
        <w:t>Miljø</w:t>
      </w:r>
    </w:p>
    <w:p>
      <w:pPr>
        <w:pStyle w:val="BodyText"/>
        <w:rPr>
          <w:sz w:val="12"/>
        </w:rPr>
      </w:pPr>
      <w:r>
        <w:rPr/>
        <w:br w:type="column"/>
      </w:r>
      <w:r>
        <w:rPr>
          <w:sz w:val="12"/>
        </w:rPr>
      </w:r>
    </w:p>
    <w:p>
      <w:pPr>
        <w:pStyle w:val="BodyText"/>
        <w:rPr>
          <w:sz w:val="12"/>
        </w:rPr>
      </w:pPr>
    </w:p>
    <w:p>
      <w:pPr>
        <w:pStyle w:val="BodyText"/>
        <w:rPr>
          <w:sz w:val="12"/>
        </w:rPr>
      </w:pPr>
    </w:p>
    <w:p>
      <w:pPr>
        <w:spacing w:line="290" w:lineRule="auto" w:before="102"/>
        <w:ind w:left="930" w:right="1360" w:firstLine="3405"/>
        <w:jc w:val="left"/>
        <w:rPr>
          <w:sz w:val="10"/>
        </w:rPr>
      </w:pPr>
      <w:r>
        <w:rPr/>
        <w:pict>
          <v:line style="position:absolute;mso-position-horizontal-relative:page;mso-position-vertical-relative:paragraph;z-index:5872" from="359.698883pt,30.756178pt" to="369.506553pt,30.756178pt" stroked="true" strokeweight=".884211pt" strokecolor="#797766">
            <v:stroke dashstyle="solid"/>
            <w10:wrap type="none"/>
          </v:line>
        </w:pict>
      </w:r>
      <w:r>
        <w:rPr>
          <w:sz w:val="10"/>
        </w:rPr>
        <w:t>År                                                                          2000 2002 2004 2006 2008 2010 2012 2014 2016</w:t>
      </w:r>
    </w:p>
    <w:p>
      <w:pPr>
        <w:spacing w:after="0" w:line="290" w:lineRule="auto"/>
        <w:jc w:val="left"/>
        <w:rPr>
          <w:sz w:val="10"/>
        </w:rPr>
        <w:sectPr>
          <w:type w:val="continuous"/>
          <w:pgSz w:w="11910" w:h="16840"/>
          <w:pgMar w:top="1400" w:bottom="280" w:left="960" w:right="0"/>
          <w:cols w:num="3" w:equalWidth="0">
            <w:col w:w="3478" w:space="40"/>
            <w:col w:w="1566" w:space="39"/>
            <w:col w:w="5827"/>
          </w:cols>
        </w:sectPr>
      </w:pPr>
    </w:p>
    <w:p>
      <w:pPr>
        <w:pStyle w:val="BodyText"/>
        <w:spacing w:before="8"/>
        <w:rPr>
          <w:sz w:val="14"/>
        </w:rPr>
      </w:pPr>
    </w:p>
    <w:p>
      <w:pPr>
        <w:spacing w:before="0"/>
        <w:ind w:left="1540" w:right="1728" w:firstLine="0"/>
        <w:jc w:val="center"/>
        <w:rPr>
          <w:sz w:val="9"/>
        </w:rPr>
      </w:pPr>
      <w:r>
        <w:rPr>
          <w:sz w:val="9"/>
        </w:rPr>
        <w:t>Enkelte projekter</w:t>
      </w:r>
    </w:p>
    <w:p>
      <w:pPr>
        <w:spacing w:before="84"/>
        <w:ind w:left="2333" w:right="0" w:firstLine="0"/>
        <w:jc w:val="left"/>
        <w:rPr>
          <w:sz w:val="9"/>
        </w:rPr>
      </w:pPr>
      <w:r>
        <w:rPr>
          <w:sz w:val="9"/>
        </w:rPr>
        <w:t>ESA samarbejder Mange projekter</w:t>
      </w:r>
    </w:p>
    <w:p>
      <w:pPr>
        <w:pStyle w:val="BodyText"/>
        <w:spacing w:before="5"/>
        <w:rPr>
          <w:sz w:val="13"/>
        </w:rPr>
      </w:pPr>
      <w:r>
        <w:rPr/>
        <w:br w:type="column"/>
      </w:r>
      <w:r>
        <w:rPr>
          <w:sz w:val="13"/>
        </w:rPr>
      </w:r>
    </w:p>
    <w:p>
      <w:pPr>
        <w:spacing w:line="331" w:lineRule="auto" w:before="0"/>
        <w:ind w:left="1552" w:right="2954" w:firstLine="0"/>
        <w:jc w:val="left"/>
        <w:rPr>
          <w:sz w:val="10"/>
        </w:rPr>
      </w:pPr>
      <w:r>
        <w:rPr>
          <w:sz w:val="10"/>
        </w:rPr>
        <w:t>DTU Space &amp; Miljø Københavns Universitet</w:t>
      </w:r>
    </w:p>
    <w:p>
      <w:pPr>
        <w:spacing w:after="0" w:line="331" w:lineRule="auto"/>
        <w:jc w:val="left"/>
        <w:rPr>
          <w:sz w:val="10"/>
        </w:rPr>
        <w:sectPr>
          <w:type w:val="continuous"/>
          <w:pgSz w:w="11910" w:h="16840"/>
          <w:pgMar w:top="1400" w:bottom="280" w:left="960" w:right="0"/>
          <w:cols w:num="2" w:equalWidth="0">
            <w:col w:w="4089" w:space="835"/>
            <w:col w:w="6026"/>
          </w:cols>
        </w:sectPr>
      </w:pPr>
    </w:p>
    <w:p>
      <w:pPr>
        <w:pStyle w:val="BodyText"/>
        <w:spacing w:before="10"/>
        <w:rPr>
          <w:sz w:val="7"/>
        </w:rPr>
      </w:pPr>
    </w:p>
    <w:p>
      <w:pPr>
        <w:pStyle w:val="BodyText"/>
        <w:spacing w:line="20" w:lineRule="exact"/>
        <w:ind w:left="779"/>
        <w:rPr>
          <w:sz w:val="2"/>
        </w:rPr>
      </w:pPr>
      <w:r>
        <w:rPr>
          <w:sz w:val="2"/>
        </w:rPr>
        <w:pict>
          <v:group style="width:224.8pt;height:.45pt;mso-position-horizontal-relative:char;mso-position-vertical-relative:line" coordorigin="0,0" coordsize="4496,9">
            <v:line style="position:absolute" from="0,4" to="4495,4" stroked="true" strokeweight=".408098pt" strokecolor="#797766">
              <v:stroke dashstyle="solid"/>
            </v:line>
          </v:group>
        </w:pict>
      </w:r>
      <w:r>
        <w:rPr>
          <w:sz w:val="2"/>
        </w:rPr>
      </w:r>
      <w:r>
        <w:rPr>
          <w:rFonts w:ascii="Times New Roman"/>
          <w:spacing w:val="145"/>
          <w:sz w:val="2"/>
        </w:rPr>
        <w:t> </w:t>
      </w:r>
      <w:r>
        <w:rPr>
          <w:spacing w:val="145"/>
          <w:sz w:val="2"/>
        </w:rPr>
        <w:pict>
          <v:group style="width:240.15pt;height:.45pt;mso-position-horizontal-relative:char;mso-position-vertical-relative:line" coordorigin="0,0" coordsize="4803,9">
            <v:line style="position:absolute" from="0,4" to="4803,4" stroked="true" strokeweight=".408098pt" strokecolor="#797766">
              <v:stroke dashstyle="solid"/>
            </v:line>
          </v:group>
        </w:pict>
      </w:r>
      <w:r>
        <w:rPr>
          <w:spacing w:val="145"/>
          <w:sz w:val="2"/>
        </w:rPr>
      </w:r>
    </w:p>
    <w:p>
      <w:pPr>
        <w:spacing w:before="79"/>
        <w:ind w:left="742" w:right="0" w:firstLine="0"/>
        <w:jc w:val="left"/>
        <w:rPr>
          <w:sz w:val="13"/>
        </w:rPr>
      </w:pPr>
      <w:r>
        <w:rPr/>
        <w:pict>
          <v:line style="position:absolute;mso-position-horizontal-relative:page;mso-position-vertical-relative:paragraph;z-index:5848" from="359.698883pt,-11.332267pt" to="369.506553pt,-11.332267pt" stroked="true" strokeweight=".884211pt" strokecolor="#009ddf">
            <v:stroke dashstyle="solid"/>
            <w10:wrap type="none"/>
          </v:line>
        </w:pict>
      </w:r>
      <w:r>
        <w:rPr>
          <w:sz w:val="13"/>
        </w:rPr>
        <w:t>Note: Illustrativ beskrivelse på baggrund af Rambølls erfaringer.</w:t>
      </w:r>
    </w:p>
    <w:p>
      <w:pPr>
        <w:pStyle w:val="BodyText"/>
        <w:spacing w:before="7"/>
        <w:rPr>
          <w:sz w:val="21"/>
        </w:rPr>
      </w:pPr>
    </w:p>
    <w:p>
      <w:pPr>
        <w:pStyle w:val="BodyText"/>
        <w:spacing w:line="264" w:lineRule="auto"/>
        <w:ind w:left="742" w:right="1154"/>
      </w:pPr>
      <w:r>
        <w:rPr/>
        <w:t>Med en række eksempler og kvalitative interview som afsæt vurderes relationerne mellem aktører- ne inden for rumområdet sammenfattende at være en kritisk faktor med væsentlig betydning for værdiskabelsen, herunder for kommercielle muligheder, forskningspotentialer og nye roller for myndighederne. I forlængelse heraf vurderes samarbejdet mellem de forskellige aktører at fungere</w:t>
      </w:r>
    </w:p>
    <w:p>
      <w:pPr>
        <w:spacing w:after="0" w:line="264" w:lineRule="auto"/>
        <w:sectPr>
          <w:type w:val="continuous"/>
          <w:pgSz w:w="11910" w:h="16840"/>
          <w:pgMar w:top="1400" w:bottom="280" w:left="960" w:right="0"/>
        </w:sectPr>
      </w:pPr>
    </w:p>
    <w:p>
      <w:pPr>
        <w:pStyle w:val="BodyText"/>
        <w:spacing w:line="264" w:lineRule="auto" w:before="126"/>
        <w:ind w:left="742" w:right="1173"/>
      </w:pPr>
      <w:r>
        <w:rPr/>
        <w:t>relativt godt på det danske rumområde. Imidlertid er der også en række forhold, som af aktørerne opleves som barrierer for videreudvikling af styrkepositionerne. Det drejer sig især om kritisk mas- se og investeringstilbøjelighed. Eksempelvis oplever mange virksomheder, at kvaliteten af dansk forskning er ganske høj, men at den kritiske masse i en række forskningsmiljøer er begrænset.</w:t>
      </w:r>
    </w:p>
    <w:p>
      <w:pPr>
        <w:pStyle w:val="BodyText"/>
        <w:spacing w:line="264" w:lineRule="auto"/>
        <w:ind w:left="742" w:right="1582"/>
      </w:pPr>
      <w:r>
        <w:rPr/>
        <w:t>Tilsvarende vurderes investorer ofte at være tilbageholdende med at investere i nye projekter, hvilket kan have en dæmpende virkning på vækst og værdiskabelse.</w:t>
      </w:r>
    </w:p>
    <w:p>
      <w:pPr>
        <w:pStyle w:val="BodyText"/>
        <w:spacing w:before="5"/>
        <w:rPr>
          <w:sz w:val="19"/>
        </w:rPr>
      </w:pPr>
    </w:p>
    <w:p>
      <w:pPr>
        <w:pStyle w:val="Heading2"/>
        <w:numPr>
          <w:ilvl w:val="1"/>
          <w:numId w:val="12"/>
        </w:numPr>
        <w:tabs>
          <w:tab w:pos="741" w:val="left" w:leader="none"/>
          <w:tab w:pos="743" w:val="left" w:leader="none"/>
        </w:tabs>
        <w:spacing w:line="240" w:lineRule="auto" w:before="1" w:after="0"/>
        <w:ind w:left="742" w:right="0" w:hanging="624"/>
        <w:jc w:val="left"/>
      </w:pPr>
      <w:bookmarkStart w:name="_bookmark40" w:id="41"/>
      <w:bookmarkEnd w:id="41"/>
      <w:r>
        <w:rPr/>
        <w:t>E</w:t>
      </w:r>
      <w:r>
        <w:rPr/>
        <w:t>rhverv</w:t>
      </w:r>
    </w:p>
    <w:p>
      <w:pPr>
        <w:pStyle w:val="BodyText"/>
        <w:spacing w:line="264" w:lineRule="auto" w:before="21"/>
        <w:ind w:left="742" w:right="1140"/>
      </w:pPr>
      <w:r>
        <w:rPr/>
        <w:t>I vurderingen af erhvervsmæssige styrkepositioner er det nyttigt at opdele industrien i mindre en- heder, som kan analyseres mere detaljeret. De mest informative statistiske parametre for analysen er værditilvækst, omsætning og eksport.</w:t>
      </w:r>
    </w:p>
    <w:p>
      <w:pPr>
        <w:pStyle w:val="BodyText"/>
        <w:spacing w:before="7"/>
        <w:rPr>
          <w:sz w:val="19"/>
        </w:rPr>
      </w:pPr>
    </w:p>
    <w:p>
      <w:pPr>
        <w:pStyle w:val="ListParagraph"/>
        <w:numPr>
          <w:ilvl w:val="2"/>
          <w:numId w:val="12"/>
        </w:numPr>
        <w:tabs>
          <w:tab w:pos="743" w:val="left" w:leader="none"/>
        </w:tabs>
        <w:spacing w:line="240" w:lineRule="auto" w:before="0" w:after="0"/>
        <w:ind w:left="742" w:right="0" w:hanging="624"/>
        <w:jc w:val="left"/>
        <w:rPr>
          <w:b/>
          <w:sz w:val="18"/>
        </w:rPr>
      </w:pPr>
      <w:r>
        <w:rPr>
          <w:b/>
          <w:sz w:val="18"/>
        </w:rPr>
        <w:t>Upstream</w:t>
      </w:r>
    </w:p>
    <w:p>
      <w:pPr>
        <w:pStyle w:val="BodyText"/>
        <w:spacing w:line="264" w:lineRule="auto" w:before="21"/>
        <w:ind w:left="742" w:right="1439"/>
      </w:pPr>
      <w:r>
        <w:rPr/>
        <w:t>Upstream-sektoren er en relativt lille del af den danske rumøkonomi, som noterer sig for 7 % af omsætningen og 14 % af sektorens</w:t>
      </w:r>
      <w:r>
        <w:rPr>
          <w:spacing w:val="-7"/>
        </w:rPr>
        <w:t> </w:t>
      </w:r>
      <w:r>
        <w:rPr/>
        <w:t>beskæftigelse.</w:t>
      </w:r>
    </w:p>
    <w:p>
      <w:pPr>
        <w:pStyle w:val="BodyText"/>
        <w:spacing w:before="8"/>
        <w:rPr>
          <w:sz w:val="19"/>
        </w:rPr>
      </w:pPr>
    </w:p>
    <w:p>
      <w:pPr>
        <w:pStyle w:val="BodyText"/>
        <w:spacing w:line="264" w:lineRule="auto" w:before="1"/>
        <w:ind w:left="742" w:right="1191"/>
      </w:pPr>
      <w:r>
        <w:rPr/>
        <w:t>Med 52 % er </w:t>
      </w:r>
      <w:r>
        <w:rPr>
          <w:b/>
        </w:rPr>
        <w:t>værditilvæksten som andel af samlet omsætning </w:t>
      </w:r>
      <w:r>
        <w:rPr/>
        <w:t>næsten dobbelt så høj for upstream-aktiviteterne end for rumøkonomien som helhed (27 %), og med 94 % er eksportande- len af omsætningen markant højere end for downstream-segmentet (58 %). En stor del af omsæt- ningen i upstream-segmentet (ca. 40 %) genereres gennem ESA- og andre offentlige udbud, sup- pleret med kommercielt salg, primært til</w:t>
      </w:r>
      <w:r>
        <w:rPr>
          <w:spacing w:val="-5"/>
        </w:rPr>
        <w:t> </w:t>
      </w:r>
      <w:r>
        <w:rPr/>
        <w:t>udlandet.</w:t>
      </w:r>
    </w:p>
    <w:p>
      <w:pPr>
        <w:pStyle w:val="BodyText"/>
        <w:spacing w:before="5"/>
        <w:rPr>
          <w:sz w:val="19"/>
        </w:rPr>
      </w:pPr>
    </w:p>
    <w:p>
      <w:pPr>
        <w:pStyle w:val="BodyText"/>
        <w:spacing w:line="264" w:lineRule="auto" w:before="1"/>
        <w:ind w:left="742" w:right="1123"/>
        <w:rPr>
          <w:sz w:val="8"/>
        </w:rPr>
      </w:pPr>
      <w:r>
        <w:rPr/>
        <w:t>Med deltagelse i 38 satellitmissioner siden 1972 er </w:t>
      </w:r>
      <w:r>
        <w:rPr>
          <w:b/>
        </w:rPr>
        <w:t>Terma </w:t>
      </w:r>
      <w:r>
        <w:rPr/>
        <w:t>den største og mest erfarne danske virksomhed i upstream-segmentet. Ud over missioner til rumagenturer har Terma bidraget til satel- litter til det britiske og canadiske forsvar og var hovedleverandør på Ørsted-satellitten i 1999. Af virksomhedens missioner er 25 blevet opsendt efter Ørsted.</w:t>
      </w:r>
      <w:r>
        <w:rPr>
          <w:w w:val="99"/>
          <w:position w:val="6"/>
          <w:sz w:val="8"/>
        </w:rPr>
        <w:t>82</w:t>
      </w:r>
    </w:p>
    <w:p>
      <w:pPr>
        <w:pStyle w:val="BodyText"/>
        <w:spacing w:before="6"/>
        <w:rPr>
          <w:sz w:val="19"/>
        </w:rPr>
      </w:pPr>
    </w:p>
    <w:p>
      <w:pPr>
        <w:pStyle w:val="BodyText"/>
        <w:spacing w:line="264" w:lineRule="auto"/>
        <w:ind w:left="742" w:right="1163"/>
      </w:pPr>
      <w:r>
        <w:rPr/>
        <w:t>Med 15 satellitmissioner (1999 – 2020) er </w:t>
      </w:r>
      <w:r>
        <w:rPr>
          <w:b/>
        </w:rPr>
        <w:t>DTU </w:t>
      </w:r>
      <w:r>
        <w:rPr/>
        <w:t>også en væsentlig spiller i den danske upstream- sektor. På samme måde som Terma var DTU en vigtig aktør ift. Ørsted og har formået at videreud- vikle de kompetencer, man derigennem opnåede til at blive en international spiller på markedet for satellitkomponenter. DTU har således deltaget i adskillige NASA-missioner på kommercielle vilkår, </w:t>
      </w:r>
      <w:r>
        <w:rPr>
          <w:spacing w:val="-2"/>
        </w:rPr>
        <w:t>h</w:t>
      </w:r>
      <w:r>
        <w:rPr/>
        <w:t>er</w:t>
      </w:r>
      <w:r>
        <w:rPr>
          <w:spacing w:val="-2"/>
        </w:rPr>
        <w:t>un</w:t>
      </w:r>
      <w:r>
        <w:rPr/>
        <w:t>der</w:t>
      </w:r>
      <w:r>
        <w:rPr>
          <w:spacing w:val="-1"/>
        </w:rPr>
        <w:t> </w:t>
      </w:r>
      <w:r>
        <w:rPr/>
        <w:t>Ju</w:t>
      </w:r>
      <w:r>
        <w:rPr>
          <w:spacing w:val="-2"/>
        </w:rPr>
        <w:t>n</w:t>
      </w:r>
      <w:r>
        <w:rPr/>
        <w:t>o og</w:t>
      </w:r>
      <w:r>
        <w:rPr>
          <w:spacing w:val="-1"/>
        </w:rPr>
        <w:t> </w:t>
      </w:r>
      <w:r>
        <w:rPr/>
        <w:t>N</w:t>
      </w:r>
      <w:r>
        <w:rPr>
          <w:spacing w:val="-2"/>
        </w:rPr>
        <w:t>u</w:t>
      </w:r>
      <w:r>
        <w:rPr>
          <w:spacing w:val="-1"/>
        </w:rPr>
        <w:t>S</w:t>
      </w:r>
      <w:r>
        <w:rPr>
          <w:spacing w:val="1"/>
        </w:rPr>
        <w:t>T</w:t>
      </w:r>
      <w:r>
        <w:rPr>
          <w:spacing w:val="-1"/>
        </w:rPr>
        <w:t>AR</w:t>
      </w:r>
      <w:r>
        <w:rPr>
          <w:spacing w:val="3"/>
        </w:rPr>
        <w:t>.</w:t>
      </w:r>
      <w:r>
        <w:rPr>
          <w:w w:val="99"/>
          <w:position w:val="6"/>
          <w:sz w:val="8"/>
        </w:rPr>
        <w:t>83</w:t>
      </w:r>
      <w:r>
        <w:rPr>
          <w:position w:val="6"/>
          <w:sz w:val="8"/>
        </w:rPr>
        <w:t> </w:t>
      </w:r>
      <w:r>
        <w:rPr>
          <w:spacing w:val="6"/>
          <w:position w:val="6"/>
          <w:sz w:val="8"/>
        </w:rPr>
        <w:t> </w:t>
      </w:r>
      <w:r>
        <w:rPr>
          <w:spacing w:val="-1"/>
        </w:rPr>
        <w:t>Ørs</w:t>
      </w:r>
      <w:r>
        <w:rPr/>
        <w:t>teds</w:t>
      </w:r>
      <w:r>
        <w:rPr>
          <w:spacing w:val="-1"/>
        </w:rPr>
        <w:t> </w:t>
      </w:r>
      <w:r>
        <w:rPr/>
        <w:t>a</w:t>
      </w:r>
      <w:r>
        <w:rPr>
          <w:spacing w:val="-1"/>
        </w:rPr>
        <w:t>f</w:t>
      </w:r>
      <w:r>
        <w:rPr/>
        <w:t>løser,</w:t>
      </w:r>
      <w:r>
        <w:rPr>
          <w:spacing w:val="-2"/>
        </w:rPr>
        <w:t> </w:t>
      </w:r>
      <w:r>
        <w:rPr>
          <w:spacing w:val="-1"/>
        </w:rPr>
        <w:t>ES</w:t>
      </w:r>
      <w:r>
        <w:rPr/>
        <w:t>A</w:t>
      </w:r>
      <w:r>
        <w:rPr>
          <w:spacing w:val="-1"/>
        </w:rPr>
        <w:t>-</w:t>
      </w:r>
      <w:r>
        <w:rPr/>
        <w:t>mis</w:t>
      </w:r>
      <w:r>
        <w:rPr>
          <w:spacing w:val="1"/>
        </w:rPr>
        <w:t>s</w:t>
      </w:r>
      <w:r>
        <w:rPr/>
        <w:t>io</w:t>
      </w:r>
      <w:r>
        <w:rPr>
          <w:spacing w:val="-2"/>
        </w:rPr>
        <w:t>n</w:t>
      </w:r>
      <w:r>
        <w:rPr/>
        <w:t>en</w:t>
      </w:r>
      <w:r>
        <w:rPr>
          <w:spacing w:val="-2"/>
        </w:rPr>
        <w:t> </w:t>
      </w:r>
      <w:r>
        <w:rPr>
          <w:spacing w:val="-1"/>
        </w:rPr>
        <w:t>Sw</w:t>
      </w:r>
      <w:r>
        <w:rPr/>
        <w:t>arm,</w:t>
      </w:r>
      <w:r>
        <w:rPr>
          <w:spacing w:val="-2"/>
        </w:rPr>
        <w:t> </w:t>
      </w:r>
      <w:r>
        <w:rPr/>
        <w:t>blev</w:t>
      </w:r>
      <w:r>
        <w:rPr>
          <w:spacing w:val="-2"/>
        </w:rPr>
        <w:t> </w:t>
      </w:r>
      <w:r>
        <w:rPr/>
        <w:t>opse</w:t>
      </w:r>
      <w:r>
        <w:rPr>
          <w:spacing w:val="-1"/>
        </w:rPr>
        <w:t>n</w:t>
      </w:r>
      <w:r>
        <w:rPr/>
        <w:t>dt i 2013</w:t>
      </w:r>
      <w:r>
        <w:rPr>
          <w:spacing w:val="-1"/>
        </w:rPr>
        <w:t> </w:t>
      </w:r>
      <w:r>
        <w:rPr>
          <w:spacing w:val="-2"/>
        </w:rPr>
        <w:t>o</w:t>
      </w:r>
      <w:r>
        <w:rPr/>
        <w:t>g</w:t>
      </w:r>
      <w:r>
        <w:rPr>
          <w:spacing w:val="-1"/>
        </w:rPr>
        <w:t> </w:t>
      </w:r>
      <w:r>
        <w:rPr/>
        <w:t>le</w:t>
      </w:r>
      <w:r>
        <w:rPr>
          <w:spacing w:val="-2"/>
        </w:rPr>
        <w:t>d</w:t>
      </w:r>
      <w:r>
        <w:rPr/>
        <w:t>es af</w:t>
      </w:r>
      <w:r>
        <w:rPr>
          <w:spacing w:val="-2"/>
        </w:rPr>
        <w:t> </w:t>
      </w:r>
      <w:r>
        <w:rPr/>
        <w:t>DTU.</w:t>
      </w:r>
    </w:p>
    <w:p>
      <w:pPr>
        <w:pStyle w:val="BodyText"/>
        <w:spacing w:before="6"/>
        <w:rPr>
          <w:sz w:val="19"/>
        </w:rPr>
      </w:pPr>
    </w:p>
    <w:p>
      <w:pPr>
        <w:pStyle w:val="BodyText"/>
        <w:spacing w:line="264" w:lineRule="auto"/>
        <w:ind w:left="742" w:right="1133"/>
        <w:rPr>
          <w:sz w:val="8"/>
        </w:rPr>
      </w:pPr>
      <w:r>
        <w:rPr/>
        <w:t>Med mere end 120.000 komponenter leveret til over 100 forskellige rumprogrammer verden over er </w:t>
      </w:r>
      <w:r>
        <w:rPr>
          <w:b/>
        </w:rPr>
        <w:t>Flux</w:t>
      </w:r>
      <w:r>
        <w:rPr/>
        <w:t>, som producerer magnetiske komponenter og strømforsyninger til satellitter, verdens fø- rende inden for sit felt. Flux spænder vidt inden for satellitteknologi og har leveret komponenter til </w:t>
      </w:r>
      <w:r>
        <w:rPr>
          <w:spacing w:val="-2"/>
        </w:rPr>
        <w:t>n</w:t>
      </w:r>
      <w:r>
        <w:rPr/>
        <w:t>a</w:t>
      </w:r>
      <w:r>
        <w:rPr>
          <w:spacing w:val="-1"/>
        </w:rPr>
        <w:t>v</w:t>
      </w:r>
      <w:r>
        <w:rPr/>
        <w:t>igatio</w:t>
      </w:r>
      <w:r>
        <w:rPr>
          <w:spacing w:val="-3"/>
        </w:rPr>
        <w:t>n</w:t>
      </w:r>
      <w:r>
        <w:rPr>
          <w:w w:val="99"/>
          <w:position w:val="6"/>
          <w:sz w:val="8"/>
        </w:rPr>
        <w:t>84</w:t>
      </w:r>
      <w:r>
        <w:rPr/>
        <w:t>,</w:t>
      </w:r>
      <w:r>
        <w:rPr>
          <w:spacing w:val="-2"/>
        </w:rPr>
        <w:t> </w:t>
      </w:r>
      <w:r>
        <w:rPr/>
        <w:t>jordobserv</w:t>
      </w:r>
      <w:r>
        <w:rPr>
          <w:spacing w:val="-1"/>
        </w:rPr>
        <w:t>a</w:t>
      </w:r>
      <w:r>
        <w:rPr/>
        <w:t>t</w:t>
      </w:r>
      <w:r>
        <w:rPr>
          <w:spacing w:val="-2"/>
        </w:rPr>
        <w:t>io</w:t>
      </w:r>
      <w:r>
        <w:rPr/>
        <w:t>n</w:t>
      </w:r>
      <w:r>
        <w:rPr>
          <w:w w:val="99"/>
          <w:position w:val="6"/>
          <w:sz w:val="8"/>
        </w:rPr>
        <w:t>85</w:t>
      </w:r>
      <w:r>
        <w:rPr>
          <w:position w:val="6"/>
          <w:sz w:val="8"/>
        </w:rPr>
        <w:t> </w:t>
      </w:r>
      <w:r>
        <w:rPr>
          <w:spacing w:val="6"/>
          <w:position w:val="6"/>
          <w:sz w:val="8"/>
        </w:rPr>
        <w:t> </w:t>
      </w:r>
      <w:r>
        <w:rPr/>
        <w:t>og</w:t>
      </w:r>
      <w:r>
        <w:rPr>
          <w:spacing w:val="-1"/>
        </w:rPr>
        <w:t> k</w:t>
      </w:r>
      <w:r>
        <w:rPr/>
        <w:t>omm</w:t>
      </w:r>
      <w:r>
        <w:rPr>
          <w:spacing w:val="-2"/>
        </w:rPr>
        <w:t>un</w:t>
      </w:r>
      <w:r>
        <w:rPr/>
        <w:t>i</w:t>
      </w:r>
      <w:r>
        <w:rPr>
          <w:spacing w:val="-1"/>
        </w:rPr>
        <w:t>k</w:t>
      </w:r>
      <w:r>
        <w:rPr/>
        <w:t>atio</w:t>
      </w:r>
      <w:r>
        <w:rPr>
          <w:spacing w:val="-2"/>
        </w:rPr>
        <w:t>n</w:t>
      </w:r>
      <w:r>
        <w:rPr/>
        <w:t>,</w:t>
      </w:r>
      <w:r>
        <w:rPr>
          <w:spacing w:val="-1"/>
        </w:rPr>
        <w:t> </w:t>
      </w:r>
      <w:r>
        <w:rPr/>
        <w:t>og </w:t>
      </w:r>
      <w:r>
        <w:rPr>
          <w:spacing w:val="1"/>
        </w:rPr>
        <w:t>s</w:t>
      </w:r>
      <w:r>
        <w:rPr/>
        <w:t>om</w:t>
      </w:r>
      <w:r>
        <w:rPr>
          <w:spacing w:val="-1"/>
        </w:rPr>
        <w:t> </w:t>
      </w:r>
      <w:r>
        <w:rPr/>
        <w:t>le</w:t>
      </w:r>
      <w:r>
        <w:rPr>
          <w:spacing w:val="-1"/>
        </w:rPr>
        <w:t>v</w:t>
      </w:r>
      <w:r>
        <w:rPr/>
        <w:t>era</w:t>
      </w:r>
      <w:r>
        <w:rPr>
          <w:spacing w:val="-2"/>
        </w:rPr>
        <w:t>n</w:t>
      </w:r>
      <w:r>
        <w:rPr/>
        <w:t>dør</w:t>
      </w:r>
      <w:r>
        <w:rPr>
          <w:spacing w:val="-1"/>
        </w:rPr>
        <w:t> </w:t>
      </w:r>
      <w:r>
        <w:rPr>
          <w:spacing w:val="-2"/>
        </w:rPr>
        <w:t>t</w:t>
      </w:r>
      <w:r>
        <w:rPr/>
        <w:t>il sat</w:t>
      </w:r>
      <w:r>
        <w:rPr>
          <w:spacing w:val="-2"/>
        </w:rPr>
        <w:t>e</w:t>
      </w:r>
      <w:r>
        <w:rPr/>
        <w:t>ll</w:t>
      </w:r>
      <w:r>
        <w:rPr>
          <w:spacing w:val="-2"/>
        </w:rPr>
        <w:t>i</w:t>
      </w:r>
      <w:r>
        <w:rPr/>
        <w:t>tp</w:t>
      </w:r>
      <w:r>
        <w:rPr>
          <w:spacing w:val="-3"/>
        </w:rPr>
        <w:t>r</w:t>
      </w:r>
      <w:r>
        <w:rPr/>
        <w:t>od</w:t>
      </w:r>
      <w:r>
        <w:rPr>
          <w:spacing w:val="-2"/>
        </w:rPr>
        <w:t>u</w:t>
      </w:r>
      <w:r>
        <w:rPr/>
        <w:t>ce</w:t>
      </w:r>
      <w:r>
        <w:rPr>
          <w:spacing w:val="-1"/>
        </w:rPr>
        <w:t>n</w:t>
      </w:r>
      <w:r>
        <w:rPr/>
        <w:t>ter</w:t>
      </w:r>
      <w:r>
        <w:rPr>
          <w:spacing w:val="-2"/>
        </w:rPr>
        <w:t>n</w:t>
      </w:r>
      <w:r>
        <w:rPr/>
        <w:t>e</w:t>
      </w:r>
      <w:r>
        <w:rPr>
          <w:spacing w:val="-1"/>
        </w:rPr>
        <w:t> T</w:t>
      </w:r>
      <w:r>
        <w:rPr>
          <w:spacing w:val="2"/>
        </w:rPr>
        <w:t>h</w:t>
      </w:r>
      <w:r>
        <w:rPr>
          <w:spacing w:val="-1"/>
        </w:rPr>
        <w:t>a- </w:t>
      </w:r>
      <w:r>
        <w:rPr/>
        <w:t>les Alenia Space og Airbus samt komponenter til satellitter ejet af Pendrell Corporation, GlobalStar, Inmarsat og ESA’s Alphabus/Alphasat. Derudover har alle ESA’s videnskabelige missioner i mere end to årtier haft Flux-komponenter. Virksomheden er også aktiv inden for bemandet rumfart med komponenter i både det russiske og europæiske modul på ISS og ESA’s Automated Transfer Ve- hicle. Endvidere har virksomheden leveret komponenter til de europæiske og japanske løfteraketter og</w:t>
      </w:r>
      <w:r>
        <w:rPr>
          <w:spacing w:val="-1"/>
        </w:rPr>
        <w:t> </w:t>
      </w:r>
      <w:r>
        <w:rPr/>
        <w:t>tra</w:t>
      </w:r>
      <w:r>
        <w:rPr>
          <w:spacing w:val="-2"/>
        </w:rPr>
        <w:t>n</w:t>
      </w:r>
      <w:r>
        <w:rPr/>
        <w:t>sp</w:t>
      </w:r>
      <w:r>
        <w:rPr>
          <w:spacing w:val="1"/>
        </w:rPr>
        <w:t>o</w:t>
      </w:r>
      <w:r>
        <w:rPr/>
        <w:t>rt </w:t>
      </w:r>
      <w:r>
        <w:rPr>
          <w:spacing w:val="-1"/>
        </w:rPr>
        <w:t>k</w:t>
      </w:r>
      <w:r>
        <w:rPr/>
        <w:t>aps</w:t>
      </w:r>
      <w:r>
        <w:rPr>
          <w:spacing w:val="-1"/>
        </w:rPr>
        <w:t>l</w:t>
      </w:r>
      <w:r>
        <w:rPr/>
        <w:t>e</w:t>
      </w:r>
      <w:r>
        <w:rPr>
          <w:spacing w:val="1"/>
        </w:rPr>
        <w:t>r</w:t>
      </w:r>
      <w:r>
        <w:rPr>
          <w:spacing w:val="-1"/>
        </w:rPr>
        <w:t>.</w:t>
      </w:r>
      <w:r>
        <w:rPr>
          <w:w w:val="99"/>
          <w:position w:val="6"/>
          <w:sz w:val="8"/>
        </w:rPr>
        <w:t>86</w:t>
      </w:r>
    </w:p>
    <w:p>
      <w:pPr>
        <w:pStyle w:val="BodyText"/>
        <w:spacing w:before="3"/>
        <w:rPr>
          <w:sz w:val="19"/>
        </w:rPr>
      </w:pPr>
    </w:p>
    <w:p>
      <w:pPr>
        <w:pStyle w:val="BodyText"/>
        <w:spacing w:line="264" w:lineRule="auto"/>
        <w:ind w:left="742" w:right="1207"/>
      </w:pPr>
      <w:r>
        <w:rPr/>
        <w:t>Aalborg Universitet havde en CubeSat på den første opsendelse af de små 10x10x10 cm</w:t>
      </w:r>
      <w:r>
        <w:rPr>
          <w:vertAlign w:val="superscript"/>
        </w:rPr>
        <w:t>3</w:t>
      </w:r>
      <w:r>
        <w:rPr>
          <w:vertAlign w:val="baseline"/>
        </w:rPr>
        <w:t> standar- diserede satellitter. Med fem opsendte satellitter (hvoraf en fejlede) er AAU en vigtig spiller inden for feltet. AAU’s satellitter er bygget af studenter med begrænset hjælp fra universitetets forskere.</w:t>
      </w:r>
    </w:p>
    <w:p>
      <w:pPr>
        <w:pStyle w:val="BodyText"/>
        <w:spacing w:before="4"/>
        <w:rPr>
          <w:sz w:val="11"/>
        </w:rPr>
      </w:pPr>
      <w:r>
        <w:rPr/>
        <w:pict>
          <v:line style="position:absolute;mso-position-horizontal-relative:page;mso-position-vertical-relative:paragraph;z-index:3872;mso-wrap-distance-left:0;mso-wrap-distance-right:0" from="85.103996pt,9.094727pt" to="229.123996pt,9.094727pt" stroked="true" strokeweight=".48004pt" strokecolor="#000000">
            <v:stroke dashstyle="solid"/>
            <w10:wrap type="topAndBottom"/>
          </v:line>
        </w:pict>
      </w:r>
    </w:p>
    <w:p>
      <w:pPr>
        <w:spacing w:before="99"/>
        <w:ind w:left="742" w:right="0" w:firstLine="0"/>
        <w:jc w:val="left"/>
        <w:rPr>
          <w:sz w:val="13"/>
        </w:rPr>
      </w:pPr>
      <w:r>
        <w:rPr>
          <w:position w:val="6"/>
          <w:sz w:val="8"/>
        </w:rPr>
        <w:t>82 </w:t>
      </w:r>
      <w:hyperlink r:id="rId94">
        <w:r>
          <w:rPr>
            <w:color w:val="009DDF"/>
            <w:sz w:val="13"/>
          </w:rPr>
          <w:t>http://www.terma.com/space/terma-space-missions/.</w:t>
        </w:r>
      </w:hyperlink>
    </w:p>
    <w:p>
      <w:pPr>
        <w:spacing w:before="43"/>
        <w:ind w:left="742" w:right="0" w:firstLine="0"/>
        <w:jc w:val="left"/>
        <w:rPr>
          <w:sz w:val="13"/>
        </w:rPr>
      </w:pPr>
      <w:r>
        <w:rPr>
          <w:position w:val="6"/>
          <w:sz w:val="8"/>
        </w:rPr>
        <w:t>83 </w:t>
      </w:r>
      <w:hyperlink r:id="rId95">
        <w:r>
          <w:rPr>
            <w:color w:val="009DDF"/>
            <w:sz w:val="13"/>
          </w:rPr>
          <w:t>http://www.space.dtu.dk/Forskning/Projekter/Oersted_satellitten.</w:t>
        </w:r>
      </w:hyperlink>
    </w:p>
    <w:p>
      <w:pPr>
        <w:spacing w:before="41"/>
        <w:ind w:left="742" w:right="0" w:firstLine="0"/>
        <w:jc w:val="left"/>
        <w:rPr>
          <w:sz w:val="13"/>
        </w:rPr>
      </w:pPr>
      <w:r>
        <w:rPr>
          <w:position w:val="6"/>
          <w:sz w:val="8"/>
        </w:rPr>
        <w:t>84 </w:t>
      </w:r>
      <w:r>
        <w:rPr>
          <w:sz w:val="13"/>
        </w:rPr>
        <w:t>Galileo, GLONASS med flere.</w:t>
      </w:r>
    </w:p>
    <w:p>
      <w:pPr>
        <w:spacing w:before="44"/>
        <w:ind w:left="742" w:right="0" w:firstLine="0"/>
        <w:jc w:val="left"/>
        <w:rPr>
          <w:sz w:val="13"/>
        </w:rPr>
      </w:pPr>
      <w:r>
        <w:rPr>
          <w:position w:val="6"/>
          <w:sz w:val="8"/>
        </w:rPr>
        <w:t>85 </w:t>
      </w:r>
      <w:r>
        <w:rPr>
          <w:sz w:val="13"/>
        </w:rPr>
        <w:t>Envisat, MetOp, Meteosat, Copernicus Sentineller, og nationale programmer i Japan og Indien.</w:t>
      </w:r>
    </w:p>
    <w:p>
      <w:pPr>
        <w:spacing w:before="41"/>
        <w:ind w:left="742" w:right="0" w:firstLine="0"/>
        <w:jc w:val="left"/>
        <w:rPr>
          <w:sz w:val="13"/>
        </w:rPr>
      </w:pPr>
      <w:r>
        <w:rPr>
          <w:position w:val="6"/>
          <w:sz w:val="8"/>
        </w:rPr>
        <w:t>86 </w:t>
      </w:r>
      <w:r>
        <w:rPr>
          <w:sz w:val="13"/>
        </w:rPr>
        <w:t>Se </w:t>
      </w:r>
      <w:hyperlink r:id="rId96">
        <w:r>
          <w:rPr>
            <w:color w:val="009DDF"/>
            <w:sz w:val="13"/>
          </w:rPr>
          <w:t>http://www.flux.dk/markets/space.aspx </w:t>
        </w:r>
      </w:hyperlink>
      <w:r>
        <w:rPr>
          <w:sz w:val="13"/>
        </w:rPr>
        <w:t>for mere information.</w:t>
      </w:r>
    </w:p>
    <w:p>
      <w:pPr>
        <w:spacing w:after="0"/>
        <w:jc w:val="left"/>
        <w:rPr>
          <w:sz w:val="13"/>
        </w:rPr>
        <w:sectPr>
          <w:pgSz w:w="11910" w:h="16840"/>
          <w:pgMar w:header="0" w:footer="1056" w:top="1580" w:bottom="1240" w:left="960" w:right="0"/>
        </w:sectPr>
      </w:pPr>
    </w:p>
    <w:p>
      <w:pPr>
        <w:pStyle w:val="BodyText"/>
        <w:spacing w:line="264" w:lineRule="auto" w:before="126"/>
        <w:ind w:left="742" w:right="1149"/>
      </w:pPr>
      <w:r>
        <w:rPr/>
        <w:t>Teamet fra den første satellit grundlagde sidenhen GomSpace (også i Aalborg), og der er en tydelig synergi mellem de to organisationer. GomSpace vokser eksplosivt for tiden (100 % vækst over 2015-16), og det tætte samarbejde med AAU er en god måde for virksomheden at rekruttere kom- petente medarbejdere. GomSpace eksporterer til kunder i 48 lande og har samarbejdet med ESA om konstruktion af GomX-3.</w:t>
      </w:r>
    </w:p>
    <w:p>
      <w:pPr>
        <w:pStyle w:val="BodyText"/>
        <w:spacing w:before="6"/>
        <w:rPr>
          <w:sz w:val="19"/>
        </w:rPr>
      </w:pPr>
    </w:p>
    <w:p>
      <w:pPr>
        <w:pStyle w:val="BodyText"/>
        <w:spacing w:line="264" w:lineRule="auto"/>
        <w:ind w:left="742" w:right="1154"/>
      </w:pPr>
      <w:r>
        <w:rPr/>
        <w:t>Ud over satellitter er den danske upstream-sektor stærk i systemer til ISS, hvor Danish Aerospace Company har leveret adskillige løsninger inden for astronauters træning og sundhed, herunder de kondicykler der bruges på ISS. Danish Aerospace Company er også udvalgt som en af syv operatø- rer af europæiske ISS-kontrolcentre.</w:t>
      </w:r>
    </w:p>
    <w:p>
      <w:pPr>
        <w:pStyle w:val="BodyText"/>
        <w:spacing w:before="7"/>
        <w:rPr>
          <w:sz w:val="19"/>
        </w:rPr>
      </w:pPr>
    </w:p>
    <w:p>
      <w:pPr>
        <w:pStyle w:val="ListParagraph"/>
        <w:numPr>
          <w:ilvl w:val="2"/>
          <w:numId w:val="12"/>
        </w:numPr>
        <w:tabs>
          <w:tab w:pos="743" w:val="left" w:leader="none"/>
        </w:tabs>
        <w:spacing w:line="240" w:lineRule="auto" w:before="0" w:after="0"/>
        <w:ind w:left="742" w:right="0" w:hanging="624"/>
        <w:jc w:val="left"/>
        <w:rPr>
          <w:b/>
          <w:sz w:val="18"/>
        </w:rPr>
      </w:pPr>
      <w:r>
        <w:rPr>
          <w:b/>
          <w:sz w:val="18"/>
        </w:rPr>
        <w:t>Downstream</w:t>
      </w:r>
    </w:p>
    <w:p>
      <w:pPr>
        <w:pStyle w:val="BodyText"/>
        <w:spacing w:line="264" w:lineRule="auto" w:before="21"/>
        <w:ind w:left="742" w:right="1131"/>
      </w:pPr>
      <w:r>
        <w:rPr/>
        <w:t>Med 93 % af den rumrelaterede omsætning i Danmark er downstream-segmentet langt det største. Grundlæggende kan downstream defineres som de aktiviteter, der sælger data og tjenester til bru- gere baseret på satellitter i rummet. Det er derfor nyttigt at sammenligne forskellige typer downstream-virksomheder, hvor grupperingen er givet ved placering i værdikæden og den satellit- type, der leverer data. Downstream-segmentet er domineret af tre typer aktivitet, nemlig </w:t>
      </w:r>
      <w:r>
        <w:rPr>
          <w:b/>
        </w:rPr>
        <w:t>frem- stilling af brugerenheder </w:t>
      </w:r>
      <w:r>
        <w:rPr/>
        <w:t>(36 % af omsætning), </w:t>
      </w:r>
      <w:r>
        <w:rPr>
          <w:b/>
        </w:rPr>
        <w:t>salg af rumtjenester</w:t>
      </w:r>
      <w:r>
        <w:rPr>
          <w:w w:val="99"/>
          <w:position w:val="6"/>
          <w:sz w:val="8"/>
        </w:rPr>
        <w:t>87</w:t>
      </w:r>
      <w:r>
        <w:rPr>
          <w:position w:val="6"/>
          <w:sz w:val="8"/>
        </w:rPr>
        <w:t>  </w:t>
      </w:r>
      <w:r>
        <w:rPr/>
        <w:t>(30 %) og </w:t>
      </w:r>
      <w:r>
        <w:rPr>
          <w:b/>
        </w:rPr>
        <w:t>salg af brugerenheder </w:t>
      </w:r>
      <w:r>
        <w:rPr/>
        <w:t>(24 %).</w:t>
      </w:r>
    </w:p>
    <w:p>
      <w:pPr>
        <w:pStyle w:val="BodyText"/>
        <w:spacing w:before="5"/>
        <w:rPr>
          <w:sz w:val="19"/>
        </w:rPr>
      </w:pPr>
    </w:p>
    <w:p>
      <w:pPr>
        <w:pStyle w:val="BodyText"/>
        <w:spacing w:line="264" w:lineRule="auto"/>
        <w:ind w:left="742" w:right="1204"/>
      </w:pPr>
      <w:r>
        <w:rPr/>
        <w:t>Med mere end 95 % af omsætningen genereret ved eksport er fremstilling af brugerenheder en klar dansk styrke. De </w:t>
      </w:r>
      <w:r>
        <w:rPr>
          <w:b/>
        </w:rPr>
        <w:t>17 </w:t>
      </w:r>
      <w:r>
        <w:rPr/>
        <w:t>analyserede virksomheder på området tæller blandt andre Cobham Sat- com og Satcom1, som begge producerer satellitkommunikationsterminaler og er blevet opkøbt af udenlandske ejere inden for de seneste år</w:t>
      </w:r>
      <w:r>
        <w:rPr>
          <w:w w:val="99"/>
          <w:position w:val="6"/>
          <w:sz w:val="8"/>
        </w:rPr>
        <w:t>88</w:t>
      </w:r>
      <w:r>
        <w:rPr>
          <w:position w:val="6"/>
          <w:sz w:val="8"/>
        </w:rPr>
        <w:t>  </w:t>
      </w:r>
      <w:r>
        <w:rPr/>
        <w:t>samt Triax, som er en internationalt førende producent af paraboler, LNB-hoveder og modtagerbokse til parabol-tv.</w:t>
      </w:r>
    </w:p>
    <w:p>
      <w:pPr>
        <w:pStyle w:val="BodyText"/>
        <w:spacing w:before="6"/>
        <w:rPr>
          <w:sz w:val="19"/>
        </w:rPr>
      </w:pPr>
    </w:p>
    <w:p>
      <w:pPr>
        <w:pStyle w:val="BodyText"/>
        <w:spacing w:line="264" w:lineRule="auto"/>
        <w:ind w:left="742" w:right="1180"/>
      </w:pPr>
      <w:r>
        <w:rPr/>
        <w:t>Salg af rumtjenester (19 virksomheder) indbefatter parabol-tv-leverandørerne Viasat og Canal Digital (hvis rumomsætning tilsammen udgør ca. 1 mia. DKK), teleport-operatører samt mobil- og fast satellitkommunikationsydere. Som operatør af et af de syv europæiske ISS-kontrolcentre kan Danish Aerospace Company siges at være en førende virksomhed, men grundet det primært natio- nale fokus i denne aktivitet og fraværet af store teleports i Danmark, kan feltet som helhed ikke betragtes som en styrkeposition for Danmark.</w:t>
      </w:r>
    </w:p>
    <w:p>
      <w:pPr>
        <w:pStyle w:val="BodyText"/>
        <w:spacing w:before="6"/>
        <w:rPr>
          <w:sz w:val="19"/>
        </w:rPr>
      </w:pPr>
    </w:p>
    <w:p>
      <w:pPr>
        <w:pStyle w:val="BodyText"/>
        <w:spacing w:line="264" w:lineRule="auto"/>
        <w:ind w:left="742" w:right="1175"/>
      </w:pPr>
      <w:r>
        <w:rPr/>
        <w:t>Salg af brugerenheder, som er størst for så vidt angår antallet af virksomheder, er også en bred kategori af aktiviteter fra store internationale virksomheders danske og nordiske hovedkvarterer (Leica Geosystems, Furuno, Garmin, Polar Electro m.fl.) til små og mellemstore danske virksomhe- der, der er aktive i forskellige rumrelevante nicher som GPS-overvågning af demente, børn og kø- retøjer, maritime elektroniske løsninger inklusive satellitkommunikation og navigationsapparater samt landbrugsprodukter.</w:t>
      </w:r>
    </w:p>
    <w:p>
      <w:pPr>
        <w:pStyle w:val="BodyText"/>
        <w:spacing w:before="5"/>
        <w:rPr>
          <w:sz w:val="19"/>
        </w:rPr>
      </w:pPr>
    </w:p>
    <w:p>
      <w:pPr>
        <w:pStyle w:val="BodyText"/>
        <w:spacing w:line="264" w:lineRule="auto"/>
        <w:ind w:left="742" w:right="1146"/>
      </w:pPr>
      <w:r>
        <w:rPr/>
        <w:t>Med få undtagelser er de ca. 60 virksomheder inden for rumbaserede software- og konsulenttjene- ster samt følgeservices små virksomheder med begrænset rumomsætningsgrad og relativt få an- satte. Også her findes førende virksomheder inden for specifikke nicher – et eksempel er Cubris, der leverer de GNSS-baserede lokomotivførervejledningssystemer, der bruges af DSB, én ud af en håndfuld virksomheder globalt med kompetencer inden for feltet. DHI GRAS er et jordobservati- onskonsulentfirma, der er udsprunget af Københavns Universitet, og som er særlig stærk på vand- relaterede projekter i Danmark og i den tredje verden. </w:t>
      </w:r>
      <w:r>
        <w:rPr>
          <w:b/>
        </w:rPr>
        <w:t>TICRA </w:t>
      </w:r>
      <w:r>
        <w:rPr/>
        <w:t>er en software- og konsulentvirk- somhed med mere end 40 års erfaring i analyse og modellering af satellitantenner. TICRAs produk-</w:t>
      </w:r>
    </w:p>
    <w:p>
      <w:pPr>
        <w:pStyle w:val="BodyText"/>
        <w:rPr>
          <w:sz w:val="20"/>
        </w:rPr>
      </w:pPr>
    </w:p>
    <w:p>
      <w:pPr>
        <w:pStyle w:val="BodyText"/>
        <w:spacing w:before="8"/>
        <w:rPr>
          <w:sz w:val="25"/>
        </w:rPr>
      </w:pPr>
      <w:r>
        <w:rPr/>
        <w:pict>
          <v:line style="position:absolute;mso-position-horizontal-relative:page;mso-position-vertical-relative:paragraph;z-index:3896;mso-wrap-distance-left:0;mso-wrap-distance-right:0" from="85.103996pt,17.811474pt" to="229.123996pt,17.811474pt" stroked="true" strokeweight=".48004pt" strokecolor="#000000">
            <v:stroke dashstyle="solid"/>
            <w10:wrap type="topAndBottom"/>
          </v:line>
        </w:pict>
      </w:r>
    </w:p>
    <w:p>
      <w:pPr>
        <w:spacing w:before="99"/>
        <w:ind w:left="742" w:right="0" w:firstLine="0"/>
        <w:jc w:val="left"/>
        <w:rPr>
          <w:sz w:val="13"/>
        </w:rPr>
      </w:pPr>
      <w:r>
        <w:rPr>
          <w:position w:val="6"/>
          <w:sz w:val="8"/>
        </w:rPr>
        <w:t>87 </w:t>
      </w:r>
      <w:r>
        <w:rPr>
          <w:sz w:val="13"/>
        </w:rPr>
        <w:t>Herunder operation af jordstationer (teleports) og parabol-tv.</w:t>
      </w:r>
    </w:p>
    <w:p>
      <w:pPr>
        <w:spacing w:line="316" w:lineRule="auto" w:before="43"/>
        <w:ind w:left="742" w:right="1170" w:firstLine="0"/>
        <w:jc w:val="left"/>
        <w:rPr>
          <w:sz w:val="13"/>
        </w:rPr>
      </w:pPr>
      <w:r>
        <w:rPr>
          <w:position w:val="6"/>
          <w:sz w:val="8"/>
        </w:rPr>
        <w:t>88 </w:t>
      </w:r>
      <w:r>
        <w:rPr>
          <w:sz w:val="13"/>
        </w:rPr>
        <w:t>Thrane &amp; Thrane købt af Cobham i 2012 for 281 mio. pund (</w:t>
      </w:r>
      <w:hyperlink r:id="rId97">
        <w:r>
          <w:rPr>
            <w:color w:val="009DDF"/>
            <w:sz w:val="13"/>
          </w:rPr>
          <w:t>http://www.cobhaminvestors.com/our-business-and-strategy/acquisitions-</w:t>
        </w:r>
      </w:hyperlink>
      <w:r>
        <w:rPr>
          <w:color w:val="009DDF"/>
          <w:sz w:val="13"/>
        </w:rPr>
        <w:t> </w:t>
      </w:r>
      <w:hyperlink r:id="rId97">
        <w:r>
          <w:rPr>
            <w:color w:val="009DDF"/>
            <w:sz w:val="13"/>
          </w:rPr>
          <w:t>and-disposals.aspx</w:t>
        </w:r>
        <w:r>
          <w:rPr>
            <w:sz w:val="13"/>
          </w:rPr>
          <w:t>) </w:t>
        </w:r>
      </w:hyperlink>
      <w:r>
        <w:rPr>
          <w:sz w:val="13"/>
        </w:rPr>
        <w:t>og Satcom1 købt af Honeywell i 2015.</w:t>
      </w:r>
    </w:p>
    <w:p>
      <w:pPr>
        <w:spacing w:after="0" w:line="316" w:lineRule="auto"/>
        <w:jc w:val="left"/>
        <w:rPr>
          <w:sz w:val="13"/>
        </w:rPr>
        <w:sectPr>
          <w:pgSz w:w="11910" w:h="16840"/>
          <w:pgMar w:header="0" w:footer="1056" w:top="1580" w:bottom="1240" w:left="960" w:right="0"/>
        </w:sectPr>
      </w:pPr>
    </w:p>
    <w:p>
      <w:pPr>
        <w:pStyle w:val="BodyText"/>
        <w:spacing w:line="264" w:lineRule="auto" w:before="126"/>
        <w:ind w:left="742" w:right="1311"/>
        <w:rPr>
          <w:sz w:val="8"/>
        </w:rPr>
      </w:pPr>
      <w:r>
        <w:rPr/>
        <w:t>ter anvendes verden over og bruges blandt andet i ESA’s Planck-mission samt af til fremstilling af private satellitter, bl.a. af Thales Alenia Space.</w:t>
      </w:r>
      <w:r>
        <w:rPr>
          <w:w w:val="99"/>
          <w:position w:val="6"/>
          <w:sz w:val="8"/>
        </w:rPr>
        <w:t>89</w:t>
      </w:r>
    </w:p>
    <w:p>
      <w:pPr>
        <w:pStyle w:val="BodyText"/>
        <w:spacing w:before="8"/>
        <w:rPr>
          <w:sz w:val="19"/>
        </w:rPr>
      </w:pPr>
    </w:p>
    <w:p>
      <w:pPr>
        <w:pStyle w:val="BodyText"/>
        <w:spacing w:line="264" w:lineRule="auto"/>
        <w:ind w:left="742" w:right="1257"/>
      </w:pPr>
      <w:r>
        <w:rPr/>
        <w:t>En anden gruppering af downstream-virksomheder er givet ved, hvilken type satellitdata virksom- heden behandler og sælger (apparater til). Som tidligere nævnt er der grundlæggende tre typer satellitdata, nemlig jordobservation, navigation og kommunikation.</w:t>
      </w:r>
    </w:p>
    <w:p>
      <w:pPr>
        <w:pStyle w:val="BodyText"/>
        <w:spacing w:before="7"/>
        <w:rPr>
          <w:sz w:val="19"/>
        </w:rPr>
      </w:pPr>
    </w:p>
    <w:p>
      <w:pPr>
        <w:pStyle w:val="BodyText"/>
        <w:spacing w:line="264" w:lineRule="auto"/>
        <w:ind w:left="742" w:right="1126"/>
      </w:pPr>
      <w:r>
        <w:rPr/>
        <w:t>Figuren nedenfor viser, at der er stor forskel på finansielle og regnskabsdata for de forskellige tek- nologier. Størst på omsætning og værditilvækst er satellitkommunikation, hvor de store virksom- heder nævnt ovenfor (Viasat, Canal Digital, Cobham Satcom og Triax) står for den største del af omsætningen med ca. 63 %. Navigation følger som næststørst med 35 % af omsætningen og jord- observation som den mindste teknologi med 2 %. Dette resultat er i tråd med OECD’s </w:t>
      </w:r>
      <w:r>
        <w:rPr>
          <w:i/>
        </w:rPr>
        <w:t>Space Eco- </w:t>
      </w:r>
      <w:r>
        <w:rPr>
          <w:i/>
        </w:rPr>
        <w:t>nomy at a Glance 2014</w:t>
      </w:r>
      <w:r>
        <w:rPr/>
        <w:t>, hvor kommunikation udgør ca. 70 % af omsætningen, navigation ca. 29 % og jordobservation den resterende 1 %. Jordobservation er ikke kommercialiseret på samme måde som de to andre teknologier. Ulig navigation og kommunikation er der ikke et marked for fysiske apparater på jorden, så omsætningen fra jordobservation er begrænset til salg af tjenesteydelser.</w:t>
      </w:r>
    </w:p>
    <w:p>
      <w:pPr>
        <w:spacing w:before="141"/>
        <w:ind w:left="742" w:right="0" w:firstLine="0"/>
        <w:jc w:val="left"/>
        <w:rPr>
          <w:b/>
          <w:sz w:val="15"/>
        </w:rPr>
      </w:pPr>
      <w:r>
        <w:rPr>
          <w:b/>
          <w:color w:val="009DDF"/>
          <w:sz w:val="15"/>
        </w:rPr>
        <w:t>Figur 20. Værditilvækst og omsætning for de danske virksomheder i 2013, opdelt på satellitteknologi</w:t>
      </w:r>
    </w:p>
    <w:p>
      <w:pPr>
        <w:spacing w:line="403" w:lineRule="auto" w:before="143"/>
        <w:ind w:left="1234" w:right="7760" w:hanging="402"/>
        <w:jc w:val="left"/>
        <w:rPr>
          <w:sz w:val="15"/>
        </w:rPr>
      </w:pPr>
      <w:r>
        <w:rPr/>
        <w:pict>
          <v:group style="position:absolute;margin-left:136.532791pt;margin-top:26.863552pt;width:238.05pt;height:195.85pt;mso-position-horizontal-relative:page;mso-position-vertical-relative:paragraph;z-index:-177592" coordorigin="2731,537" coordsize="4761,3917">
            <v:shape style="position:absolute;left:744;top:5688;width:5668;height:4678" coordorigin="744,5689" coordsize="5668,4678" path="m2781,544l7472,544m7485,544l7485,4391m7485,4404l2794,4404m2781,4404l2781,556m2781,544l2781,4391m2731,4404l2768,4404m2731,2480l2768,2480m2731,544l2768,544m2781,4404l7472,4404m2781,4454l2781,4416m3563,4454l3563,4416m4345,4454l4345,4416m5140,4454l5140,4416m5921,4454l5921,4416m6703,4454l6703,4416m7485,4454l7485,4416e" filled="false" stroked="true" strokeweight=".628084pt" strokecolor="#000000">
              <v:path arrowok="t"/>
              <v:stroke dashstyle="solid"/>
            </v:shape>
            <v:shape style="position:absolute;left:2762;top:1254;width:4616;height:3119" coordorigin="2762,1254" coordsize="4616,3119" path="m3153,4146l3142,4074,3110,4012,3061,3963,2998,3931,2926,3920,2854,3931,2792,3963,2762,3993,2762,4299,2792,4329,2854,4361,2926,4373,2998,4361,3061,4329,3110,4280,3142,4218,3153,4146m5562,3190l5556,3113,5537,3039,5508,2971,5469,2908,5422,2852,5366,2805,5303,2766,5234,2737,5160,2719,5083,2713,5005,2719,4931,2737,4862,2766,4800,2805,4744,2852,4696,2908,4657,2971,4628,3039,4610,3113,4604,3190,4610,3268,4628,3342,4657,3410,4696,3473,4744,3528,4800,3576,4862,3615,4931,3644,5005,3662,5083,3668,5160,3662,5234,3644,5303,3615,5366,3576,5422,3528,5469,3473,5508,3410,5537,3342,5556,3268,5562,3190m7378,1656l7371,1583,7353,1514,7323,1452,7284,1396,7236,1347,7180,1308,7117,1279,7048,1261,6974,1254,6901,1261,6832,1279,6769,1308,6712,1347,6664,1396,6625,1452,6595,1514,6577,1583,6571,1656,6577,1730,6595,1798,6625,1861,6664,1917,6712,1966,6769,2005,6832,2034,6901,2053,6974,2059,7048,2053,7117,2034,7180,2005,7236,1966,7284,1917,7323,1861,7353,1798,7371,1730,7378,1656e" filled="true" fillcolor="#a7d2f5" stroked="false">
              <v:path arrowok="t"/>
              <v:fill type="solid"/>
            </v:shape>
            <v:shape style="position:absolute;left:5331;top:1557;width:1215;height:184" type="#_x0000_t202" filled="false" stroked="false">
              <v:textbox inset="0,0,0,0">
                <w:txbxContent>
                  <w:p>
                    <w:pPr>
                      <w:spacing w:before="1"/>
                      <w:ind w:left="0" w:right="0" w:firstLine="0"/>
                      <w:jc w:val="left"/>
                      <w:rPr>
                        <w:sz w:val="15"/>
                      </w:rPr>
                    </w:pPr>
                    <w:r>
                      <w:rPr>
                        <w:sz w:val="15"/>
                      </w:rPr>
                      <w:t>Kommunikation</w:t>
                    </w:r>
                  </w:p>
                </w:txbxContent>
              </v:textbox>
              <w10:wrap type="none"/>
            </v:shape>
            <v:shape style="position:absolute;left:6886;top:1542;width:223;height:184" type="#_x0000_t202" filled="false" stroked="false">
              <v:textbox inset="0,0,0,0">
                <w:txbxContent>
                  <w:p>
                    <w:pPr>
                      <w:spacing w:before="1"/>
                      <w:ind w:left="0" w:right="0" w:firstLine="0"/>
                      <w:jc w:val="left"/>
                      <w:rPr>
                        <w:sz w:val="15"/>
                      </w:rPr>
                    </w:pPr>
                    <w:r>
                      <w:rPr>
                        <w:sz w:val="15"/>
                      </w:rPr>
                      <w:t>48</w:t>
                    </w:r>
                  </w:p>
                </w:txbxContent>
              </v:textbox>
              <w10:wrap type="none"/>
            </v:shape>
            <v:shape style="position:absolute;left:4956;top:3076;width:223;height:184" type="#_x0000_t202" filled="false" stroked="false">
              <v:textbox inset="0,0,0,0">
                <w:txbxContent>
                  <w:p>
                    <w:pPr>
                      <w:spacing w:before="1"/>
                      <w:ind w:left="0" w:right="0" w:firstLine="0"/>
                      <w:jc w:val="left"/>
                      <w:rPr>
                        <w:sz w:val="15"/>
                      </w:rPr>
                    </w:pPr>
                    <w:r>
                      <w:rPr>
                        <w:sz w:val="15"/>
                      </w:rPr>
                      <w:t>67</w:t>
                    </w:r>
                  </w:p>
                </w:txbxContent>
              </v:textbox>
              <w10:wrap type="none"/>
            </v:shape>
            <v:shape style="position:absolute;left:5592;top:3092;width:832;height:184" type="#_x0000_t202" filled="false" stroked="false">
              <v:textbox inset="0,0,0,0">
                <w:txbxContent>
                  <w:p>
                    <w:pPr>
                      <w:spacing w:before="1"/>
                      <w:ind w:left="0" w:right="0" w:firstLine="0"/>
                      <w:jc w:val="left"/>
                      <w:rPr>
                        <w:sz w:val="15"/>
                      </w:rPr>
                    </w:pPr>
                    <w:r>
                      <w:rPr>
                        <w:sz w:val="15"/>
                      </w:rPr>
                      <w:t>Navigation</w:t>
                    </w:r>
                  </w:p>
                </w:txbxContent>
              </v:textbox>
              <w10:wrap type="none"/>
            </v:shape>
            <v:shape style="position:absolute;left:2762;top:4031;width:1809;height:200" type="#_x0000_t202" filled="false" stroked="false">
              <v:textbox inset="0,0,0,0">
                <w:txbxContent>
                  <w:p>
                    <w:pPr>
                      <w:tabs>
                        <w:tab w:pos="420" w:val="left" w:leader="none"/>
                      </w:tabs>
                      <w:spacing w:line="199" w:lineRule="exact" w:before="0"/>
                      <w:ind w:left="0" w:right="0" w:firstLine="0"/>
                      <w:jc w:val="left"/>
                      <w:rPr>
                        <w:sz w:val="15"/>
                      </w:rPr>
                    </w:pPr>
                    <w:r>
                      <w:rPr>
                        <w:position w:val="2"/>
                        <w:sz w:val="15"/>
                      </w:rPr>
                      <w:t>15</w:t>
                      <w:tab/>
                    </w:r>
                    <w:r>
                      <w:rPr>
                        <w:sz w:val="15"/>
                      </w:rPr>
                      <w:t>Jordoberservation</w:t>
                    </w:r>
                  </w:p>
                </w:txbxContent>
              </v:textbox>
              <w10:wrap type="none"/>
            </v:shape>
            <w10:wrap type="none"/>
          </v:group>
        </w:pict>
      </w:r>
      <w:r>
        <w:rPr>
          <w:sz w:val="15"/>
        </w:rPr>
        <w:t>Værditilvækst (mio. DKK) 1.000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1"/>
        <w:ind w:left="1386" w:right="0" w:firstLine="0"/>
        <w:jc w:val="left"/>
        <w:rPr>
          <w:sz w:val="15"/>
        </w:rPr>
      </w:pPr>
      <w:r>
        <w:rPr>
          <w:spacing w:val="4"/>
          <w:sz w:val="15"/>
        </w:rPr>
        <w:t>500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tabs>
          <w:tab w:pos="6648" w:val="left" w:leader="none"/>
        </w:tabs>
        <w:spacing w:before="0"/>
        <w:ind w:left="1587" w:right="0" w:firstLine="0"/>
        <w:jc w:val="left"/>
        <w:rPr>
          <w:sz w:val="15"/>
        </w:rPr>
      </w:pPr>
      <w:r>
        <w:rPr>
          <w:sz w:val="15"/>
        </w:rPr>
        <w:t>0</w:t>
        <w:tab/>
        <w:t>Omsætning (mio.</w:t>
      </w:r>
      <w:r>
        <w:rPr>
          <w:spacing w:val="3"/>
          <w:sz w:val="15"/>
        </w:rPr>
        <w:t> </w:t>
      </w:r>
      <w:r>
        <w:rPr>
          <w:sz w:val="15"/>
        </w:rPr>
        <w:t>DKK)</w:t>
      </w:r>
    </w:p>
    <w:p>
      <w:pPr>
        <w:tabs>
          <w:tab w:pos="2445" w:val="left" w:leader="none"/>
          <w:tab w:pos="3151" w:val="left" w:leader="none"/>
          <w:tab w:pos="3946" w:val="left" w:leader="none"/>
          <w:tab w:pos="4728" w:val="left" w:leader="none"/>
          <w:tab w:pos="5509" w:val="left" w:leader="none"/>
          <w:tab w:pos="6291" w:val="left" w:leader="none"/>
        </w:tabs>
        <w:spacing w:before="32"/>
        <w:ind w:left="1764" w:right="0" w:firstLine="0"/>
        <w:jc w:val="left"/>
        <w:rPr>
          <w:sz w:val="15"/>
        </w:rPr>
      </w:pPr>
      <w:r>
        <w:rPr>
          <w:sz w:val="15"/>
        </w:rPr>
        <w:t>0</w:t>
        <w:tab/>
      </w:r>
      <w:r>
        <w:rPr>
          <w:spacing w:val="2"/>
          <w:sz w:val="15"/>
        </w:rPr>
        <w:t>500</w:t>
        <w:tab/>
      </w:r>
      <w:r>
        <w:rPr>
          <w:sz w:val="15"/>
        </w:rPr>
        <w:t>1.000</w:t>
        <w:tab/>
        <w:t>1.500</w:t>
        <w:tab/>
        <w:t>2.000</w:t>
        <w:tab/>
        <w:t>2.500</w:t>
        <w:tab/>
        <w:t>3.000</w:t>
      </w:r>
    </w:p>
    <w:p>
      <w:pPr>
        <w:pStyle w:val="BodyText"/>
        <w:spacing w:before="10"/>
        <w:rPr>
          <w:sz w:val="17"/>
        </w:rPr>
      </w:pPr>
    </w:p>
    <w:p>
      <w:pPr>
        <w:spacing w:line="364" w:lineRule="auto" w:before="100"/>
        <w:ind w:left="742" w:right="1210" w:firstLine="0"/>
        <w:jc w:val="left"/>
        <w:rPr>
          <w:sz w:val="13"/>
        </w:rPr>
      </w:pPr>
      <w:r>
        <w:rPr>
          <w:sz w:val="13"/>
        </w:rPr>
        <w:t>Note: Størrelsen på de enkelte bobler illustrerer, hvor mange danske virksomheder der beskæftiger sig med området. Summen af antal- let af virksomheder er forskellig fra det samlede antal, da virksomheder kan være aktive inden for forskellige teknologier.</w:t>
      </w:r>
    </w:p>
    <w:p>
      <w:pPr>
        <w:spacing w:line="158" w:lineRule="exact" w:before="0"/>
        <w:ind w:left="742" w:right="0" w:firstLine="0"/>
        <w:jc w:val="left"/>
        <w:rPr>
          <w:sz w:val="13"/>
        </w:rPr>
      </w:pPr>
      <w:r>
        <w:rPr>
          <w:sz w:val="13"/>
        </w:rPr>
        <w:t>Kilde: Rambøll og London Economics’ analyse og Danmarks Statistik-data.</w:t>
      </w:r>
    </w:p>
    <w:p>
      <w:pPr>
        <w:pStyle w:val="BodyText"/>
        <w:spacing w:before="6"/>
        <w:rPr>
          <w:sz w:val="21"/>
        </w:rPr>
      </w:pPr>
    </w:p>
    <w:p>
      <w:pPr>
        <w:pStyle w:val="BodyText"/>
        <w:spacing w:line="264" w:lineRule="auto" w:before="1"/>
        <w:ind w:left="742" w:right="1202"/>
      </w:pPr>
      <w:r>
        <w:rPr/>
        <w:t>I OECD’s analyse tegner parabol-tv sig for 54 % af omsætningen, mens de danske udbydere er estimeret til at udgøre ca. 25 %. Man kan derfor konkludere, at de øvrige danske satellitkommuni- kationsvirksomheder udgør en forholdsmæssigt større andel af den danske rumøkonomi.</w:t>
      </w:r>
    </w:p>
    <w:p>
      <w:pPr>
        <w:pStyle w:val="BodyText"/>
        <w:spacing w:before="7"/>
        <w:rPr>
          <w:sz w:val="19"/>
        </w:rPr>
      </w:pPr>
    </w:p>
    <w:p>
      <w:pPr>
        <w:pStyle w:val="BodyText"/>
        <w:spacing w:line="264" w:lineRule="auto"/>
        <w:ind w:left="742" w:right="1117"/>
      </w:pPr>
      <w:r>
        <w:rPr/>
        <w:t>Styrken af de danske satellitkommunikationsaktiviteter ses også ved analyse af virksomhedernes eksport (se </w:t>
      </w:r>
      <w:hyperlink w:history="true" w:anchor="_bookmark41">
        <w:r>
          <w:rPr/>
          <w:t>Figur 21</w:t>
        </w:r>
      </w:hyperlink>
      <w:r>
        <w:rPr/>
        <w:t>). I </w:t>
      </w:r>
      <w:r>
        <w:rPr>
          <w:b/>
        </w:rPr>
        <w:t>værdi </w:t>
      </w:r>
      <w:r>
        <w:rPr/>
        <w:t>er satellitkommunikation den mest eksporterende teknologi fulgt af navigation og jordobservation. At </w:t>
      </w:r>
      <w:r>
        <w:rPr>
          <w:b/>
        </w:rPr>
        <w:t>andelen </w:t>
      </w:r>
      <w:r>
        <w:rPr/>
        <w:t>af omsætning, der er genereret i udenlandske marke- der, er lavest for satellitkommunikation, skyldes, at ca. en fjerdedel af den danske rumøkonomi (og 40 % af satellitkommunikation) udgøres af parabol-tv, med begrænsede eksportmuligheder. Hvis</w:t>
      </w:r>
    </w:p>
    <w:p>
      <w:pPr>
        <w:pStyle w:val="BodyText"/>
        <w:spacing w:before="4"/>
        <w:rPr>
          <w:sz w:val="20"/>
        </w:rPr>
      </w:pPr>
      <w:r>
        <w:rPr/>
        <w:pict>
          <v:line style="position:absolute;mso-position-horizontal-relative:page;mso-position-vertical-relative:paragraph;z-index:3920;mso-wrap-distance-left:0;mso-wrap-distance-right:0" from="85.103996pt,14.561913pt" to="229.123996pt,14.561913pt" stroked="true" strokeweight=".48004pt" strokecolor="#000000">
            <v:stroke dashstyle="solid"/>
            <w10:wrap type="topAndBottom"/>
          </v:line>
        </w:pict>
      </w:r>
    </w:p>
    <w:p>
      <w:pPr>
        <w:spacing w:before="99"/>
        <w:ind w:left="742" w:right="0" w:firstLine="0"/>
        <w:jc w:val="left"/>
        <w:rPr>
          <w:sz w:val="13"/>
        </w:rPr>
      </w:pPr>
      <w:r>
        <w:rPr>
          <w:position w:val="6"/>
          <w:sz w:val="8"/>
        </w:rPr>
        <w:t>89 </w:t>
      </w:r>
      <w:hyperlink r:id="rId98">
        <w:r>
          <w:rPr>
            <w:color w:val="009DDF"/>
            <w:sz w:val="13"/>
          </w:rPr>
          <w:t>http://www.ticra.com/products/software.</w:t>
        </w:r>
      </w:hyperlink>
    </w:p>
    <w:p>
      <w:pPr>
        <w:spacing w:after="0"/>
        <w:jc w:val="left"/>
        <w:rPr>
          <w:sz w:val="13"/>
        </w:rPr>
        <w:sectPr>
          <w:pgSz w:w="11910" w:h="16840"/>
          <w:pgMar w:header="0" w:footer="1056" w:top="1580" w:bottom="1240" w:left="960" w:right="0"/>
        </w:sectPr>
      </w:pPr>
    </w:p>
    <w:p>
      <w:pPr>
        <w:pStyle w:val="BodyText"/>
        <w:spacing w:line="264" w:lineRule="auto" w:before="126"/>
        <w:ind w:left="742" w:right="1467"/>
      </w:pPr>
      <w:r>
        <w:rPr/>
        <w:t>parabol-tv udelades af analysen, har satellitkommunikation en eksportandel på 81 %, hvilket er illustreret i figuren nedenfor.</w:t>
      </w:r>
    </w:p>
    <w:p>
      <w:pPr>
        <w:spacing w:before="144"/>
        <w:ind w:left="742" w:right="0" w:firstLine="0"/>
        <w:jc w:val="left"/>
        <w:rPr>
          <w:b/>
          <w:sz w:val="15"/>
        </w:rPr>
      </w:pPr>
      <w:bookmarkStart w:name="_bookmark41" w:id="42"/>
      <w:bookmarkEnd w:id="42"/>
      <w:r>
        <w:rPr/>
      </w:r>
      <w:r>
        <w:rPr>
          <w:b/>
          <w:color w:val="009DDF"/>
          <w:sz w:val="15"/>
        </w:rPr>
        <w:t>Figur 21. Danske downstream-virksomheders eksport i 2013 opdelt på satellittype, mio. DKK</w:t>
      </w:r>
    </w:p>
    <w:p>
      <w:pPr>
        <w:spacing w:before="138"/>
        <w:ind w:left="809" w:right="0" w:firstLine="0"/>
        <w:jc w:val="left"/>
        <w:rPr>
          <w:rFonts w:ascii="Calibri"/>
          <w:b/>
          <w:sz w:val="20"/>
        </w:rPr>
      </w:pPr>
      <w:r>
        <w:rPr>
          <w:rFonts w:ascii="Calibri"/>
          <w:b/>
          <w:sz w:val="20"/>
        </w:rPr>
        <w:t>Mio. DKK</w:t>
      </w:r>
    </w:p>
    <w:p>
      <w:pPr>
        <w:spacing w:after="0"/>
        <w:jc w:val="left"/>
        <w:rPr>
          <w:rFonts w:ascii="Calibri"/>
          <w:sz w:val="20"/>
        </w:rPr>
        <w:sectPr>
          <w:pgSz w:w="11910" w:h="16840"/>
          <w:pgMar w:header="0" w:footer="1056" w:top="1580" w:bottom="1240" w:left="960" w:right="0"/>
        </w:sectPr>
      </w:pPr>
    </w:p>
    <w:p>
      <w:pPr>
        <w:pStyle w:val="BodyText"/>
        <w:spacing w:before="29"/>
        <w:ind w:right="38"/>
        <w:jc w:val="right"/>
        <w:rPr>
          <w:rFonts w:ascii="Calibri"/>
        </w:rPr>
      </w:pPr>
      <w:r>
        <w:rPr>
          <w:rFonts w:ascii="Calibri"/>
          <w:color w:val="585858"/>
        </w:rPr>
        <w:t>1.600</w:t>
      </w:r>
    </w:p>
    <w:p>
      <w:pPr>
        <w:pStyle w:val="BodyText"/>
        <w:spacing w:before="3"/>
        <w:rPr>
          <w:rFonts w:ascii="Calibri"/>
          <w:sz w:val="20"/>
        </w:rPr>
      </w:pPr>
    </w:p>
    <w:p>
      <w:pPr>
        <w:pStyle w:val="BodyText"/>
        <w:ind w:right="38"/>
        <w:jc w:val="right"/>
        <w:rPr>
          <w:rFonts w:ascii="Calibri"/>
        </w:rPr>
      </w:pPr>
      <w:r>
        <w:rPr>
          <w:rFonts w:ascii="Calibri"/>
          <w:color w:val="585858"/>
        </w:rPr>
        <w:t>1.400</w:t>
      </w:r>
    </w:p>
    <w:p>
      <w:pPr>
        <w:pStyle w:val="BodyText"/>
        <w:spacing w:before="3"/>
        <w:rPr>
          <w:rFonts w:ascii="Calibri"/>
          <w:sz w:val="20"/>
        </w:rPr>
      </w:pPr>
    </w:p>
    <w:p>
      <w:pPr>
        <w:pStyle w:val="BodyText"/>
        <w:ind w:right="38"/>
        <w:jc w:val="right"/>
        <w:rPr>
          <w:rFonts w:ascii="Calibri"/>
        </w:rPr>
      </w:pPr>
      <w:r>
        <w:rPr>
          <w:rFonts w:ascii="Calibri"/>
          <w:color w:val="585858"/>
        </w:rPr>
        <w:t>1.200</w:t>
      </w:r>
    </w:p>
    <w:p>
      <w:pPr>
        <w:pStyle w:val="BodyText"/>
        <w:spacing w:before="2"/>
        <w:rPr>
          <w:rFonts w:ascii="Calibri"/>
          <w:sz w:val="20"/>
        </w:rPr>
      </w:pPr>
    </w:p>
    <w:p>
      <w:pPr>
        <w:pStyle w:val="BodyText"/>
        <w:ind w:right="38"/>
        <w:jc w:val="right"/>
        <w:rPr>
          <w:rFonts w:ascii="Calibri"/>
        </w:rPr>
      </w:pPr>
      <w:r>
        <w:rPr>
          <w:rFonts w:ascii="Calibri"/>
          <w:color w:val="585858"/>
        </w:rPr>
        <w:t>1.000</w:t>
      </w:r>
    </w:p>
    <w:p>
      <w:pPr>
        <w:pStyle w:val="BodyText"/>
        <w:spacing w:before="3"/>
        <w:rPr>
          <w:rFonts w:ascii="Calibri"/>
          <w:sz w:val="20"/>
        </w:rPr>
      </w:pPr>
    </w:p>
    <w:p>
      <w:pPr>
        <w:pStyle w:val="BodyText"/>
        <w:ind w:right="38"/>
        <w:jc w:val="right"/>
        <w:rPr>
          <w:rFonts w:ascii="Calibri"/>
        </w:rPr>
      </w:pPr>
      <w:r>
        <w:rPr>
          <w:rFonts w:ascii="Calibri"/>
          <w:color w:val="585858"/>
          <w:spacing w:val="-2"/>
        </w:rPr>
        <w:t>800</w:t>
      </w:r>
    </w:p>
    <w:p>
      <w:pPr>
        <w:pStyle w:val="BodyText"/>
        <w:spacing w:before="3"/>
        <w:rPr>
          <w:rFonts w:ascii="Calibri"/>
          <w:sz w:val="20"/>
        </w:rPr>
      </w:pPr>
    </w:p>
    <w:p>
      <w:pPr>
        <w:pStyle w:val="BodyText"/>
        <w:ind w:right="38"/>
        <w:jc w:val="right"/>
        <w:rPr>
          <w:rFonts w:ascii="Calibri"/>
        </w:rPr>
      </w:pPr>
      <w:r>
        <w:rPr>
          <w:rFonts w:ascii="Calibri"/>
          <w:color w:val="585858"/>
          <w:spacing w:val="-2"/>
        </w:rPr>
        <w:t>600</w:t>
      </w:r>
    </w:p>
    <w:p>
      <w:pPr>
        <w:pStyle w:val="BodyText"/>
        <w:spacing w:before="3"/>
        <w:rPr>
          <w:rFonts w:ascii="Calibri"/>
          <w:sz w:val="20"/>
        </w:rPr>
      </w:pPr>
    </w:p>
    <w:p>
      <w:pPr>
        <w:pStyle w:val="BodyText"/>
        <w:ind w:right="38"/>
        <w:jc w:val="right"/>
        <w:rPr>
          <w:rFonts w:ascii="Calibri"/>
        </w:rPr>
      </w:pPr>
      <w:r>
        <w:rPr>
          <w:rFonts w:ascii="Calibri"/>
          <w:color w:val="585858"/>
          <w:spacing w:val="-2"/>
        </w:rPr>
        <w:t>400</w:t>
      </w:r>
    </w:p>
    <w:p>
      <w:pPr>
        <w:pStyle w:val="BodyText"/>
        <w:spacing w:before="3"/>
        <w:rPr>
          <w:rFonts w:ascii="Calibri"/>
          <w:sz w:val="20"/>
        </w:rPr>
      </w:pPr>
    </w:p>
    <w:p>
      <w:pPr>
        <w:pStyle w:val="BodyText"/>
        <w:ind w:right="38"/>
        <w:jc w:val="right"/>
        <w:rPr>
          <w:rFonts w:ascii="Calibri"/>
        </w:rPr>
      </w:pPr>
      <w:r>
        <w:rPr>
          <w:rFonts w:ascii="Calibri"/>
          <w:color w:val="585858"/>
          <w:spacing w:val="-2"/>
        </w:rPr>
        <w:t>200</w:t>
      </w:r>
    </w:p>
    <w:p>
      <w:pPr>
        <w:pStyle w:val="BodyText"/>
        <w:rPr>
          <w:rFonts w:ascii="Calibri"/>
        </w:rPr>
      </w:pPr>
      <w:r>
        <w:rPr/>
        <w:br w:type="column"/>
      </w:r>
      <w:r>
        <w:rPr>
          <w:rFonts w:ascii="Calibri"/>
        </w:rPr>
      </w:r>
    </w:p>
    <w:p>
      <w:pPr>
        <w:pStyle w:val="BodyText"/>
        <w:spacing w:before="5"/>
        <w:rPr>
          <w:rFonts w:ascii="Calibri"/>
        </w:rPr>
      </w:pPr>
    </w:p>
    <w:p>
      <w:pPr>
        <w:pStyle w:val="BodyText"/>
        <w:spacing w:before="1"/>
        <w:ind w:right="38"/>
        <w:jc w:val="right"/>
        <w:rPr>
          <w:rFonts w:ascii="Calibri"/>
        </w:rPr>
      </w:pPr>
      <w:r>
        <w:rPr>
          <w:rFonts w:ascii="Calibri"/>
        </w:rPr>
        <w:t>81%</w:t>
      </w:r>
    </w:p>
    <w:p>
      <w:pPr>
        <w:pStyle w:val="BodyText"/>
        <w:spacing w:before="29"/>
        <w:ind w:left="820"/>
        <w:rPr>
          <w:rFonts w:ascii="Calibri"/>
        </w:rPr>
      </w:pPr>
      <w:r>
        <w:rPr/>
        <w:br w:type="column"/>
      </w:r>
      <w:r>
        <w:rPr>
          <w:rFonts w:ascii="Calibri"/>
          <w:color w:val="585858"/>
        </w:rPr>
        <w:t>100%</w:t>
      </w:r>
    </w:p>
    <w:p>
      <w:pPr>
        <w:pStyle w:val="BodyText"/>
        <w:spacing w:before="154"/>
        <w:ind w:left="820"/>
        <w:rPr>
          <w:rFonts w:ascii="Calibri"/>
        </w:rPr>
      </w:pPr>
      <w:r>
        <w:rPr>
          <w:rFonts w:ascii="Calibri"/>
          <w:color w:val="585858"/>
        </w:rPr>
        <w:t>90%</w:t>
      </w:r>
    </w:p>
    <w:p>
      <w:pPr>
        <w:pStyle w:val="BodyText"/>
        <w:spacing w:before="153"/>
        <w:ind w:left="820"/>
        <w:rPr>
          <w:rFonts w:ascii="Calibri"/>
        </w:rPr>
      </w:pPr>
      <w:r>
        <w:rPr/>
        <w:pict>
          <v:group style="position:absolute;margin-left:117.480003pt;margin-top:4.819363pt;width:369.75pt;height:160.950pt;mso-position-horizontal-relative:page;mso-position-vertical-relative:paragraph;z-index:-177400" coordorigin="2350,96" coordsize="7395,3219">
            <v:shape style="position:absolute;left:2973;top:96;width:6149;height:3164" coordorigin="2974,96" coordsize="6149,3164" path="m4202,3106l2974,3106,2974,3260,4202,3260,4202,3106m6662,778l5434,778,5434,3260,6662,3260,6662,778m9122,96l7894,96,7894,3260,9122,3260,9122,96e" filled="true" fillcolor="#0092df" stroked="false">
              <v:path arrowok="t"/>
              <v:fill type="solid"/>
            </v:shape>
            <v:shape style="position:absolute;left:2356;top:3259;width:7380;height:56" coordorigin="2357,3260" coordsize="7380,56" path="m2357,3260l9737,3260m2357,3260l2357,3315m4817,3260l4817,3315m7277,3260l7277,3315m9737,3260l9737,3315e" filled="false" stroked="true" strokeweight=".72pt" strokecolor="#d9d9d9">
              <v:path arrowok="t"/>
              <v:stroke dashstyle="solid"/>
            </v:shape>
            <v:shape style="position:absolute;left:3467;top:440;width:2700;height:490" coordorigin="3468,441" coordsize="2700,490" path="m3708,810l3588,690,3468,810,3588,930,3708,810m6168,561l6048,441,5928,561,6048,681,6168,561e" filled="true" fillcolor="#5ca451" stroked="false">
              <v:path arrowok="t"/>
              <v:fill type="solid"/>
            </v:shape>
            <v:shape style="position:absolute;left:8385;top:130;width:240;height:240" coordorigin="8385,131" coordsize="240,240" path="m8505,131l8385,251,8505,371,8625,251,8505,131xe" filled="true" fillcolor="#a7d2f5" stroked="false">
              <v:path arrowok="t"/>
              <v:fill type="solid"/>
            </v:shape>
            <v:shape style="position:absolute;left:8377;top:1248;width:255;height:255" type="#_x0000_t75" stroked="false">
              <v:imagedata r:id="rId99" o:title=""/>
            </v:shape>
            <v:shape style="position:absolute;left:5893;top:167;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72%</w:t>
                    </w:r>
                  </w:p>
                </w:txbxContent>
              </v:textbox>
              <w10:wrap type="none"/>
            </v:shape>
            <v:shape style="position:absolute;left:3432;top:417;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66%</w:t>
                    </w:r>
                  </w:p>
                </w:txbxContent>
              </v:textbox>
              <w10:wrap type="none"/>
            </v:shape>
            <v:shape style="position:absolute;left:3497;top:2985;width:203;height:180" type="#_x0000_t202" filled="false" stroked="false">
              <v:textbox inset="0,0,0,0">
                <w:txbxContent>
                  <w:p>
                    <w:pPr>
                      <w:spacing w:line="180" w:lineRule="exact" w:before="0"/>
                      <w:ind w:left="0" w:right="0" w:firstLine="0"/>
                      <w:jc w:val="left"/>
                      <w:rPr>
                        <w:rFonts w:ascii="Calibri"/>
                        <w:sz w:val="18"/>
                      </w:rPr>
                    </w:pPr>
                    <w:r>
                      <w:rPr>
                        <w:rFonts w:ascii="Calibri"/>
                        <w:sz w:val="18"/>
                      </w:rPr>
                      <w:t>65</w:t>
                    </w:r>
                  </w:p>
                </w:txbxContent>
              </v:textbox>
              <w10:wrap type="none"/>
            </v:shape>
            <v:shape style="position:absolute;left:5842;top:1945;width:431;height:180" type="#_x0000_t202" filled="false" stroked="false">
              <v:textbox inset="0,0,0,0">
                <w:txbxContent>
                  <w:p>
                    <w:pPr>
                      <w:spacing w:line="180" w:lineRule="exact" w:before="0"/>
                      <w:ind w:left="0" w:right="0" w:firstLine="0"/>
                      <w:jc w:val="left"/>
                      <w:rPr>
                        <w:rFonts w:ascii="Calibri"/>
                        <w:sz w:val="18"/>
                      </w:rPr>
                    </w:pPr>
                    <w:r>
                      <w:rPr>
                        <w:rFonts w:ascii="Calibri"/>
                        <w:sz w:val="18"/>
                      </w:rPr>
                      <w:t>1.063</w:t>
                    </w:r>
                  </w:p>
                </w:txbxContent>
              </v:textbox>
              <w10:wrap type="none"/>
            </v:shape>
            <v:shape style="position:absolute;left:8303;top:1603;width:431;height:180" type="#_x0000_t202" filled="false" stroked="false">
              <v:textbox inset="0,0,0,0">
                <w:txbxContent>
                  <w:p>
                    <w:pPr>
                      <w:spacing w:line="180" w:lineRule="exact" w:before="0"/>
                      <w:ind w:left="0" w:right="0" w:firstLine="0"/>
                      <w:jc w:val="left"/>
                      <w:rPr>
                        <w:rFonts w:ascii="Calibri"/>
                        <w:sz w:val="18"/>
                      </w:rPr>
                    </w:pPr>
                    <w:r>
                      <w:rPr>
                        <w:rFonts w:ascii="Calibri"/>
                        <w:sz w:val="18"/>
                      </w:rPr>
                      <w:t>1.356</w:t>
                    </w:r>
                  </w:p>
                </w:txbxContent>
              </v:textbox>
              <w10:wrap type="none"/>
            </v:shape>
            <v:shape style="position:absolute;left:8749;top:1302;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50%</w:t>
                    </w:r>
                  </w:p>
                </w:txbxContent>
              </v:textbox>
              <w10:wrap type="none"/>
            </v:shape>
            <w10:wrap type="none"/>
          </v:group>
        </w:pict>
      </w:r>
      <w:r>
        <w:rPr>
          <w:rFonts w:ascii="Calibri"/>
          <w:color w:val="585858"/>
        </w:rPr>
        <w:t>80%</w:t>
      </w:r>
    </w:p>
    <w:p>
      <w:pPr>
        <w:pStyle w:val="BodyText"/>
        <w:spacing w:before="154"/>
        <w:ind w:left="820"/>
        <w:rPr>
          <w:rFonts w:ascii="Calibri"/>
        </w:rPr>
      </w:pPr>
      <w:r>
        <w:rPr>
          <w:rFonts w:ascii="Calibri"/>
          <w:color w:val="585858"/>
        </w:rPr>
        <w:t>70%</w:t>
      </w:r>
    </w:p>
    <w:p>
      <w:pPr>
        <w:pStyle w:val="BodyText"/>
        <w:spacing w:before="154"/>
        <w:ind w:left="820"/>
        <w:rPr>
          <w:rFonts w:ascii="Calibri"/>
        </w:rPr>
      </w:pPr>
      <w:r>
        <w:rPr>
          <w:rFonts w:ascii="Calibri"/>
          <w:color w:val="585858"/>
        </w:rPr>
        <w:t>60%</w:t>
      </w:r>
    </w:p>
    <w:p>
      <w:pPr>
        <w:pStyle w:val="BodyText"/>
        <w:spacing w:before="153"/>
        <w:ind w:left="820"/>
        <w:rPr>
          <w:rFonts w:ascii="Calibri"/>
        </w:rPr>
      </w:pPr>
      <w:r>
        <w:rPr>
          <w:rFonts w:ascii="Calibri"/>
          <w:color w:val="585858"/>
        </w:rPr>
        <w:t>50%</w:t>
      </w:r>
    </w:p>
    <w:p>
      <w:pPr>
        <w:pStyle w:val="BodyText"/>
        <w:spacing w:before="154"/>
        <w:ind w:left="820"/>
        <w:rPr>
          <w:rFonts w:ascii="Calibri"/>
        </w:rPr>
      </w:pPr>
      <w:r>
        <w:rPr>
          <w:rFonts w:ascii="Calibri"/>
          <w:color w:val="585858"/>
        </w:rPr>
        <w:t>40%</w:t>
      </w:r>
    </w:p>
    <w:p>
      <w:pPr>
        <w:pStyle w:val="BodyText"/>
        <w:spacing w:before="154"/>
        <w:ind w:left="820"/>
        <w:rPr>
          <w:rFonts w:ascii="Calibri"/>
        </w:rPr>
      </w:pPr>
      <w:r>
        <w:rPr>
          <w:rFonts w:ascii="Calibri"/>
          <w:color w:val="585858"/>
        </w:rPr>
        <w:t>30%</w:t>
      </w:r>
    </w:p>
    <w:p>
      <w:pPr>
        <w:pStyle w:val="BodyText"/>
        <w:spacing w:before="153"/>
        <w:ind w:left="820"/>
        <w:rPr>
          <w:rFonts w:ascii="Calibri"/>
        </w:rPr>
      </w:pPr>
      <w:r>
        <w:rPr>
          <w:rFonts w:ascii="Calibri"/>
          <w:color w:val="585858"/>
        </w:rPr>
        <w:t>20%</w:t>
      </w:r>
    </w:p>
    <w:p>
      <w:pPr>
        <w:pStyle w:val="BodyText"/>
        <w:spacing w:before="153"/>
        <w:ind w:left="820"/>
        <w:rPr>
          <w:rFonts w:ascii="Calibri"/>
        </w:rPr>
      </w:pPr>
      <w:r>
        <w:rPr>
          <w:rFonts w:ascii="Calibri"/>
          <w:color w:val="585858"/>
        </w:rPr>
        <w:t>10%</w:t>
      </w:r>
    </w:p>
    <w:p>
      <w:pPr>
        <w:spacing w:after="0"/>
        <w:rPr>
          <w:rFonts w:ascii="Calibri"/>
        </w:rPr>
        <w:sectPr>
          <w:type w:val="continuous"/>
          <w:pgSz w:w="11910" w:h="16840"/>
          <w:pgMar w:top="1400" w:bottom="280" w:left="960" w:right="0"/>
          <w:cols w:num="3" w:equalWidth="0">
            <w:col w:w="1271" w:space="5302"/>
            <w:col w:w="1172" w:space="381"/>
            <w:col w:w="2824"/>
          </w:cols>
        </w:sectPr>
      </w:pPr>
    </w:p>
    <w:p>
      <w:pPr>
        <w:pStyle w:val="BodyText"/>
        <w:tabs>
          <w:tab w:pos="8946" w:val="left" w:leader="none"/>
        </w:tabs>
        <w:spacing w:before="154"/>
        <w:ind w:left="1139"/>
        <w:rPr>
          <w:rFonts w:ascii="Calibri"/>
        </w:rPr>
      </w:pPr>
      <w:r>
        <w:rPr>
          <w:rFonts w:ascii="Calibri"/>
          <w:color w:val="585858"/>
        </w:rPr>
        <w:t>0</w:t>
        <w:tab/>
        <w:t>0%</w:t>
      </w:r>
    </w:p>
    <w:p>
      <w:pPr>
        <w:pStyle w:val="BodyText"/>
        <w:tabs>
          <w:tab w:pos="4068" w:val="left" w:leader="none"/>
          <w:tab w:pos="4674" w:val="left" w:leader="none"/>
          <w:tab w:pos="5464" w:val="left" w:leader="none"/>
          <w:tab w:pos="6945" w:val="left" w:leader="none"/>
        </w:tabs>
        <w:spacing w:line="321" w:lineRule="auto" w:before="15"/>
        <w:ind w:left="2659" w:right="2833" w:hanging="643"/>
        <w:rPr>
          <w:rFonts w:ascii="Calibri" w:hAnsi="Calibri"/>
        </w:rPr>
      </w:pPr>
      <w:r>
        <w:rPr/>
        <w:pict>
          <v:rect style="position:absolute;margin-left:173.880005pt;margin-top:18.919323pt;width:5.04pt;height:4.92pt;mso-position-horizontal-relative:page;mso-position-vertical-relative:paragraph;z-index:-177376" filled="true" fillcolor="#0092df" stroked="false">
            <v:fill type="solid"/>
            <w10:wrap type="none"/>
          </v:rect>
        </w:pict>
      </w:r>
      <w:r>
        <w:rPr/>
        <w:pict>
          <v:shape style="position:absolute;margin-left:244.330002pt;margin-top:18.899324pt;width:5pt;height:5pt;mso-position-horizontal-relative:page;mso-position-vertical-relative:paragraph;z-index:-177352" coordorigin="4887,378" coordsize="100,100" path="m4937,378l4887,428,4937,478,4987,428,4937,378xe" filled="true" fillcolor="#a7d2f5" stroked="false">
            <v:path arrowok="t"/>
            <v:fill type="solid"/>
            <w10:wrap type="none"/>
          </v:shape>
        </w:pict>
      </w:r>
      <w:r>
        <w:rPr/>
        <w:drawing>
          <wp:anchor distT="0" distB="0" distL="0" distR="0" allowOverlap="1" layoutInCell="1" locked="0" behindDoc="1" simplePos="0" relativeHeight="268258127">
            <wp:simplePos x="0" y="0"/>
            <wp:positionH relativeFrom="page">
              <wp:posOffset>3984752</wp:posOffset>
            </wp:positionH>
            <wp:positionV relativeFrom="paragraph">
              <wp:posOffset>235449</wp:posOffset>
            </wp:positionV>
            <wp:extent cx="72644" cy="72644"/>
            <wp:effectExtent l="0" t="0" r="0" b="0"/>
            <wp:wrapNone/>
            <wp:docPr id="57" name="image46.png" descr=""/>
            <wp:cNvGraphicFramePr>
              <a:graphicFrameLocks noChangeAspect="1"/>
            </wp:cNvGraphicFramePr>
            <a:graphic>
              <a:graphicData uri="http://schemas.openxmlformats.org/drawingml/2006/picture">
                <pic:pic>
                  <pic:nvPicPr>
                    <pic:cNvPr id="58" name="image46.png"/>
                    <pic:cNvPicPr/>
                  </pic:nvPicPr>
                  <pic:blipFill>
                    <a:blip r:embed="rId100" cstate="print"/>
                    <a:stretch>
                      <a:fillRect/>
                    </a:stretch>
                  </pic:blipFill>
                  <pic:spPr>
                    <a:xfrm>
                      <a:off x="0" y="0"/>
                      <a:ext cx="72644" cy="72644"/>
                    </a:xfrm>
                    <a:prstGeom prst="rect">
                      <a:avLst/>
                    </a:prstGeom>
                  </pic:spPr>
                </pic:pic>
              </a:graphicData>
            </a:graphic>
          </wp:anchor>
        </w:drawing>
      </w:r>
      <w:r>
        <w:rPr>
          <w:rFonts w:ascii="Calibri" w:hAnsi="Calibri"/>
        </w:rPr>
        <w:t>Jordobservation</w:t>
        <w:tab/>
        <w:tab/>
        <w:t>Navigation</w:t>
        <w:tab/>
        <w:tab/>
      </w:r>
      <w:r>
        <w:rPr>
          <w:rFonts w:ascii="Calibri" w:hAnsi="Calibri"/>
          <w:spacing w:val="-1"/>
        </w:rPr>
        <w:t>Kommunikation </w:t>
      </w:r>
      <w:r>
        <w:rPr>
          <w:rFonts w:ascii="Calibri" w:hAnsi="Calibri"/>
        </w:rPr>
        <w:t>Eksportværdi</w:t>
        <w:tab/>
        <w:t>Eksportandel</w:t>
        <w:tab/>
        <w:t>Eksportandel (inkl.</w:t>
      </w:r>
      <w:r>
        <w:rPr>
          <w:rFonts w:ascii="Calibri" w:hAnsi="Calibri"/>
          <w:spacing w:val="-2"/>
        </w:rPr>
        <w:t> </w:t>
      </w:r>
      <w:r>
        <w:rPr>
          <w:rFonts w:ascii="Calibri" w:hAnsi="Calibri"/>
        </w:rPr>
        <w:t>Parabol-TV)</w:t>
      </w:r>
    </w:p>
    <w:p>
      <w:pPr>
        <w:pStyle w:val="BodyText"/>
        <w:spacing w:before="1"/>
        <w:rPr>
          <w:rFonts w:ascii="Calibri"/>
          <w:sz w:val="16"/>
        </w:rPr>
      </w:pPr>
    </w:p>
    <w:p>
      <w:pPr>
        <w:spacing w:before="0"/>
        <w:ind w:left="742" w:right="0" w:firstLine="0"/>
        <w:jc w:val="left"/>
        <w:rPr>
          <w:sz w:val="13"/>
        </w:rPr>
      </w:pPr>
      <w:r>
        <w:rPr>
          <w:sz w:val="13"/>
        </w:rPr>
        <w:t>Kilde: Rambøll og London Economics’ analyse og Danmarks Statistik-data.</w:t>
      </w:r>
    </w:p>
    <w:p>
      <w:pPr>
        <w:spacing w:before="82"/>
        <w:ind w:left="742" w:right="0" w:firstLine="0"/>
        <w:jc w:val="left"/>
        <w:rPr>
          <w:sz w:val="13"/>
        </w:rPr>
      </w:pPr>
      <w:r>
        <w:rPr>
          <w:sz w:val="13"/>
        </w:rPr>
        <w:t>Note: Den skraverede eksportandel angiver eksportandelen for satellitkommunikation, når parabol-tv udelades af analysen.</w:t>
      </w:r>
    </w:p>
    <w:p>
      <w:pPr>
        <w:pStyle w:val="BodyText"/>
        <w:spacing w:before="7"/>
        <w:rPr>
          <w:sz w:val="21"/>
        </w:rPr>
      </w:pPr>
    </w:p>
    <w:p>
      <w:pPr>
        <w:pStyle w:val="BodyText"/>
        <w:spacing w:line="264" w:lineRule="auto"/>
        <w:ind w:left="742" w:right="1207"/>
      </w:pPr>
      <w:r>
        <w:rPr/>
        <w:t>Downstream-styrkepositionen i satellitkommunikation skyldes primært få store, førende virksom- heder på feltet, men det kan ikke skade, at nogle af de væsentlige brugere af satellitkommunikati- on (fragtskibe, fiskere, Nordsø-oliesektoren) alle er at finde i det danske samfund.</w:t>
      </w:r>
    </w:p>
    <w:p>
      <w:pPr>
        <w:pStyle w:val="BodyText"/>
        <w:spacing w:before="7"/>
        <w:rPr>
          <w:sz w:val="19"/>
        </w:rPr>
      </w:pPr>
    </w:p>
    <w:p>
      <w:pPr>
        <w:pStyle w:val="ListParagraph"/>
        <w:numPr>
          <w:ilvl w:val="2"/>
          <w:numId w:val="13"/>
        </w:numPr>
        <w:tabs>
          <w:tab w:pos="743" w:val="left" w:leader="none"/>
        </w:tabs>
        <w:spacing w:line="240" w:lineRule="auto" w:before="1" w:after="0"/>
        <w:ind w:left="742" w:right="0" w:hanging="624"/>
        <w:jc w:val="left"/>
        <w:rPr>
          <w:b/>
          <w:sz w:val="18"/>
        </w:rPr>
      </w:pPr>
      <w:r>
        <w:rPr>
          <w:b/>
          <w:sz w:val="18"/>
        </w:rPr>
        <w:t>Udenlandske investeringer</w:t>
      </w:r>
    </w:p>
    <w:p>
      <w:pPr>
        <w:pStyle w:val="BodyText"/>
        <w:spacing w:line="264" w:lineRule="auto" w:before="21"/>
        <w:ind w:left="742" w:right="1161"/>
        <w:rPr>
          <w:sz w:val="8"/>
        </w:rPr>
      </w:pPr>
      <w:r>
        <w:rPr/>
        <w:t>Omtrent en fjerdedel af danske rumvirksomheder har udenlandske ejere, og andelen af omsætning der skabes i udenlandsk-ejede virksomheder, er endnu større. Der findes to typer af udenlandsk- ejede virksomheder: De virksomheder, der er grundlagt i Danmark og som siden er blevet overta- get af udenlandske virksomheder</w:t>
      </w:r>
      <w:r>
        <w:rPr>
          <w:w w:val="99"/>
          <w:position w:val="6"/>
          <w:sz w:val="8"/>
        </w:rPr>
        <w:t>90</w:t>
      </w:r>
      <w:r>
        <w:rPr>
          <w:position w:val="6"/>
          <w:sz w:val="8"/>
        </w:rPr>
        <w:t>  </w:t>
      </w:r>
      <w:r>
        <w:rPr/>
        <w:t>og de virksomheder, der er grundlagt som udenlandske virk- somheders danske (eller nordiske) hovedkvarterer.</w:t>
      </w:r>
      <w:r>
        <w:rPr>
          <w:w w:val="99"/>
          <w:position w:val="6"/>
          <w:sz w:val="8"/>
        </w:rPr>
        <w:t>91</w:t>
      </w:r>
    </w:p>
    <w:p>
      <w:pPr>
        <w:pStyle w:val="BodyText"/>
        <w:spacing w:before="6"/>
        <w:rPr>
          <w:sz w:val="19"/>
        </w:rPr>
      </w:pPr>
    </w:p>
    <w:p>
      <w:pPr>
        <w:pStyle w:val="BodyText"/>
        <w:spacing w:line="264" w:lineRule="auto"/>
        <w:ind w:left="742" w:right="1133"/>
      </w:pPr>
      <w:r>
        <w:rPr/>
        <w:t>Til den første kategori hører Cobham Satcom, Satcom1, Flux, Garmin Danmark, SSBV-Rovsing, Spirent og Leica Geosystems Technology.</w:t>
      </w:r>
      <w:r>
        <w:rPr>
          <w:w w:val="99"/>
          <w:position w:val="6"/>
          <w:sz w:val="8"/>
        </w:rPr>
        <w:t>92</w:t>
      </w:r>
      <w:r>
        <w:rPr>
          <w:position w:val="6"/>
          <w:sz w:val="8"/>
        </w:rPr>
        <w:t>  </w:t>
      </w:r>
      <w:r>
        <w:rPr/>
        <w:t>Baseret på årsrapporter hos cvr.dk er det beregnet, at rumomsætningen for disse seks virksomheder er mindst 2 mia. DKK, og man kan med rimelighed antage, at alle de opkøbte virksomheder har haft væsentlige kompetencer, som større udenlandske virksomheder har ønsket at overtage sammen med adgangen til det danske marked.</w:t>
      </w:r>
    </w:p>
    <w:p>
      <w:pPr>
        <w:pStyle w:val="BodyText"/>
        <w:spacing w:before="6"/>
        <w:rPr>
          <w:sz w:val="19"/>
        </w:rPr>
      </w:pPr>
    </w:p>
    <w:p>
      <w:pPr>
        <w:pStyle w:val="ListParagraph"/>
        <w:numPr>
          <w:ilvl w:val="2"/>
          <w:numId w:val="13"/>
        </w:numPr>
        <w:tabs>
          <w:tab w:pos="743" w:val="left" w:leader="none"/>
        </w:tabs>
        <w:spacing w:line="240" w:lineRule="auto" w:before="0" w:after="0"/>
        <w:ind w:left="742" w:right="0" w:hanging="624"/>
        <w:jc w:val="left"/>
        <w:rPr>
          <w:b/>
          <w:sz w:val="18"/>
        </w:rPr>
      </w:pPr>
      <w:r>
        <w:rPr>
          <w:b/>
          <w:sz w:val="18"/>
        </w:rPr>
        <w:t>Internationale tendenser</w:t>
      </w:r>
    </w:p>
    <w:p>
      <w:pPr>
        <w:pStyle w:val="BodyText"/>
        <w:spacing w:line="264" w:lineRule="auto" w:before="22"/>
        <w:ind w:left="742" w:right="1217"/>
      </w:pPr>
      <w:r>
        <w:rPr/>
        <w:t>I analysen af erhvervsmæssige danske styrkepositioner er det også brugbart at betragte de inter- nationale tendenser inden for rumindustrien og vurdere, hvorledes danske virksomheder er stillet i forhold til udnyttelsen af disse tendenser.</w:t>
      </w:r>
    </w:p>
    <w:p>
      <w:pPr>
        <w:pStyle w:val="BodyText"/>
        <w:rPr>
          <w:sz w:val="20"/>
        </w:rPr>
      </w:pPr>
    </w:p>
    <w:p>
      <w:pPr>
        <w:pStyle w:val="BodyText"/>
        <w:spacing w:before="5"/>
        <w:rPr>
          <w:sz w:val="13"/>
        </w:rPr>
      </w:pPr>
      <w:r>
        <w:rPr/>
        <w:pict>
          <v:line style="position:absolute;mso-position-horizontal-relative:page;mso-position-vertical-relative:paragraph;z-index:4088;mso-wrap-distance-left:0;mso-wrap-distance-right:0" from="85.103996pt,10.350635pt" to="229.123996pt,10.350635pt" stroked="true" strokeweight=".48004pt" strokecolor="#000000">
            <v:stroke dashstyle="solid"/>
            <w10:wrap type="topAndBottom"/>
          </v:line>
        </w:pict>
      </w:r>
    </w:p>
    <w:p>
      <w:pPr>
        <w:spacing w:before="99"/>
        <w:ind w:left="742" w:right="0" w:firstLine="0"/>
        <w:jc w:val="left"/>
        <w:rPr>
          <w:sz w:val="13"/>
        </w:rPr>
      </w:pPr>
      <w:r>
        <w:rPr>
          <w:position w:val="6"/>
          <w:sz w:val="8"/>
        </w:rPr>
        <w:t>90 </w:t>
      </w:r>
      <w:r>
        <w:rPr>
          <w:sz w:val="13"/>
        </w:rPr>
        <w:t>Kendt som brownfield FDI.</w:t>
      </w:r>
    </w:p>
    <w:p>
      <w:pPr>
        <w:spacing w:before="43"/>
        <w:ind w:left="742" w:right="0" w:firstLine="0"/>
        <w:jc w:val="left"/>
        <w:rPr>
          <w:sz w:val="13"/>
        </w:rPr>
      </w:pPr>
      <w:r>
        <w:rPr>
          <w:position w:val="6"/>
          <w:sz w:val="8"/>
        </w:rPr>
        <w:t>91 </w:t>
      </w:r>
      <w:r>
        <w:rPr>
          <w:sz w:val="13"/>
        </w:rPr>
        <w:t>De såkaldte greenfield aktiviteter.</w:t>
      </w:r>
    </w:p>
    <w:p>
      <w:pPr>
        <w:spacing w:before="41"/>
        <w:ind w:left="742" w:right="0" w:firstLine="0"/>
        <w:jc w:val="left"/>
        <w:rPr>
          <w:sz w:val="13"/>
        </w:rPr>
      </w:pPr>
      <w:r>
        <w:rPr>
          <w:position w:val="6"/>
          <w:sz w:val="8"/>
        </w:rPr>
        <w:t>92 </w:t>
      </w:r>
      <w:r>
        <w:rPr>
          <w:sz w:val="13"/>
        </w:rPr>
        <w:t>Bureau van Dijk, Zephyr database. Overtagelser siden 2000.</w:t>
      </w:r>
    </w:p>
    <w:p>
      <w:pPr>
        <w:spacing w:after="0"/>
        <w:jc w:val="left"/>
        <w:rPr>
          <w:sz w:val="13"/>
        </w:rPr>
        <w:sectPr>
          <w:type w:val="continuous"/>
          <w:pgSz w:w="11910" w:h="16840"/>
          <w:pgMar w:top="1400" w:bottom="280" w:left="960" w:right="0"/>
        </w:sectPr>
      </w:pPr>
    </w:p>
    <w:p>
      <w:pPr>
        <w:pStyle w:val="BodyText"/>
        <w:spacing w:line="264" w:lineRule="auto" w:before="126"/>
        <w:ind w:left="742" w:right="1158"/>
      </w:pPr>
      <w:r>
        <w:rPr/>
        <w:t>The Space Report</w:t>
      </w:r>
      <w:r>
        <w:rPr>
          <w:w w:val="99"/>
          <w:position w:val="6"/>
          <w:sz w:val="8"/>
        </w:rPr>
        <w:t>93</w:t>
      </w:r>
      <w:r>
        <w:rPr>
          <w:position w:val="6"/>
          <w:sz w:val="8"/>
        </w:rPr>
        <w:t>  </w:t>
      </w:r>
      <w:r>
        <w:rPr/>
        <w:t>opdeler rumrelateret økonomisk aktivitet baseret på kundens type – offentlig eller privat. I 2009 var 33 % af den økonomiske aktivitet drevet af offentlig efterspørgsel, men i de senere år er der sket et skift i retning af det private marked, og i 2014 var dette tal faldet til 24 %.</w:t>
      </w:r>
    </w:p>
    <w:p>
      <w:pPr>
        <w:pStyle w:val="BodyText"/>
        <w:spacing w:before="7"/>
        <w:rPr>
          <w:sz w:val="19"/>
        </w:rPr>
      </w:pPr>
    </w:p>
    <w:p>
      <w:pPr>
        <w:pStyle w:val="BodyText"/>
        <w:spacing w:line="264" w:lineRule="auto" w:before="1"/>
        <w:ind w:left="742" w:right="1305"/>
        <w:rPr>
          <w:sz w:val="8"/>
        </w:rPr>
      </w:pPr>
      <w:r>
        <w:rPr/>
        <w:t>Dette skifte skyldes blandt andet en ny type af rumorganisationer benævnt </w:t>
      </w:r>
      <w:r>
        <w:rPr>
          <w:b/>
        </w:rPr>
        <w:t>New Space</w:t>
      </w:r>
      <w:r>
        <w:rPr/>
        <w:t>, som be- skriver et nyt, men hurtigt voksende globalt netværk af entreprenører, private virksomheder og organisationer, som besidder en eller flere af følgende karakteristika:</w:t>
      </w:r>
      <w:r>
        <w:rPr>
          <w:w w:val="99"/>
          <w:position w:val="6"/>
          <w:sz w:val="8"/>
        </w:rPr>
        <w:t>94</w:t>
      </w:r>
    </w:p>
    <w:p>
      <w:pPr>
        <w:pStyle w:val="BodyText"/>
        <w:spacing w:before="7"/>
        <w:rPr>
          <w:sz w:val="19"/>
        </w:rPr>
      </w:pPr>
    </w:p>
    <w:p>
      <w:pPr>
        <w:pStyle w:val="ListParagraph"/>
        <w:numPr>
          <w:ilvl w:val="3"/>
          <w:numId w:val="13"/>
        </w:numPr>
        <w:tabs>
          <w:tab w:pos="1082" w:val="left" w:leader="none"/>
          <w:tab w:pos="1083" w:val="left" w:leader="none"/>
        </w:tabs>
        <w:spacing w:line="240" w:lineRule="auto" w:before="0" w:after="0"/>
        <w:ind w:left="1082" w:right="0" w:hanging="340"/>
        <w:jc w:val="left"/>
        <w:rPr>
          <w:sz w:val="18"/>
        </w:rPr>
      </w:pPr>
      <w:r>
        <w:rPr>
          <w:sz w:val="18"/>
        </w:rPr>
        <w:t>Brug af </w:t>
      </w:r>
      <w:r>
        <w:rPr>
          <w:b/>
          <w:sz w:val="18"/>
        </w:rPr>
        <w:t>privat finansiering </w:t>
      </w:r>
      <w:r>
        <w:rPr>
          <w:sz w:val="18"/>
        </w:rPr>
        <w:t>(nogle gange støttet af offentlige</w:t>
      </w:r>
      <w:r>
        <w:rPr>
          <w:spacing w:val="-9"/>
          <w:sz w:val="18"/>
        </w:rPr>
        <w:t> </w:t>
      </w:r>
      <w:r>
        <w:rPr>
          <w:sz w:val="18"/>
        </w:rPr>
        <w:t>udbud)</w:t>
      </w:r>
    </w:p>
    <w:p>
      <w:pPr>
        <w:pStyle w:val="ListParagraph"/>
        <w:numPr>
          <w:ilvl w:val="3"/>
          <w:numId w:val="13"/>
        </w:numPr>
        <w:tabs>
          <w:tab w:pos="1082" w:val="left" w:leader="none"/>
          <w:tab w:pos="1083" w:val="left" w:leader="none"/>
        </w:tabs>
        <w:spacing w:line="240" w:lineRule="auto" w:before="19" w:after="0"/>
        <w:ind w:left="1082" w:right="0" w:hanging="340"/>
        <w:jc w:val="left"/>
        <w:rPr>
          <w:sz w:val="18"/>
        </w:rPr>
      </w:pPr>
      <w:r>
        <w:rPr>
          <w:b/>
          <w:sz w:val="18"/>
        </w:rPr>
        <w:t>Lav omkostningsbase </w:t>
      </w:r>
      <w:r>
        <w:rPr>
          <w:sz w:val="18"/>
        </w:rPr>
        <w:t>for at sikre konkurrencedygtige</w:t>
      </w:r>
      <w:r>
        <w:rPr>
          <w:spacing w:val="1"/>
          <w:sz w:val="18"/>
        </w:rPr>
        <w:t> </w:t>
      </w:r>
      <w:r>
        <w:rPr>
          <w:sz w:val="18"/>
        </w:rPr>
        <w:t>priser</w:t>
      </w:r>
    </w:p>
    <w:p>
      <w:pPr>
        <w:pStyle w:val="ListParagraph"/>
        <w:numPr>
          <w:ilvl w:val="3"/>
          <w:numId w:val="13"/>
        </w:numPr>
        <w:tabs>
          <w:tab w:pos="1082" w:val="left" w:leader="none"/>
          <w:tab w:pos="1083" w:val="left" w:leader="none"/>
        </w:tabs>
        <w:spacing w:line="261" w:lineRule="auto" w:before="20" w:after="0"/>
        <w:ind w:left="1082" w:right="1273" w:hanging="340"/>
        <w:jc w:val="left"/>
        <w:rPr>
          <w:sz w:val="18"/>
        </w:rPr>
      </w:pPr>
      <w:r>
        <w:rPr>
          <w:b/>
          <w:sz w:val="18"/>
        </w:rPr>
        <w:t>Innovativ udvikling </w:t>
      </w:r>
      <w:r>
        <w:rPr>
          <w:sz w:val="18"/>
        </w:rPr>
        <w:t>fra ’en blank side’, dvs. teknologisk udvikling uden hensyntagen til eksi- sterende</w:t>
      </w:r>
      <w:r>
        <w:rPr>
          <w:spacing w:val="-2"/>
          <w:sz w:val="18"/>
        </w:rPr>
        <w:t> </w:t>
      </w:r>
      <w:r>
        <w:rPr>
          <w:sz w:val="18"/>
        </w:rPr>
        <w:t>metoder</w:t>
      </w:r>
    </w:p>
    <w:p>
      <w:pPr>
        <w:pStyle w:val="ListParagraph"/>
        <w:numPr>
          <w:ilvl w:val="3"/>
          <w:numId w:val="13"/>
        </w:numPr>
        <w:tabs>
          <w:tab w:pos="1082" w:val="left" w:leader="none"/>
          <w:tab w:pos="1083" w:val="left" w:leader="none"/>
        </w:tabs>
        <w:spacing w:line="261" w:lineRule="auto" w:before="1" w:after="0"/>
        <w:ind w:left="1082" w:right="1228" w:hanging="340"/>
        <w:jc w:val="left"/>
        <w:rPr>
          <w:sz w:val="18"/>
        </w:rPr>
      </w:pPr>
      <w:r>
        <w:rPr>
          <w:b/>
          <w:sz w:val="18"/>
        </w:rPr>
        <w:t>Trinvis udvikling </w:t>
      </w:r>
      <w:r>
        <w:rPr>
          <w:sz w:val="18"/>
        </w:rPr>
        <w:t>finansieret af kommercialisering af modeller med begrænsede, men fokuse- rede</w:t>
      </w:r>
      <w:r>
        <w:rPr>
          <w:spacing w:val="-2"/>
          <w:sz w:val="18"/>
        </w:rPr>
        <w:t> </w:t>
      </w:r>
      <w:r>
        <w:rPr>
          <w:sz w:val="18"/>
        </w:rPr>
        <w:t>anvendelsesmuligheder</w:t>
      </w:r>
    </w:p>
    <w:p>
      <w:pPr>
        <w:pStyle w:val="ListParagraph"/>
        <w:numPr>
          <w:ilvl w:val="3"/>
          <w:numId w:val="13"/>
        </w:numPr>
        <w:tabs>
          <w:tab w:pos="1082" w:val="left" w:leader="none"/>
          <w:tab w:pos="1083" w:val="left" w:leader="none"/>
        </w:tabs>
        <w:spacing w:line="261" w:lineRule="auto" w:before="1" w:after="0"/>
        <w:ind w:left="1082" w:right="1298" w:hanging="340"/>
        <w:jc w:val="left"/>
        <w:rPr>
          <w:sz w:val="18"/>
        </w:rPr>
      </w:pPr>
      <w:r>
        <w:rPr>
          <w:b/>
          <w:sz w:val="18"/>
        </w:rPr>
        <w:t>Målrettet mod kommercielle markeder </w:t>
      </w:r>
      <w:r>
        <w:rPr>
          <w:sz w:val="18"/>
        </w:rPr>
        <w:t>som eksempelvis rige individer eller forbrugermar- kedet</w:t>
      </w:r>
    </w:p>
    <w:p>
      <w:pPr>
        <w:pStyle w:val="ListParagraph"/>
        <w:numPr>
          <w:ilvl w:val="3"/>
          <w:numId w:val="13"/>
        </w:numPr>
        <w:tabs>
          <w:tab w:pos="1082" w:val="left" w:leader="none"/>
          <w:tab w:pos="1083" w:val="left" w:leader="none"/>
        </w:tabs>
        <w:spacing w:line="240" w:lineRule="auto" w:before="2" w:after="0"/>
        <w:ind w:left="1082" w:right="0" w:hanging="340"/>
        <w:jc w:val="left"/>
        <w:rPr>
          <w:sz w:val="18"/>
        </w:rPr>
      </w:pPr>
      <w:r>
        <w:rPr>
          <w:b/>
          <w:sz w:val="18"/>
        </w:rPr>
        <w:t>Lukrativt tilbagebetalingspotentiale </w:t>
      </w:r>
      <w:r>
        <w:rPr>
          <w:sz w:val="18"/>
        </w:rPr>
        <w:t>pga. høj efterspørgsel og</w:t>
      </w:r>
      <w:r>
        <w:rPr>
          <w:spacing w:val="-3"/>
          <w:sz w:val="18"/>
        </w:rPr>
        <w:t> </w:t>
      </w:r>
      <w:r>
        <w:rPr>
          <w:sz w:val="18"/>
        </w:rPr>
        <w:t>stordriftsfordele</w:t>
      </w:r>
    </w:p>
    <w:p>
      <w:pPr>
        <w:pStyle w:val="BodyText"/>
        <w:spacing w:before="4"/>
        <w:rPr>
          <w:sz w:val="21"/>
        </w:rPr>
      </w:pPr>
    </w:p>
    <w:p>
      <w:pPr>
        <w:pStyle w:val="BodyText"/>
        <w:spacing w:line="264" w:lineRule="auto"/>
        <w:ind w:left="742" w:right="1149"/>
      </w:pPr>
      <w:r>
        <w:rPr/>
        <w:t>Et oprindeligt mål var at øge menneskets tilstedeværelse i rummet, men dette mål blev siden udvi- det til at dække kommercielle og samfundsmæssige mål (billig adgang til rummet, satellitbaseret bredbånd og kommunikation).</w:t>
      </w:r>
    </w:p>
    <w:p>
      <w:pPr>
        <w:pStyle w:val="BodyText"/>
        <w:spacing w:before="7"/>
        <w:rPr>
          <w:sz w:val="19"/>
        </w:rPr>
      </w:pPr>
    </w:p>
    <w:p>
      <w:pPr>
        <w:pStyle w:val="BodyText"/>
        <w:spacing w:line="264" w:lineRule="auto"/>
        <w:ind w:left="742" w:right="1207"/>
      </w:pPr>
      <w:r>
        <w:rPr/>
        <w:t>Skønt New Space indbefatter mange af de områder, hvor rumøkonomien udvikler sig, er der andre områder med relevans for Danmark. Disse er refereret og diskuteret nedenfor:</w:t>
      </w:r>
    </w:p>
    <w:p>
      <w:pPr>
        <w:pStyle w:val="BodyText"/>
        <w:spacing w:before="8"/>
        <w:rPr>
          <w:sz w:val="19"/>
        </w:rPr>
      </w:pPr>
    </w:p>
    <w:p>
      <w:pPr>
        <w:pStyle w:val="ListParagraph"/>
        <w:numPr>
          <w:ilvl w:val="3"/>
          <w:numId w:val="13"/>
        </w:numPr>
        <w:tabs>
          <w:tab w:pos="1101" w:val="left" w:leader="none"/>
          <w:tab w:pos="1102" w:val="left" w:leader="none"/>
        </w:tabs>
        <w:spacing w:line="240" w:lineRule="auto" w:before="0" w:after="0"/>
        <w:ind w:left="1102" w:right="0" w:hanging="360"/>
        <w:jc w:val="left"/>
        <w:rPr>
          <w:b/>
          <w:sz w:val="18"/>
        </w:rPr>
      </w:pPr>
      <w:r>
        <w:rPr>
          <w:b/>
          <w:sz w:val="18"/>
        </w:rPr>
        <w:t>New Space</w:t>
      </w:r>
      <w:r>
        <w:rPr>
          <w:b/>
          <w:spacing w:val="-1"/>
          <w:sz w:val="18"/>
        </w:rPr>
        <w:t> </w:t>
      </w:r>
      <w:r>
        <w:rPr>
          <w:b/>
          <w:sz w:val="18"/>
        </w:rPr>
        <w:t>Age</w:t>
      </w:r>
    </w:p>
    <w:p>
      <w:pPr>
        <w:pStyle w:val="BodyText"/>
        <w:spacing w:line="264" w:lineRule="auto" w:before="20"/>
        <w:ind w:left="1101" w:right="1153"/>
      </w:pPr>
      <w:r>
        <w:rPr/>
        <w:t>Takket være årtiers investeringer i forskning og udvikling, udforskning og konstruktion af infra- struktur er vi nu på vej ind i en ”New Space Age” – applikationernes tid. I kraft af udbredelsen af smartphones og satellitbaseret kommunikation har forholdet mellem den almindelige borger og rummet ændret sig mere i det seneste årti end i de fire foregående årtier tilsammen.</w:t>
      </w:r>
    </w:p>
    <w:p>
      <w:pPr>
        <w:pStyle w:val="BodyText"/>
        <w:spacing w:before="4"/>
        <w:rPr>
          <w:sz w:val="11"/>
        </w:rPr>
      </w:pPr>
    </w:p>
    <w:p>
      <w:pPr>
        <w:pStyle w:val="BodyText"/>
        <w:spacing w:line="264" w:lineRule="auto" w:before="100"/>
        <w:ind w:left="1594" w:right="1410"/>
      </w:pPr>
      <w:r>
        <w:rPr/>
        <w:drawing>
          <wp:anchor distT="0" distB="0" distL="0" distR="0" allowOverlap="1" layoutInCell="1" locked="0" behindDoc="0" simplePos="0" relativeHeight="6424">
            <wp:simplePos x="0" y="0"/>
            <wp:positionH relativeFrom="page">
              <wp:posOffset>1351914</wp:posOffset>
            </wp:positionH>
            <wp:positionV relativeFrom="paragraph">
              <wp:posOffset>88879</wp:posOffset>
            </wp:positionV>
            <wp:extent cx="117475" cy="88900"/>
            <wp:effectExtent l="0" t="0" r="0" b="0"/>
            <wp:wrapNone/>
            <wp:docPr id="59" name="image47.png" descr=""/>
            <wp:cNvGraphicFramePr>
              <a:graphicFrameLocks noChangeAspect="1"/>
            </wp:cNvGraphicFramePr>
            <a:graphic>
              <a:graphicData uri="http://schemas.openxmlformats.org/drawingml/2006/picture">
                <pic:pic>
                  <pic:nvPicPr>
                    <pic:cNvPr id="60" name="image47.png"/>
                    <pic:cNvPicPr/>
                  </pic:nvPicPr>
                  <pic:blipFill>
                    <a:blip r:embed="rId101" cstate="print"/>
                    <a:stretch>
                      <a:fillRect/>
                    </a:stretch>
                  </pic:blipFill>
                  <pic:spPr>
                    <a:xfrm>
                      <a:off x="0" y="0"/>
                      <a:ext cx="117475" cy="88900"/>
                    </a:xfrm>
                    <a:prstGeom prst="rect">
                      <a:avLst/>
                    </a:prstGeom>
                  </pic:spPr>
                </pic:pic>
              </a:graphicData>
            </a:graphic>
          </wp:anchor>
        </w:drawing>
      </w:r>
      <w:r>
        <w:rPr/>
        <w:t>Danske virksomheder inden for rumapplikationer (eksempelvis flådestyring og satellit- kommunikation) har vist, at der er kompetencer til at udnytte de markeder, der åbnes.</w:t>
      </w:r>
    </w:p>
    <w:p>
      <w:pPr>
        <w:pStyle w:val="BodyText"/>
        <w:spacing w:before="5"/>
        <w:rPr>
          <w:sz w:val="11"/>
        </w:rPr>
      </w:pPr>
    </w:p>
    <w:p>
      <w:pPr>
        <w:pStyle w:val="ListParagraph"/>
        <w:numPr>
          <w:ilvl w:val="3"/>
          <w:numId w:val="13"/>
        </w:numPr>
        <w:tabs>
          <w:tab w:pos="1099" w:val="left" w:leader="none"/>
          <w:tab w:pos="1100" w:val="left" w:leader="none"/>
        </w:tabs>
        <w:spacing w:line="240" w:lineRule="auto" w:before="100" w:after="0"/>
        <w:ind w:left="1099" w:right="0" w:hanging="357"/>
        <w:jc w:val="left"/>
        <w:rPr>
          <w:b/>
          <w:sz w:val="18"/>
        </w:rPr>
      </w:pPr>
      <w:r>
        <w:rPr>
          <w:b/>
          <w:sz w:val="18"/>
        </w:rPr>
        <w:t>Værdikædens</w:t>
      </w:r>
      <w:r>
        <w:rPr>
          <w:b/>
          <w:spacing w:val="-2"/>
          <w:sz w:val="18"/>
        </w:rPr>
        <w:t> </w:t>
      </w:r>
      <w:r>
        <w:rPr>
          <w:b/>
          <w:sz w:val="18"/>
        </w:rPr>
        <w:t>internationalisering</w:t>
      </w:r>
    </w:p>
    <w:p>
      <w:pPr>
        <w:pStyle w:val="BodyText"/>
        <w:spacing w:line="264" w:lineRule="auto" w:before="19"/>
        <w:ind w:left="1099" w:right="1370"/>
      </w:pPr>
      <w:r>
        <w:rPr/>
        <w:t>Som alle andre økonomiske sektorer skal rumøkonomien tilpasse sig globaliseringen og sikre succes på trods af international konkurrence. Danske virksomheder har succes med at vinde kontrakter fra ESA, NASA og andre internationale rumagenturer. Internationaliseringen er en mulighed for danske virksomheder til at vokse og eksportere produkter og tjenester til hele verden.</w:t>
      </w:r>
    </w:p>
    <w:p>
      <w:pPr>
        <w:pStyle w:val="BodyText"/>
        <w:spacing w:before="3"/>
        <w:rPr>
          <w:sz w:val="11"/>
        </w:rPr>
      </w:pPr>
    </w:p>
    <w:p>
      <w:pPr>
        <w:pStyle w:val="BodyText"/>
        <w:spacing w:line="264" w:lineRule="auto" w:before="100"/>
        <w:ind w:left="1594" w:right="1197"/>
      </w:pPr>
      <w:r>
        <w:rPr/>
        <w:drawing>
          <wp:anchor distT="0" distB="0" distL="0" distR="0" allowOverlap="1" layoutInCell="1" locked="0" behindDoc="0" simplePos="0" relativeHeight="6448">
            <wp:simplePos x="0" y="0"/>
            <wp:positionH relativeFrom="page">
              <wp:posOffset>1351914</wp:posOffset>
            </wp:positionH>
            <wp:positionV relativeFrom="paragraph">
              <wp:posOffset>88880</wp:posOffset>
            </wp:positionV>
            <wp:extent cx="117475" cy="88898"/>
            <wp:effectExtent l="0" t="0" r="0" b="0"/>
            <wp:wrapNone/>
            <wp:docPr id="61" name="image10.png" descr=""/>
            <wp:cNvGraphicFramePr>
              <a:graphicFrameLocks noChangeAspect="1"/>
            </wp:cNvGraphicFramePr>
            <a:graphic>
              <a:graphicData uri="http://schemas.openxmlformats.org/drawingml/2006/picture">
                <pic:pic>
                  <pic:nvPicPr>
                    <pic:cNvPr id="62" name="image10.png"/>
                    <pic:cNvPicPr/>
                  </pic:nvPicPr>
                  <pic:blipFill>
                    <a:blip r:embed="rId31" cstate="print"/>
                    <a:stretch>
                      <a:fillRect/>
                    </a:stretch>
                  </pic:blipFill>
                  <pic:spPr>
                    <a:xfrm>
                      <a:off x="0" y="0"/>
                      <a:ext cx="117475" cy="88898"/>
                    </a:xfrm>
                    <a:prstGeom prst="rect">
                      <a:avLst/>
                    </a:prstGeom>
                  </pic:spPr>
                </pic:pic>
              </a:graphicData>
            </a:graphic>
          </wp:anchor>
        </w:drawing>
      </w:r>
      <w:r>
        <w:rPr/>
        <w:t>Siden 2010 har danske virksomheder bidraget til satellitmissioner med ESA, NASA, EU- METSAT samt de japanske, russiske, canadiske, italienske og franske rumagenturer som kunder. Med mere end 90 % af eksporten af upstream-produkter og -tjenester samt fremstilling af brugerenheder er det tydeligt, at visse danske rumaktiviteter er godt stillet i forhold til at udnytte internationaliseringen i fremtiden.</w:t>
      </w:r>
      <w:r>
        <w:rPr>
          <w:w w:val="99"/>
          <w:position w:val="6"/>
          <w:sz w:val="8"/>
        </w:rPr>
        <w:t>95</w:t>
      </w:r>
      <w:r>
        <w:rPr>
          <w:position w:val="6"/>
          <w:sz w:val="8"/>
        </w:rPr>
        <w:t>  </w:t>
      </w:r>
      <w:r>
        <w:rPr/>
        <w:t>At mange danske rumvirksom- heder er ejet af udenlandske virksomheder, er et andet eksempel på, hvordan internatio- naliseringen påvirker Danmark.</w:t>
      </w:r>
    </w:p>
    <w:p>
      <w:pPr>
        <w:pStyle w:val="BodyText"/>
        <w:spacing w:before="2"/>
        <w:rPr>
          <w:sz w:val="11"/>
        </w:rPr>
      </w:pPr>
      <w:r>
        <w:rPr/>
        <w:pict>
          <v:line style="position:absolute;mso-position-horizontal-relative:page;mso-position-vertical-relative:paragraph;z-index:4352;mso-wrap-distance-left:0;mso-wrap-distance-right:0" from="85.103996pt,9.010331pt" to="229.123996pt,9.010331pt" stroked="true" strokeweight=".48004pt" strokecolor="#000000">
            <v:stroke dashstyle="solid"/>
            <w10:wrap type="topAndBottom"/>
          </v:line>
        </w:pict>
      </w:r>
    </w:p>
    <w:p>
      <w:pPr>
        <w:spacing w:before="99"/>
        <w:ind w:left="742" w:right="0" w:firstLine="0"/>
        <w:jc w:val="left"/>
        <w:rPr>
          <w:i/>
          <w:sz w:val="13"/>
        </w:rPr>
      </w:pPr>
      <w:r>
        <w:rPr>
          <w:position w:val="6"/>
          <w:sz w:val="8"/>
        </w:rPr>
        <w:t>93 </w:t>
      </w:r>
      <w:r>
        <w:rPr>
          <w:sz w:val="13"/>
        </w:rPr>
        <w:t>Space Foundation (2015) </w:t>
      </w:r>
      <w:r>
        <w:rPr>
          <w:i/>
          <w:sz w:val="13"/>
        </w:rPr>
        <w:t>The Space Report 2015.</w:t>
      </w:r>
    </w:p>
    <w:p>
      <w:pPr>
        <w:spacing w:line="316" w:lineRule="auto" w:before="43"/>
        <w:ind w:left="742" w:right="0" w:firstLine="0"/>
        <w:jc w:val="left"/>
        <w:rPr>
          <w:sz w:val="13"/>
        </w:rPr>
      </w:pPr>
      <w:r>
        <w:rPr>
          <w:position w:val="6"/>
          <w:sz w:val="8"/>
        </w:rPr>
        <w:t>94 </w:t>
      </w:r>
      <w:r>
        <w:rPr>
          <w:sz w:val="13"/>
        </w:rPr>
        <w:t>Kilder: Space Frontier Foundation </w:t>
      </w:r>
      <w:hyperlink r:id="rId102">
        <w:r>
          <w:rPr>
            <w:color w:val="009DDF"/>
            <w:sz w:val="13"/>
          </w:rPr>
          <w:t>http://spacefrontier.org/what-is-newspace/</w:t>
        </w:r>
        <w:r>
          <w:rPr>
            <w:sz w:val="13"/>
          </w:rPr>
          <w:t>. </w:t>
        </w:r>
      </w:hyperlink>
      <w:r>
        <w:rPr>
          <w:sz w:val="13"/>
        </w:rPr>
        <w:t>Lindsey, Clark S. "Defining NewSpace", Hobby Space </w:t>
      </w:r>
      <w:hyperlink r:id="rId103">
        <w:r>
          <w:rPr>
            <w:color w:val="009DDF"/>
            <w:sz w:val="13"/>
          </w:rPr>
          <w:t>http://www.hobbyspace.com/NewSpace/index.html#Define </w:t>
        </w:r>
      </w:hyperlink>
      <w:r>
        <w:rPr>
          <w:sz w:val="13"/>
        </w:rPr>
        <w:t>(begge tilgået: 15</w:t>
      </w:r>
      <w:r>
        <w:rPr>
          <w:sz w:val="13"/>
          <w:vertAlign w:val="superscript"/>
        </w:rPr>
        <w:t>th</w:t>
      </w:r>
      <w:r>
        <w:rPr>
          <w:sz w:val="13"/>
          <w:vertAlign w:val="baseline"/>
        </w:rPr>
        <w:t> October 2015).</w:t>
      </w:r>
    </w:p>
    <w:p>
      <w:pPr>
        <w:spacing w:line="161" w:lineRule="exact" w:before="0"/>
        <w:ind w:left="742" w:right="0" w:firstLine="0"/>
        <w:jc w:val="left"/>
        <w:rPr>
          <w:sz w:val="13"/>
        </w:rPr>
      </w:pPr>
      <w:r>
        <w:rPr>
          <w:position w:val="6"/>
          <w:sz w:val="8"/>
        </w:rPr>
        <w:t>95 </w:t>
      </w:r>
      <w:r>
        <w:rPr>
          <w:sz w:val="13"/>
        </w:rPr>
        <w:t>DTU og Terma hjemmesider: </w:t>
      </w:r>
      <w:hyperlink r:id="rId95">
        <w:r>
          <w:rPr>
            <w:color w:val="009DDF"/>
            <w:sz w:val="13"/>
          </w:rPr>
          <w:t>http://www.space.dtu.dk/Forskning/Projekter/Oersted_satellitten </w:t>
        </w:r>
      </w:hyperlink>
      <w:r>
        <w:rPr>
          <w:sz w:val="13"/>
        </w:rPr>
        <w:t>og</w:t>
      </w:r>
    </w:p>
    <w:p>
      <w:pPr>
        <w:spacing w:before="51"/>
        <w:ind w:left="742" w:right="0" w:firstLine="0"/>
        <w:jc w:val="left"/>
        <w:rPr>
          <w:sz w:val="13"/>
        </w:rPr>
      </w:pPr>
      <w:hyperlink r:id="rId94">
        <w:r>
          <w:rPr>
            <w:color w:val="009DDF"/>
            <w:sz w:val="13"/>
          </w:rPr>
          <w:t>http://www.terma.com/space/terma-space-missions/.</w:t>
        </w:r>
      </w:hyperlink>
    </w:p>
    <w:p>
      <w:pPr>
        <w:spacing w:after="0"/>
        <w:jc w:val="left"/>
        <w:rPr>
          <w:sz w:val="13"/>
        </w:rPr>
        <w:sectPr>
          <w:pgSz w:w="11910" w:h="16840"/>
          <w:pgMar w:header="0" w:footer="1056" w:top="1580" w:bottom="1240" w:left="960" w:right="0"/>
        </w:sectPr>
      </w:pPr>
    </w:p>
    <w:p>
      <w:pPr>
        <w:pStyle w:val="BodyText"/>
        <w:spacing w:before="11"/>
        <w:rPr>
          <w:sz w:val="21"/>
        </w:rPr>
      </w:pPr>
    </w:p>
    <w:p>
      <w:pPr>
        <w:pStyle w:val="ListParagraph"/>
        <w:numPr>
          <w:ilvl w:val="3"/>
          <w:numId w:val="13"/>
        </w:numPr>
        <w:tabs>
          <w:tab w:pos="1099" w:val="left" w:leader="none"/>
          <w:tab w:pos="1100" w:val="left" w:leader="none"/>
        </w:tabs>
        <w:spacing w:line="240" w:lineRule="auto" w:before="100" w:after="0"/>
        <w:ind w:left="1099" w:right="0" w:hanging="357"/>
        <w:jc w:val="left"/>
        <w:rPr>
          <w:b/>
          <w:sz w:val="18"/>
        </w:rPr>
      </w:pPr>
      <w:r>
        <w:rPr>
          <w:b/>
          <w:sz w:val="18"/>
        </w:rPr>
        <w:t>Internet-of-Everything and</w:t>
      </w:r>
      <w:r>
        <w:rPr>
          <w:b/>
          <w:spacing w:val="-1"/>
          <w:sz w:val="18"/>
        </w:rPr>
        <w:t> </w:t>
      </w:r>
      <w:r>
        <w:rPr>
          <w:b/>
          <w:sz w:val="18"/>
        </w:rPr>
        <w:t>Everywhere</w:t>
      </w:r>
    </w:p>
    <w:p>
      <w:pPr>
        <w:pStyle w:val="BodyText"/>
        <w:spacing w:line="264" w:lineRule="auto" w:before="20"/>
        <w:ind w:left="1101" w:right="1129"/>
      </w:pPr>
      <w:r>
        <w:rPr/>
        <w:t>I fremtiden vil Internet-of-Things (IoT) skifte til Internet-of-Everything, hvor alle produkter forventes at være forbundet til internettet. Mange virksomheder har forsøgt at beregne marke- dets størrelse, og Cisco estimerer eksempelvis, at markedet kommer til at skabe værdi for $19 billioner over det næste årti.</w:t>
      </w:r>
      <w:r>
        <w:rPr>
          <w:w w:val="99"/>
          <w:position w:val="6"/>
          <w:sz w:val="8"/>
        </w:rPr>
        <w:t>96</w:t>
      </w:r>
      <w:r>
        <w:rPr>
          <w:position w:val="6"/>
          <w:sz w:val="8"/>
        </w:rPr>
        <w:t>  </w:t>
      </w:r>
      <w:r>
        <w:rPr/>
        <w:t>For at skabe værdi skal ’produktet’ være forbundet til internettet, og satellitkommunikation er uovertruffen til at skabe forbindelse rundt omkring på kloden.</w:t>
      </w:r>
    </w:p>
    <w:p>
      <w:pPr>
        <w:pStyle w:val="BodyText"/>
        <w:spacing w:line="264" w:lineRule="auto"/>
        <w:ind w:left="1101" w:right="1296"/>
      </w:pPr>
      <w:r>
        <w:rPr/>
        <w:t>Derudover gælder, at produkter der ved hvor de er (eksempelvis ved GNSS), kan skabe mere værdi.</w:t>
      </w:r>
    </w:p>
    <w:p>
      <w:pPr>
        <w:pStyle w:val="BodyText"/>
        <w:spacing w:before="1"/>
        <w:rPr>
          <w:sz w:val="11"/>
        </w:rPr>
      </w:pPr>
    </w:p>
    <w:p>
      <w:pPr>
        <w:pStyle w:val="BodyText"/>
        <w:spacing w:line="264" w:lineRule="auto" w:before="100"/>
        <w:ind w:left="1594" w:right="1249"/>
      </w:pPr>
      <w:r>
        <w:rPr/>
        <w:drawing>
          <wp:anchor distT="0" distB="0" distL="0" distR="0" allowOverlap="1" layoutInCell="1" locked="0" behindDoc="0" simplePos="0" relativeHeight="6496">
            <wp:simplePos x="0" y="0"/>
            <wp:positionH relativeFrom="page">
              <wp:posOffset>1351914</wp:posOffset>
            </wp:positionH>
            <wp:positionV relativeFrom="paragraph">
              <wp:posOffset>89513</wp:posOffset>
            </wp:positionV>
            <wp:extent cx="117475" cy="88900"/>
            <wp:effectExtent l="0" t="0" r="0" b="0"/>
            <wp:wrapNone/>
            <wp:docPr id="63" name="image47.png" descr=""/>
            <wp:cNvGraphicFramePr>
              <a:graphicFrameLocks noChangeAspect="1"/>
            </wp:cNvGraphicFramePr>
            <a:graphic>
              <a:graphicData uri="http://schemas.openxmlformats.org/drawingml/2006/picture">
                <pic:pic>
                  <pic:nvPicPr>
                    <pic:cNvPr id="64" name="image47.png"/>
                    <pic:cNvPicPr/>
                  </pic:nvPicPr>
                  <pic:blipFill>
                    <a:blip r:embed="rId101" cstate="print"/>
                    <a:stretch>
                      <a:fillRect/>
                    </a:stretch>
                  </pic:blipFill>
                  <pic:spPr>
                    <a:xfrm>
                      <a:off x="0" y="0"/>
                      <a:ext cx="117475" cy="88900"/>
                    </a:xfrm>
                    <a:prstGeom prst="rect">
                      <a:avLst/>
                    </a:prstGeom>
                  </pic:spPr>
                </pic:pic>
              </a:graphicData>
            </a:graphic>
          </wp:anchor>
        </w:drawing>
      </w:r>
      <w:r>
        <w:rPr/>
        <w:t>Flådestyring er en af de mest udviklede IoT-applikationer, og danske virksomheder er væsentlige spillere på det hjemlige marked. Virksomheder, der fremstiller enheder til sa- tellitkommunikation som Cobham Satcom og Satcom1 (kommunikationsantenner til fly), er godt stillede til at udnytte det voksende IoT-marked.</w:t>
      </w:r>
    </w:p>
    <w:p>
      <w:pPr>
        <w:pStyle w:val="BodyText"/>
        <w:spacing w:before="5"/>
        <w:rPr>
          <w:sz w:val="11"/>
        </w:rPr>
      </w:pPr>
    </w:p>
    <w:p>
      <w:pPr>
        <w:pStyle w:val="ListParagraph"/>
        <w:numPr>
          <w:ilvl w:val="3"/>
          <w:numId w:val="13"/>
        </w:numPr>
        <w:tabs>
          <w:tab w:pos="1099" w:val="left" w:leader="none"/>
          <w:tab w:pos="1100" w:val="left" w:leader="none"/>
        </w:tabs>
        <w:spacing w:line="240" w:lineRule="auto" w:before="100" w:after="0"/>
        <w:ind w:left="1099" w:right="0" w:hanging="357"/>
        <w:jc w:val="left"/>
        <w:rPr>
          <w:b/>
          <w:sz w:val="18"/>
        </w:rPr>
      </w:pPr>
      <w:r>
        <w:rPr>
          <w:b/>
          <w:sz w:val="18"/>
        </w:rPr>
        <w:t>Small Satellite</w:t>
      </w:r>
      <w:r>
        <w:rPr>
          <w:b/>
          <w:spacing w:val="-2"/>
          <w:sz w:val="18"/>
        </w:rPr>
        <w:t> </w:t>
      </w:r>
      <w:r>
        <w:rPr>
          <w:b/>
          <w:sz w:val="18"/>
        </w:rPr>
        <w:t>Revolution</w:t>
      </w:r>
    </w:p>
    <w:p>
      <w:pPr>
        <w:pStyle w:val="BodyText"/>
        <w:spacing w:line="264" w:lineRule="auto" w:before="19"/>
        <w:ind w:left="1099" w:right="1163"/>
        <w:rPr>
          <w:sz w:val="8"/>
        </w:rPr>
      </w:pPr>
      <w:r>
        <w:rPr/>
        <w:t>Udgifterne til transport af isenkram fra jorden til kredsløb beregnes baseret på vægt og er be- tragtelige. NASA beregner således, at det koster ca. 20.000 $ pr. kilogram at nå Low Earth </w:t>
      </w:r>
      <w:r>
        <w:rPr>
          <w:spacing w:val="-1"/>
        </w:rPr>
        <w:t>Orb</w:t>
      </w:r>
      <w:r>
        <w:rPr>
          <w:spacing w:val="1"/>
        </w:rPr>
        <w:t>i</w:t>
      </w:r>
      <w:r>
        <w:rPr/>
        <w:t>t</w:t>
      </w:r>
      <w:r>
        <w:rPr>
          <w:spacing w:val="-3"/>
        </w:rPr>
        <w:t>.</w:t>
      </w:r>
      <w:r>
        <w:rPr>
          <w:w w:val="99"/>
          <w:position w:val="6"/>
          <w:sz w:val="8"/>
        </w:rPr>
        <w:t>97</w:t>
      </w:r>
      <w:r>
        <w:rPr>
          <w:position w:val="6"/>
          <w:sz w:val="8"/>
        </w:rPr>
        <w:t> </w:t>
      </w:r>
      <w:r>
        <w:rPr>
          <w:spacing w:val="6"/>
          <w:position w:val="6"/>
          <w:sz w:val="8"/>
        </w:rPr>
        <w:t> </w:t>
      </w:r>
      <w:r>
        <w:rPr>
          <w:spacing w:val="-1"/>
        </w:rPr>
        <w:t>M</w:t>
      </w:r>
      <w:r>
        <w:rPr/>
        <w:t>ed</w:t>
      </w:r>
      <w:r>
        <w:rPr>
          <w:spacing w:val="-1"/>
        </w:rPr>
        <w:t> </w:t>
      </w:r>
      <w:r>
        <w:rPr/>
        <w:t>a</w:t>
      </w:r>
      <w:r>
        <w:rPr>
          <w:spacing w:val="-2"/>
        </w:rPr>
        <w:t>n</w:t>
      </w:r>
      <w:r>
        <w:rPr/>
        <w:t>dre</w:t>
      </w:r>
      <w:r>
        <w:rPr>
          <w:spacing w:val="-1"/>
        </w:rPr>
        <w:t> </w:t>
      </w:r>
      <w:r>
        <w:rPr/>
        <w:t>ord</w:t>
      </w:r>
      <w:r>
        <w:rPr>
          <w:spacing w:val="-1"/>
        </w:rPr>
        <w:t> k</w:t>
      </w:r>
      <w:r>
        <w:rPr/>
        <w:t>an</w:t>
      </w:r>
      <w:r>
        <w:rPr>
          <w:spacing w:val="2"/>
        </w:rPr>
        <w:t> </w:t>
      </w:r>
      <w:r>
        <w:rPr/>
        <w:t>ma</w:t>
      </w:r>
      <w:r>
        <w:rPr>
          <w:spacing w:val="-2"/>
        </w:rPr>
        <w:t>n</w:t>
      </w:r>
      <w:r>
        <w:rPr/>
        <w:t>ge</w:t>
      </w:r>
      <w:r>
        <w:rPr>
          <w:spacing w:val="-1"/>
        </w:rPr>
        <w:t> </w:t>
      </w:r>
      <w:r>
        <w:rPr>
          <w:spacing w:val="-2"/>
        </w:rPr>
        <w:t>u</w:t>
      </w:r>
      <w:r>
        <w:rPr/>
        <w:t>dgi</w:t>
      </w:r>
      <w:r>
        <w:rPr>
          <w:spacing w:val="-1"/>
        </w:rPr>
        <w:t>f</w:t>
      </w:r>
      <w:r>
        <w:rPr/>
        <w:t>ter</w:t>
      </w:r>
      <w:r>
        <w:rPr>
          <w:spacing w:val="-1"/>
        </w:rPr>
        <w:t> </w:t>
      </w:r>
      <w:r>
        <w:rPr/>
        <w:t>spare</w:t>
      </w:r>
      <w:r>
        <w:rPr>
          <w:spacing w:val="3"/>
        </w:rPr>
        <w:t>s</w:t>
      </w:r>
      <w:r>
        <w:rPr/>
        <w:t>,</w:t>
      </w:r>
      <w:r>
        <w:rPr>
          <w:spacing w:val="-2"/>
        </w:rPr>
        <w:t> h</w:t>
      </w:r>
      <w:r>
        <w:rPr>
          <w:spacing w:val="-1"/>
        </w:rPr>
        <w:t>v</w:t>
      </w:r>
      <w:r>
        <w:rPr/>
        <w:t>is</w:t>
      </w:r>
      <w:r>
        <w:rPr>
          <w:spacing w:val="-1"/>
        </w:rPr>
        <w:t> </w:t>
      </w:r>
      <w:r>
        <w:rPr/>
        <w:t>det er</w:t>
      </w:r>
      <w:r>
        <w:rPr>
          <w:spacing w:val="-1"/>
        </w:rPr>
        <w:t> </w:t>
      </w:r>
      <w:r>
        <w:rPr/>
        <w:t>m</w:t>
      </w:r>
      <w:r>
        <w:rPr>
          <w:spacing w:val="-2"/>
        </w:rPr>
        <w:t>u</w:t>
      </w:r>
      <w:r>
        <w:rPr/>
        <w:t>ligt at</w:t>
      </w:r>
      <w:r>
        <w:rPr>
          <w:spacing w:val="-1"/>
        </w:rPr>
        <w:t> </w:t>
      </w:r>
      <w:r>
        <w:rPr/>
        <w:t>r</w:t>
      </w:r>
      <w:r>
        <w:rPr>
          <w:spacing w:val="-2"/>
        </w:rPr>
        <w:t>e</w:t>
      </w:r>
      <w:r>
        <w:rPr/>
        <w:t>d</w:t>
      </w:r>
      <w:r>
        <w:rPr>
          <w:spacing w:val="-2"/>
        </w:rPr>
        <w:t>u</w:t>
      </w:r>
      <w:r>
        <w:rPr/>
        <w:t>cere</w:t>
      </w:r>
      <w:r>
        <w:rPr>
          <w:spacing w:val="-3"/>
        </w:rPr>
        <w:t> </w:t>
      </w:r>
      <w:r>
        <w:rPr/>
        <w:t>satel</w:t>
      </w:r>
      <w:r>
        <w:rPr>
          <w:spacing w:val="-2"/>
        </w:rPr>
        <w:t>l</w:t>
      </w:r>
      <w:r>
        <w:rPr/>
        <w:t>it</w:t>
      </w:r>
      <w:r>
        <w:rPr>
          <w:spacing w:val="-2"/>
        </w:rPr>
        <w:t>t</w:t>
      </w:r>
      <w:r>
        <w:rPr/>
        <w:t>ers vægt. Små og nano-satellitter som CubeSats gør det muligt at sende mange flere satellitter i kredsløb for den samme pris som en af de store, og innovative virksomheder som Planetlabs og SpaceX har planer om store konstellationer af små satellitter i de kommende år. I 2014 blev 191</w:t>
      </w:r>
      <w:r>
        <w:rPr>
          <w:spacing w:val="-1"/>
        </w:rPr>
        <w:t> </w:t>
      </w:r>
      <w:r>
        <w:rPr/>
        <w:t>sat</w:t>
      </w:r>
      <w:r>
        <w:rPr>
          <w:spacing w:val="-2"/>
        </w:rPr>
        <w:t>e</w:t>
      </w:r>
      <w:r>
        <w:rPr/>
        <w:t>ll</w:t>
      </w:r>
      <w:r>
        <w:rPr>
          <w:spacing w:val="-2"/>
        </w:rPr>
        <w:t>i</w:t>
      </w:r>
      <w:r>
        <w:rPr/>
        <w:t>t</w:t>
      </w:r>
      <w:r>
        <w:rPr>
          <w:spacing w:val="-2"/>
        </w:rPr>
        <w:t>t</w:t>
      </w:r>
      <w:r>
        <w:rPr/>
        <w:t>er</w:t>
      </w:r>
      <w:r>
        <w:rPr>
          <w:spacing w:val="-1"/>
        </w:rPr>
        <w:t> </w:t>
      </w:r>
      <w:r>
        <w:rPr/>
        <w:t>mel</w:t>
      </w:r>
      <w:r>
        <w:rPr>
          <w:spacing w:val="-2"/>
        </w:rPr>
        <w:t>l</w:t>
      </w:r>
      <w:r>
        <w:rPr/>
        <w:t>em</w:t>
      </w:r>
      <w:r>
        <w:rPr>
          <w:spacing w:val="-1"/>
        </w:rPr>
        <w:t> </w:t>
      </w:r>
      <w:r>
        <w:rPr/>
        <w:t>1</w:t>
      </w:r>
      <w:r>
        <w:rPr>
          <w:spacing w:val="2"/>
        </w:rPr>
        <w:t> </w:t>
      </w:r>
      <w:r>
        <w:rPr>
          <w:spacing w:val="-1"/>
        </w:rPr>
        <w:t>k</w:t>
      </w:r>
      <w:r>
        <w:rPr/>
        <w:t>g</w:t>
      </w:r>
      <w:r>
        <w:rPr>
          <w:spacing w:val="-1"/>
        </w:rPr>
        <w:t> </w:t>
      </w:r>
      <w:r>
        <w:rPr/>
        <w:t>og</w:t>
      </w:r>
      <w:r>
        <w:rPr>
          <w:spacing w:val="-1"/>
        </w:rPr>
        <w:t> </w:t>
      </w:r>
      <w:r>
        <w:rPr/>
        <w:t>100 </w:t>
      </w:r>
      <w:r>
        <w:rPr>
          <w:spacing w:val="-1"/>
        </w:rPr>
        <w:t>k</w:t>
      </w:r>
      <w:r>
        <w:rPr/>
        <w:t>g</w:t>
      </w:r>
      <w:r>
        <w:rPr>
          <w:spacing w:val="-1"/>
        </w:rPr>
        <w:t> </w:t>
      </w:r>
      <w:r>
        <w:rPr/>
        <w:t>opse</w:t>
      </w:r>
      <w:r>
        <w:rPr>
          <w:spacing w:val="-1"/>
        </w:rPr>
        <w:t>n</w:t>
      </w:r>
      <w:r>
        <w:rPr/>
        <w:t>dt</w:t>
      </w:r>
      <w:r>
        <w:rPr>
          <w:spacing w:val="1"/>
        </w:rPr>
        <w:t> </w:t>
      </w:r>
      <w:r>
        <w:rPr/>
        <w:t>–</w:t>
      </w:r>
      <w:r>
        <w:rPr>
          <w:spacing w:val="-1"/>
        </w:rPr>
        <w:t> </w:t>
      </w:r>
      <w:r>
        <w:rPr/>
        <w:t>en</w:t>
      </w:r>
      <w:r>
        <w:rPr>
          <w:spacing w:val="-2"/>
        </w:rPr>
        <w:t> </w:t>
      </w:r>
      <w:r>
        <w:rPr/>
        <w:t>s</w:t>
      </w:r>
      <w:r>
        <w:rPr>
          <w:spacing w:val="-2"/>
        </w:rPr>
        <w:t>t</w:t>
      </w:r>
      <w:r>
        <w:rPr/>
        <w:t>ig</w:t>
      </w:r>
      <w:r>
        <w:rPr>
          <w:spacing w:val="-2"/>
        </w:rPr>
        <w:t>n</w:t>
      </w:r>
      <w:r>
        <w:rPr/>
        <w:t>i</w:t>
      </w:r>
      <w:r>
        <w:rPr>
          <w:spacing w:val="-2"/>
        </w:rPr>
        <w:t>n</w:t>
      </w:r>
      <w:r>
        <w:rPr/>
        <w:t>g</w:t>
      </w:r>
      <w:r>
        <w:rPr>
          <w:spacing w:val="-1"/>
        </w:rPr>
        <w:t> </w:t>
      </w:r>
      <w:r>
        <w:rPr/>
        <w:t>på</w:t>
      </w:r>
      <w:r>
        <w:rPr>
          <w:spacing w:val="-1"/>
        </w:rPr>
        <w:t> </w:t>
      </w:r>
      <w:r>
        <w:rPr/>
        <w:t>95</w:t>
      </w:r>
      <w:r>
        <w:rPr>
          <w:spacing w:val="1"/>
        </w:rPr>
        <w:t> </w:t>
      </w:r>
      <w:r>
        <w:rPr/>
        <w:t>%</w:t>
      </w:r>
      <w:r>
        <w:rPr>
          <w:spacing w:val="-1"/>
        </w:rPr>
        <w:t> </w:t>
      </w:r>
      <w:r>
        <w:rPr/>
        <w:t>i </w:t>
      </w:r>
      <w:r>
        <w:rPr>
          <w:spacing w:val="-1"/>
        </w:rPr>
        <w:t>f</w:t>
      </w:r>
      <w:r>
        <w:rPr/>
        <w:t>or</w:t>
      </w:r>
      <w:r>
        <w:rPr>
          <w:spacing w:val="-2"/>
        </w:rPr>
        <w:t>h</w:t>
      </w:r>
      <w:r>
        <w:rPr/>
        <w:t>old</w:t>
      </w:r>
      <w:r>
        <w:rPr>
          <w:spacing w:val="-1"/>
        </w:rPr>
        <w:t> </w:t>
      </w:r>
      <w:r>
        <w:rPr/>
        <w:t>t</w:t>
      </w:r>
      <w:r>
        <w:rPr>
          <w:spacing w:val="-2"/>
        </w:rPr>
        <w:t>i</w:t>
      </w:r>
      <w:r>
        <w:rPr/>
        <w:t>l</w:t>
      </w:r>
      <w:r>
        <w:rPr>
          <w:spacing w:val="-3"/>
        </w:rPr>
        <w:t> </w:t>
      </w:r>
      <w:r>
        <w:rPr/>
        <w:t>året </w:t>
      </w:r>
      <w:r>
        <w:rPr>
          <w:spacing w:val="-1"/>
        </w:rPr>
        <w:t>f</w:t>
      </w:r>
      <w:r>
        <w:rPr/>
        <w:t>ør.</w:t>
      </w:r>
      <w:r>
        <w:rPr>
          <w:w w:val="99"/>
          <w:position w:val="6"/>
          <w:sz w:val="8"/>
        </w:rPr>
        <w:t>98</w:t>
      </w:r>
    </w:p>
    <w:p>
      <w:pPr>
        <w:pStyle w:val="BodyText"/>
        <w:spacing w:before="2"/>
        <w:rPr>
          <w:sz w:val="11"/>
        </w:rPr>
      </w:pPr>
    </w:p>
    <w:p>
      <w:pPr>
        <w:pStyle w:val="BodyText"/>
        <w:spacing w:line="264" w:lineRule="auto" w:before="100"/>
        <w:ind w:left="1594" w:right="1132"/>
      </w:pPr>
      <w:r>
        <w:rPr/>
        <w:drawing>
          <wp:anchor distT="0" distB="0" distL="0" distR="0" allowOverlap="1" layoutInCell="1" locked="0" behindDoc="0" simplePos="0" relativeHeight="6520">
            <wp:simplePos x="0" y="0"/>
            <wp:positionH relativeFrom="page">
              <wp:posOffset>1351914</wp:posOffset>
            </wp:positionH>
            <wp:positionV relativeFrom="paragraph">
              <wp:posOffset>89132</wp:posOffset>
            </wp:positionV>
            <wp:extent cx="117475" cy="88900"/>
            <wp:effectExtent l="0" t="0" r="0" b="0"/>
            <wp:wrapNone/>
            <wp:docPr id="65" name="image10.png" descr=""/>
            <wp:cNvGraphicFramePr>
              <a:graphicFrameLocks noChangeAspect="1"/>
            </wp:cNvGraphicFramePr>
            <a:graphic>
              <a:graphicData uri="http://schemas.openxmlformats.org/drawingml/2006/picture">
                <pic:pic>
                  <pic:nvPicPr>
                    <pic:cNvPr id="66" name="image10.png"/>
                    <pic:cNvPicPr/>
                  </pic:nvPicPr>
                  <pic:blipFill>
                    <a:blip r:embed="rId31" cstate="print"/>
                    <a:stretch>
                      <a:fillRect/>
                    </a:stretch>
                  </pic:blipFill>
                  <pic:spPr>
                    <a:xfrm>
                      <a:off x="0" y="0"/>
                      <a:ext cx="117475" cy="88900"/>
                    </a:xfrm>
                    <a:prstGeom prst="rect">
                      <a:avLst/>
                    </a:prstGeom>
                  </pic:spPr>
                </pic:pic>
              </a:graphicData>
            </a:graphic>
          </wp:anchor>
        </w:drawing>
      </w:r>
      <w:r>
        <w:rPr/>
        <w:t>GomSpace er et stærkt eksempel på en dansk spiller inden for CubeSats, og virksomhe- den kan få stor gavn af den stigende tendens til opsendelser af CubeSats. Aalborg Univer- sitet og DTU havde satellitter på den første opsendelse af CubeSats, og studentermiljøet på AAU har fortsat aktiviteten, senest med den opsendte satellit sammen med Sentinel 1- B, 25. april 2016.</w:t>
      </w:r>
      <w:r>
        <w:rPr>
          <w:vertAlign w:val="superscript"/>
        </w:rPr>
        <w:t>99</w:t>
      </w:r>
      <w:r>
        <w:rPr>
          <w:vertAlign w:val="baseline"/>
        </w:rPr>
        <w:t> GomSpace blev startet af en del af det oprindelige team på den første satellit fra AAU.</w:t>
      </w:r>
    </w:p>
    <w:p>
      <w:pPr>
        <w:pStyle w:val="BodyText"/>
        <w:spacing w:before="10"/>
        <w:rPr>
          <w:sz w:val="12"/>
        </w:rPr>
      </w:pPr>
    </w:p>
    <w:p>
      <w:pPr>
        <w:pStyle w:val="Heading2"/>
        <w:numPr>
          <w:ilvl w:val="1"/>
          <w:numId w:val="13"/>
        </w:numPr>
        <w:tabs>
          <w:tab w:pos="741" w:val="left" w:leader="none"/>
          <w:tab w:pos="743" w:val="left" w:leader="none"/>
        </w:tabs>
        <w:spacing w:line="240" w:lineRule="auto" w:before="100" w:after="0"/>
        <w:ind w:left="742" w:right="0" w:hanging="624"/>
        <w:jc w:val="left"/>
      </w:pPr>
      <w:bookmarkStart w:name="_bookmark42" w:id="43"/>
      <w:bookmarkEnd w:id="43"/>
      <w:r>
        <w:rPr/>
        <w:t>F</w:t>
      </w:r>
      <w:r>
        <w:rPr/>
        <w:t>orskning</w:t>
      </w:r>
    </w:p>
    <w:p>
      <w:pPr>
        <w:pStyle w:val="BodyText"/>
        <w:spacing w:line="264" w:lineRule="auto" w:before="21"/>
        <w:ind w:left="742" w:right="1124"/>
      </w:pPr>
      <w:r>
        <w:rPr/>
        <w:t>Forskningsmæssige styrkepositioner kan vurderes på forskellige måder. I nærværende sammen- hæng fokuseres først og fremmest på tildeling af forskningsmidler, som en indikator for et områdes konkurrencemæssige evne til at tiltrække investeringer. Endvidere inddrages en bibliometrisk vur- dering af forskellige forskningsområders evne til at producere litteratur, hvilket også er en indikator på forskningsmæssig konkurrencekraft, da udgivelser bl.a. er afhængige af forskningsmidler, men også af konkurrence om optagelse i peer-reviewed tidsskrifter.</w:t>
      </w:r>
    </w:p>
    <w:p>
      <w:pPr>
        <w:pStyle w:val="BodyText"/>
        <w:spacing w:before="5"/>
        <w:rPr>
          <w:sz w:val="19"/>
        </w:rPr>
      </w:pPr>
    </w:p>
    <w:p>
      <w:pPr>
        <w:pStyle w:val="BodyText"/>
        <w:spacing w:line="264" w:lineRule="auto" w:before="1"/>
        <w:ind w:left="742" w:right="1117"/>
      </w:pPr>
      <w:r>
        <w:rPr/>
        <w:t>Nedenstående figur viser antallet af ESA-bevillinger til danske universiteter fordelt på forsknings- områder. Som det fremgår af figuren, er den største samlede volumen af ESA-bevillinger, med 233 bevillinger, tildelt forskningsområdet jordobservation, der således udgør et stærkt forskningsmiljø – men ikke i samme grad udnyttes kommercielt i erhvervsmæssige sammenhænge. Omvendt forhol- der det sig med de to stærkeste forretningsområder navigation og kommunikation, der med hhv.</w:t>
      </w:r>
    </w:p>
    <w:p>
      <w:pPr>
        <w:pStyle w:val="BodyText"/>
        <w:spacing w:line="264" w:lineRule="auto"/>
        <w:ind w:left="742" w:right="1312"/>
      </w:pPr>
      <w:r>
        <w:rPr/>
        <w:t>15 og 2 bevillinger er tildelt et væsentligt lavere antal samlede bevillinger – især set i lyset af de- res omsætningsmæssige volumen som erhvervsområde.</w:t>
      </w: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4424;mso-wrap-distance-left:0;mso-wrap-distance-right:0" from="85.103996pt,18.26586pt" to="229.123996pt,18.26586pt" stroked="true" strokeweight=".48004pt" strokecolor="#000000">
            <v:stroke dashstyle="solid"/>
            <w10:wrap type="topAndBottom"/>
          </v:line>
        </w:pict>
      </w:r>
    </w:p>
    <w:p>
      <w:pPr>
        <w:spacing w:before="99"/>
        <w:ind w:left="742" w:right="0" w:firstLine="0"/>
        <w:jc w:val="left"/>
        <w:rPr>
          <w:sz w:val="13"/>
        </w:rPr>
      </w:pPr>
      <w:r>
        <w:rPr>
          <w:position w:val="6"/>
          <w:sz w:val="8"/>
        </w:rPr>
        <w:t>96 </w:t>
      </w:r>
      <w:r>
        <w:rPr>
          <w:sz w:val="13"/>
        </w:rPr>
        <w:t>Se </w:t>
      </w:r>
      <w:hyperlink r:id="rId104">
        <w:r>
          <w:rPr>
            <w:color w:val="009DDF"/>
            <w:sz w:val="13"/>
          </w:rPr>
          <w:t>https://agenda.weforum.org/2014/01/are-you-ready-for-the-internet-of-everything/.</w:t>
        </w:r>
      </w:hyperlink>
    </w:p>
    <w:p>
      <w:pPr>
        <w:spacing w:before="41"/>
        <w:ind w:left="742" w:right="0" w:firstLine="0"/>
        <w:jc w:val="left"/>
        <w:rPr>
          <w:sz w:val="13"/>
        </w:rPr>
      </w:pPr>
      <w:r>
        <w:rPr>
          <w:position w:val="6"/>
          <w:sz w:val="8"/>
        </w:rPr>
        <w:t>97 </w:t>
      </w:r>
      <w:r>
        <w:rPr>
          <w:sz w:val="13"/>
        </w:rPr>
        <w:t>Angivet som 10.000$ pr. pund, </w:t>
      </w:r>
      <w:hyperlink r:id="rId105">
        <w:r>
          <w:rPr>
            <w:color w:val="009DDF"/>
            <w:sz w:val="13"/>
          </w:rPr>
          <w:t>http://www.nasa.gov/centers/marshall/news/background/facts/astp.html_prt.htm</w:t>
        </w:r>
      </w:hyperlink>
    </w:p>
    <w:p>
      <w:pPr>
        <w:spacing w:before="43"/>
        <w:ind w:left="742" w:right="0" w:firstLine="0"/>
        <w:jc w:val="left"/>
        <w:rPr>
          <w:sz w:val="13"/>
        </w:rPr>
      </w:pPr>
      <w:r>
        <w:rPr>
          <w:position w:val="6"/>
          <w:sz w:val="8"/>
        </w:rPr>
        <w:t>98 </w:t>
      </w:r>
      <w:hyperlink r:id="rId106">
        <w:r>
          <w:rPr>
            <w:color w:val="009DDF"/>
            <w:sz w:val="13"/>
          </w:rPr>
          <w:t>https://next.ft.com/content/2ad23aca-e55a-11e4-bb4b-00144feab7de.</w:t>
        </w:r>
      </w:hyperlink>
    </w:p>
    <w:p>
      <w:pPr>
        <w:spacing w:before="41"/>
        <w:ind w:left="742" w:right="0" w:firstLine="0"/>
        <w:jc w:val="left"/>
        <w:rPr>
          <w:sz w:val="13"/>
        </w:rPr>
      </w:pPr>
      <w:r>
        <w:rPr>
          <w:position w:val="6"/>
          <w:sz w:val="8"/>
        </w:rPr>
        <w:t>99 </w:t>
      </w:r>
      <w:r>
        <w:rPr>
          <w:sz w:val="13"/>
        </w:rPr>
        <w:t>Se </w:t>
      </w:r>
      <w:hyperlink r:id="rId86">
        <w:r>
          <w:rPr>
            <w:color w:val="009DDF"/>
            <w:sz w:val="13"/>
          </w:rPr>
          <w:t>http://www.space.aau.dk/aausat4/ </w:t>
        </w:r>
      </w:hyperlink>
      <w:r>
        <w:rPr>
          <w:sz w:val="13"/>
        </w:rPr>
        <w:t>(tilgået 26. april 2016).</w:t>
      </w:r>
    </w:p>
    <w:p>
      <w:pPr>
        <w:spacing w:after="0"/>
        <w:jc w:val="left"/>
        <w:rPr>
          <w:sz w:val="13"/>
        </w:rPr>
        <w:sectPr>
          <w:pgSz w:w="11910" w:h="16840"/>
          <w:pgMar w:header="0" w:footer="1056" w:top="1580" w:bottom="1240" w:left="960" w:right="0"/>
        </w:sectPr>
      </w:pPr>
    </w:p>
    <w:p>
      <w:pPr>
        <w:spacing w:before="101"/>
        <w:ind w:left="742" w:right="0" w:firstLine="0"/>
        <w:jc w:val="left"/>
        <w:rPr>
          <w:b/>
          <w:sz w:val="15"/>
        </w:rPr>
      </w:pPr>
      <w:r>
        <w:rPr>
          <w:b/>
          <w:color w:val="009DDF"/>
          <w:sz w:val="15"/>
        </w:rPr>
        <w:t>Figur 22. Antal af ESA-bevillinger til danske universiteter 2000-2014, fordelt på forskningsområder</w:t>
      </w:r>
    </w:p>
    <w:p>
      <w:pPr>
        <w:spacing w:line="405" w:lineRule="auto" w:before="142"/>
        <w:ind w:left="986" w:right="8846" w:hanging="166"/>
        <w:jc w:val="left"/>
        <w:rPr>
          <w:sz w:val="13"/>
        </w:rPr>
      </w:pPr>
      <w:r>
        <w:rPr/>
        <w:pict>
          <v:group style="position:absolute;margin-left:114.168083pt;margin-top:24.299061pt;width:419.95pt;height:187.4pt;mso-position-horizontal-relative:page;mso-position-vertical-relative:paragraph;z-index:-176944" coordorigin="2283,486" coordsize="8399,3748">
            <v:shape style="position:absolute;left:2519;top:743;width:5174;height:3477" coordorigin="2519,743" coordsize="5174,3477" path="m3050,743l2519,743,2519,4220,3050,4220,3050,743m3981,2245l3451,2245,3451,4220,3981,4220,3981,2245m4913,3247l4383,3247,4383,4220,4913,4220,4913,3247m5845,3648l5314,3648,5314,4220,5845,4220,5845,3648m6762,3776l6246,3776,6246,4220,6762,4220,6762,3776m7693,3991l7163,3991,7163,4220,7693,4220,7693,3991e" filled="true" fillcolor="#009ddf" stroked="false">
              <v:path arrowok="t"/>
              <v:fill type="solid"/>
            </v:shape>
            <v:line style="position:absolute" from="8095,4162" to="8624,4162" stroked="true" strokeweight="5.725488pt" strokecolor="#009ddf">
              <v:stroke dashstyle="solid"/>
            </v:line>
            <v:line style="position:absolute" from="9026,4177" to="9556,4177" stroked="true" strokeweight="4.300055pt" strokecolor="#009ddf">
              <v:stroke dashstyle="solid"/>
            </v:line>
            <v:line style="position:absolute" from="9958,4205" to="10488,4205" stroked="true" strokeweight="1.425433pt" strokecolor="#009ddf">
              <v:stroke dashstyle="solid"/>
            </v:line>
            <v:shape style="position:absolute;left:173;top:10854;width:8805;height:3929" coordorigin="173,10854" coordsize="8805,3929" path="m2326,493l2326,4212m2283,4227l2312,4227m2283,3483l2312,3483m2283,2739l2312,2739m2283,1981l2312,1981m2283,1237l2312,1237m2283,493l2312,493m2326,4227l10682,4227e" filled="false" stroked="true" strokeweight=".714051pt" strokecolor="#000000">
              <v:path arrowok="t"/>
              <v:stroke dashstyle="solid"/>
            </v:shape>
            <v:shape style="position:absolute;left:2658;top:544;width:275;height:162" type="#_x0000_t202" filled="false" stroked="false">
              <v:textbox inset="0,0,0,0">
                <w:txbxContent>
                  <w:p>
                    <w:pPr>
                      <w:spacing w:before="2"/>
                      <w:ind w:left="0" w:right="0" w:firstLine="0"/>
                      <w:jc w:val="left"/>
                      <w:rPr>
                        <w:sz w:val="13"/>
                      </w:rPr>
                    </w:pPr>
                    <w:r>
                      <w:rPr>
                        <w:sz w:val="13"/>
                      </w:rPr>
                      <w:t>233</w:t>
                    </w:r>
                  </w:p>
                </w:txbxContent>
              </v:textbox>
              <w10:wrap type="none"/>
            </v:shape>
            <v:shape style="position:absolute;left:3590;top:2048;width:275;height:162" type="#_x0000_t202" filled="false" stroked="false">
              <v:textbox inset="0,0,0,0">
                <w:txbxContent>
                  <w:p>
                    <w:pPr>
                      <w:spacing w:before="2"/>
                      <w:ind w:left="0" w:right="0" w:firstLine="0"/>
                      <w:jc w:val="left"/>
                      <w:rPr>
                        <w:sz w:val="13"/>
                      </w:rPr>
                    </w:pPr>
                    <w:r>
                      <w:rPr>
                        <w:sz w:val="13"/>
                      </w:rPr>
                      <w:t>132</w:t>
                    </w:r>
                  </w:p>
                </w:txbxContent>
              </v:textbox>
              <w10:wrap type="none"/>
            </v:shape>
            <v:shape style="position:absolute;left:4562;top:3049;width:190;height:162" type="#_x0000_t202" filled="false" stroked="false">
              <v:textbox inset="0,0,0,0">
                <w:txbxContent>
                  <w:p>
                    <w:pPr>
                      <w:spacing w:before="3"/>
                      <w:ind w:left="0" w:right="0" w:firstLine="0"/>
                      <w:jc w:val="left"/>
                      <w:rPr>
                        <w:sz w:val="13"/>
                      </w:rPr>
                    </w:pPr>
                    <w:r>
                      <w:rPr>
                        <w:w w:val="105"/>
                        <w:sz w:val="13"/>
                      </w:rPr>
                      <w:t>65</w:t>
                    </w:r>
                  </w:p>
                </w:txbxContent>
              </v:textbox>
              <w10:wrap type="none"/>
            </v:shape>
            <v:shape style="position:absolute;left:5494;top:3450;width:190;height:162" type="#_x0000_t202" filled="false" stroked="false">
              <v:textbox inset="0,0,0,0">
                <w:txbxContent>
                  <w:p>
                    <w:pPr>
                      <w:spacing w:before="2"/>
                      <w:ind w:left="0" w:right="0" w:firstLine="0"/>
                      <w:jc w:val="left"/>
                      <w:rPr>
                        <w:sz w:val="13"/>
                      </w:rPr>
                    </w:pPr>
                    <w:r>
                      <w:rPr>
                        <w:sz w:val="13"/>
                      </w:rPr>
                      <w:t>38</w:t>
                    </w:r>
                  </w:p>
                </w:txbxContent>
              </v:textbox>
              <w10:wrap type="none"/>
            </v:shape>
            <v:shape style="position:absolute;left:6419;top:3579;width:190;height:162" type="#_x0000_t202" filled="false" stroked="false">
              <v:textbox inset="0,0,0,0">
                <w:txbxContent>
                  <w:p>
                    <w:pPr>
                      <w:spacing w:before="2"/>
                      <w:ind w:left="0" w:right="0" w:firstLine="0"/>
                      <w:jc w:val="left"/>
                      <w:rPr>
                        <w:sz w:val="13"/>
                      </w:rPr>
                    </w:pPr>
                    <w:r>
                      <w:rPr>
                        <w:sz w:val="13"/>
                      </w:rPr>
                      <w:t>30</w:t>
                    </w:r>
                  </w:p>
                </w:txbxContent>
              </v:textbox>
              <w10:wrap type="none"/>
            </v:shape>
            <v:shape style="position:absolute;left:7343;top:3794;width:190;height:162" type="#_x0000_t202" filled="false" stroked="false">
              <v:textbox inset="0,0,0,0">
                <w:txbxContent>
                  <w:p>
                    <w:pPr>
                      <w:spacing w:before="2"/>
                      <w:ind w:left="0" w:right="0" w:firstLine="0"/>
                      <w:jc w:val="left"/>
                      <w:rPr>
                        <w:sz w:val="13"/>
                      </w:rPr>
                    </w:pPr>
                    <w:r>
                      <w:rPr>
                        <w:sz w:val="13"/>
                      </w:rPr>
                      <w:t>15</w:t>
                    </w:r>
                  </w:p>
                </w:txbxContent>
              </v:textbox>
              <w10:wrap type="none"/>
            </v:shape>
            <v:shape style="position:absolute;left:8318;top:3908;width:105;height:162" type="#_x0000_t202" filled="false" stroked="false">
              <v:textbox inset="0,0,0,0">
                <w:txbxContent>
                  <w:p>
                    <w:pPr>
                      <w:spacing w:before="2"/>
                      <w:ind w:left="0" w:right="0" w:firstLine="0"/>
                      <w:jc w:val="left"/>
                      <w:rPr>
                        <w:sz w:val="13"/>
                      </w:rPr>
                    </w:pPr>
                    <w:r>
                      <w:rPr>
                        <w:w w:val="102"/>
                        <w:sz w:val="13"/>
                      </w:rPr>
                      <w:t>8</w:t>
                    </w:r>
                  </w:p>
                </w:txbxContent>
              </v:textbox>
              <w10:wrap type="none"/>
            </v:shape>
            <v:shape style="position:absolute;left:9250;top:3937;width:105;height:162" type="#_x0000_t202" filled="false" stroked="false">
              <v:textbox inset="0,0,0,0">
                <w:txbxContent>
                  <w:p>
                    <w:pPr>
                      <w:spacing w:before="2"/>
                      <w:ind w:left="0" w:right="0" w:firstLine="0"/>
                      <w:jc w:val="left"/>
                      <w:rPr>
                        <w:sz w:val="13"/>
                      </w:rPr>
                    </w:pPr>
                    <w:r>
                      <w:rPr>
                        <w:w w:val="102"/>
                        <w:sz w:val="13"/>
                      </w:rPr>
                      <w:t>6</w:t>
                    </w:r>
                  </w:p>
                </w:txbxContent>
              </v:textbox>
              <w10:wrap type="none"/>
            </v:shape>
            <v:shape style="position:absolute;left:10182;top:3994;width:105;height:162" type="#_x0000_t202" filled="false" stroked="false">
              <v:textbox inset="0,0,0,0">
                <w:txbxContent>
                  <w:p>
                    <w:pPr>
                      <w:spacing w:before="2"/>
                      <w:ind w:left="0" w:right="0" w:firstLine="0"/>
                      <w:jc w:val="left"/>
                      <w:rPr>
                        <w:sz w:val="13"/>
                      </w:rPr>
                    </w:pPr>
                    <w:r>
                      <w:rPr>
                        <w:w w:val="102"/>
                        <w:sz w:val="13"/>
                      </w:rPr>
                      <w:t>2</w:t>
                    </w:r>
                  </w:p>
                </w:txbxContent>
              </v:textbox>
              <w10:wrap type="none"/>
            </v:shape>
            <w10:wrap type="none"/>
          </v:group>
        </w:pict>
      </w:r>
      <w:r>
        <w:rPr>
          <w:sz w:val="13"/>
        </w:rPr>
        <w:t>Antal bevillinger 250</w:t>
      </w:r>
    </w:p>
    <w:p>
      <w:pPr>
        <w:pStyle w:val="BodyText"/>
        <w:rPr>
          <w:sz w:val="20"/>
        </w:rPr>
      </w:pPr>
    </w:p>
    <w:p>
      <w:pPr>
        <w:pStyle w:val="BodyText"/>
        <w:spacing w:before="4"/>
        <w:rPr>
          <w:sz w:val="19"/>
        </w:rPr>
      </w:pPr>
    </w:p>
    <w:p>
      <w:pPr>
        <w:spacing w:before="0"/>
        <w:ind w:left="986" w:right="0" w:firstLine="0"/>
        <w:jc w:val="left"/>
        <w:rPr>
          <w:sz w:val="13"/>
        </w:rPr>
      </w:pPr>
      <w:r>
        <w:rPr>
          <w:sz w:val="13"/>
        </w:rPr>
        <w:t>200</w:t>
      </w:r>
    </w:p>
    <w:p>
      <w:pPr>
        <w:pStyle w:val="BodyText"/>
        <w:rPr>
          <w:sz w:val="20"/>
        </w:rPr>
      </w:pPr>
    </w:p>
    <w:p>
      <w:pPr>
        <w:pStyle w:val="BodyText"/>
        <w:spacing w:before="10"/>
        <w:rPr>
          <w:sz w:val="19"/>
        </w:rPr>
      </w:pPr>
    </w:p>
    <w:p>
      <w:pPr>
        <w:spacing w:before="103"/>
        <w:ind w:left="986" w:right="0" w:firstLine="0"/>
        <w:jc w:val="left"/>
        <w:rPr>
          <w:sz w:val="13"/>
        </w:rPr>
      </w:pPr>
      <w:r>
        <w:rPr>
          <w:sz w:val="13"/>
        </w:rPr>
        <w:t>150</w:t>
      </w:r>
    </w:p>
    <w:p>
      <w:pPr>
        <w:pStyle w:val="BodyText"/>
        <w:rPr>
          <w:sz w:val="16"/>
        </w:rPr>
      </w:pPr>
    </w:p>
    <w:p>
      <w:pPr>
        <w:pStyle w:val="BodyText"/>
        <w:rPr>
          <w:sz w:val="16"/>
        </w:rPr>
      </w:pPr>
    </w:p>
    <w:p>
      <w:pPr>
        <w:pStyle w:val="BodyText"/>
        <w:spacing w:before="5"/>
        <w:rPr>
          <w:sz w:val="17"/>
        </w:rPr>
      </w:pPr>
    </w:p>
    <w:p>
      <w:pPr>
        <w:spacing w:before="0"/>
        <w:ind w:left="986" w:right="0" w:firstLine="0"/>
        <w:jc w:val="left"/>
        <w:rPr>
          <w:sz w:val="13"/>
        </w:rPr>
      </w:pPr>
      <w:r>
        <w:rPr>
          <w:sz w:val="13"/>
        </w:rPr>
        <w:t>100</w:t>
      </w:r>
    </w:p>
    <w:p>
      <w:pPr>
        <w:pStyle w:val="BodyText"/>
        <w:rPr>
          <w:sz w:val="20"/>
        </w:rPr>
      </w:pPr>
    </w:p>
    <w:p>
      <w:pPr>
        <w:pStyle w:val="BodyText"/>
        <w:spacing w:before="9"/>
        <w:rPr>
          <w:sz w:val="19"/>
        </w:rPr>
      </w:pPr>
    </w:p>
    <w:p>
      <w:pPr>
        <w:spacing w:before="103"/>
        <w:ind w:left="1069" w:right="0" w:firstLine="0"/>
        <w:jc w:val="left"/>
        <w:rPr>
          <w:sz w:val="13"/>
        </w:rPr>
      </w:pPr>
      <w:r>
        <w:rPr>
          <w:sz w:val="13"/>
        </w:rPr>
        <w:t>50</w:t>
      </w:r>
    </w:p>
    <w:p>
      <w:pPr>
        <w:pStyle w:val="BodyText"/>
        <w:rPr>
          <w:sz w:val="20"/>
        </w:rPr>
      </w:pPr>
    </w:p>
    <w:p>
      <w:pPr>
        <w:pStyle w:val="BodyText"/>
        <w:spacing w:before="10"/>
        <w:rPr>
          <w:sz w:val="19"/>
        </w:rPr>
      </w:pPr>
    </w:p>
    <w:p>
      <w:pPr>
        <w:spacing w:after="0"/>
        <w:rPr>
          <w:sz w:val="19"/>
        </w:rPr>
        <w:sectPr>
          <w:pgSz w:w="11910" w:h="16840"/>
          <w:pgMar w:header="0" w:footer="1056" w:top="1580" w:bottom="1240" w:left="960" w:right="0"/>
        </w:sectPr>
      </w:pPr>
    </w:p>
    <w:p>
      <w:pPr>
        <w:spacing w:before="103"/>
        <w:ind w:left="394" w:right="0" w:firstLine="0"/>
        <w:jc w:val="center"/>
        <w:rPr>
          <w:sz w:val="13"/>
        </w:rPr>
      </w:pPr>
      <w:r>
        <w:rPr>
          <w:w w:val="102"/>
          <w:sz w:val="13"/>
        </w:rPr>
        <w:t>0</w:t>
      </w:r>
    </w:p>
    <w:p>
      <w:pPr>
        <w:spacing w:line="157" w:lineRule="exact" w:before="9"/>
        <w:ind w:left="0" w:right="0" w:firstLine="0"/>
        <w:jc w:val="right"/>
        <w:rPr>
          <w:sz w:val="13"/>
        </w:rPr>
      </w:pPr>
      <w:r>
        <w:rPr>
          <w:sz w:val="13"/>
        </w:rPr>
        <w:t>Earth</w:t>
      </w:r>
    </w:p>
    <w:p>
      <w:pPr>
        <w:pStyle w:val="BodyText"/>
        <w:spacing w:before="2"/>
        <w:rPr>
          <w:sz w:val="22"/>
        </w:rPr>
      </w:pPr>
      <w:r>
        <w:rPr/>
        <w:br w:type="column"/>
      </w:r>
      <w:r>
        <w:rPr>
          <w:sz w:val="22"/>
        </w:rPr>
      </w:r>
    </w:p>
    <w:p>
      <w:pPr>
        <w:spacing w:line="157" w:lineRule="exact" w:before="1"/>
        <w:ind w:left="458" w:right="0" w:firstLine="0"/>
        <w:jc w:val="left"/>
        <w:rPr>
          <w:sz w:val="13"/>
        </w:rPr>
      </w:pPr>
      <w:r>
        <w:rPr>
          <w:sz w:val="13"/>
        </w:rPr>
        <w:t>Science</w:t>
      </w:r>
    </w:p>
    <w:p>
      <w:pPr>
        <w:pStyle w:val="BodyText"/>
        <w:spacing w:before="2"/>
        <w:rPr>
          <w:sz w:val="22"/>
        </w:rPr>
      </w:pPr>
      <w:r>
        <w:rPr/>
        <w:br w:type="column"/>
      </w:r>
      <w:r>
        <w:rPr>
          <w:sz w:val="22"/>
        </w:rPr>
      </w:r>
    </w:p>
    <w:p>
      <w:pPr>
        <w:spacing w:line="157" w:lineRule="exact" w:before="1"/>
        <w:ind w:left="233" w:right="0" w:firstLine="0"/>
        <w:jc w:val="left"/>
        <w:rPr>
          <w:sz w:val="13"/>
        </w:rPr>
      </w:pPr>
      <w:r>
        <w:rPr>
          <w:sz w:val="13"/>
        </w:rPr>
        <w:t>Microgravity</w:t>
      </w:r>
    </w:p>
    <w:p>
      <w:pPr>
        <w:pStyle w:val="BodyText"/>
        <w:spacing w:before="2"/>
        <w:rPr>
          <w:sz w:val="22"/>
        </w:rPr>
      </w:pPr>
      <w:r>
        <w:rPr/>
        <w:br w:type="column"/>
      </w:r>
      <w:r>
        <w:rPr>
          <w:sz w:val="22"/>
        </w:rPr>
      </w:r>
    </w:p>
    <w:p>
      <w:pPr>
        <w:spacing w:line="157" w:lineRule="exact" w:before="1"/>
        <w:ind w:left="290" w:right="0" w:firstLine="0"/>
        <w:jc w:val="left"/>
        <w:rPr>
          <w:sz w:val="13"/>
        </w:rPr>
      </w:pPr>
      <w:r>
        <w:rPr>
          <w:sz w:val="13"/>
        </w:rPr>
        <w:t>Other</w:t>
      </w:r>
    </w:p>
    <w:p>
      <w:pPr>
        <w:pStyle w:val="BodyText"/>
        <w:spacing w:before="2"/>
        <w:rPr>
          <w:sz w:val="22"/>
        </w:rPr>
      </w:pPr>
      <w:r>
        <w:rPr/>
        <w:br w:type="column"/>
      </w:r>
      <w:r>
        <w:rPr>
          <w:sz w:val="22"/>
        </w:rPr>
      </w:r>
    </w:p>
    <w:p>
      <w:pPr>
        <w:spacing w:line="157" w:lineRule="exact" w:before="1"/>
        <w:ind w:left="318" w:right="0" w:firstLine="0"/>
        <w:jc w:val="left"/>
        <w:rPr>
          <w:sz w:val="13"/>
        </w:rPr>
      </w:pPr>
      <w:r>
        <w:rPr>
          <w:sz w:val="13"/>
        </w:rPr>
        <w:t>Technology</w:t>
      </w:r>
    </w:p>
    <w:p>
      <w:pPr>
        <w:pStyle w:val="BodyText"/>
        <w:spacing w:before="2"/>
        <w:rPr>
          <w:sz w:val="22"/>
        </w:rPr>
      </w:pPr>
      <w:r>
        <w:rPr/>
        <w:br w:type="column"/>
      </w:r>
      <w:r>
        <w:rPr>
          <w:sz w:val="22"/>
        </w:rPr>
      </w:r>
    </w:p>
    <w:p>
      <w:pPr>
        <w:spacing w:line="157" w:lineRule="exact" w:before="1"/>
        <w:ind w:left="153" w:right="0" w:firstLine="0"/>
        <w:jc w:val="left"/>
        <w:rPr>
          <w:sz w:val="13"/>
        </w:rPr>
      </w:pPr>
      <w:r>
        <w:rPr>
          <w:sz w:val="13"/>
        </w:rPr>
        <w:t>Navigation</w:t>
      </w:r>
    </w:p>
    <w:p>
      <w:pPr>
        <w:pStyle w:val="BodyText"/>
        <w:spacing w:before="2"/>
        <w:rPr>
          <w:sz w:val="22"/>
        </w:rPr>
      </w:pPr>
      <w:r>
        <w:rPr/>
        <w:br w:type="column"/>
      </w:r>
      <w:r>
        <w:rPr>
          <w:sz w:val="22"/>
        </w:rPr>
      </w:r>
    </w:p>
    <w:p>
      <w:pPr>
        <w:spacing w:line="157" w:lineRule="exact" w:before="1"/>
        <w:ind w:left="300" w:right="0" w:firstLine="0"/>
        <w:jc w:val="left"/>
        <w:rPr>
          <w:sz w:val="13"/>
        </w:rPr>
      </w:pPr>
      <w:r>
        <w:rPr>
          <w:sz w:val="13"/>
        </w:rPr>
        <w:t>Human</w:t>
      </w:r>
    </w:p>
    <w:p>
      <w:pPr>
        <w:pStyle w:val="BodyText"/>
        <w:spacing w:before="2"/>
        <w:rPr>
          <w:sz w:val="22"/>
        </w:rPr>
      </w:pPr>
      <w:r>
        <w:rPr/>
        <w:br w:type="column"/>
      </w:r>
      <w:r>
        <w:rPr>
          <w:sz w:val="22"/>
        </w:rPr>
      </w:r>
    </w:p>
    <w:p>
      <w:pPr>
        <w:spacing w:line="157" w:lineRule="exact" w:before="1"/>
        <w:ind w:left="450" w:right="0" w:firstLine="0"/>
        <w:jc w:val="left"/>
        <w:rPr>
          <w:sz w:val="13"/>
        </w:rPr>
      </w:pPr>
      <w:r>
        <w:rPr>
          <w:sz w:val="13"/>
        </w:rPr>
        <w:t>Space</w:t>
      </w:r>
    </w:p>
    <w:p>
      <w:pPr>
        <w:pStyle w:val="BodyText"/>
        <w:spacing w:before="2"/>
        <w:rPr>
          <w:sz w:val="22"/>
        </w:rPr>
      </w:pPr>
      <w:r>
        <w:rPr/>
        <w:br w:type="column"/>
      </w:r>
      <w:r>
        <w:rPr>
          <w:sz w:val="22"/>
        </w:rPr>
      </w:r>
    </w:p>
    <w:p>
      <w:pPr>
        <w:spacing w:line="157" w:lineRule="exact" w:before="1"/>
        <w:ind w:left="521" w:right="0" w:firstLine="0"/>
        <w:jc w:val="left"/>
        <w:rPr>
          <w:sz w:val="13"/>
        </w:rPr>
      </w:pPr>
      <w:r>
        <w:rPr>
          <w:sz w:val="13"/>
        </w:rPr>
        <w:t>Tele-</w:t>
      </w:r>
    </w:p>
    <w:p>
      <w:pPr>
        <w:spacing w:after="0" w:line="157" w:lineRule="exact"/>
        <w:jc w:val="left"/>
        <w:rPr>
          <w:sz w:val="13"/>
        </w:rPr>
        <w:sectPr>
          <w:type w:val="continuous"/>
          <w:pgSz w:w="11910" w:h="16840"/>
          <w:pgMar w:top="1400" w:bottom="280" w:left="960" w:right="0"/>
          <w:cols w:num="9" w:equalWidth="0">
            <w:col w:w="2003" w:space="40"/>
            <w:col w:w="967" w:space="39"/>
            <w:col w:w="1050" w:space="39"/>
            <w:col w:w="671" w:space="40"/>
            <w:col w:w="1076" w:space="39"/>
            <w:col w:w="860" w:space="40"/>
            <w:col w:w="779" w:space="39"/>
            <w:col w:w="854" w:space="39"/>
            <w:col w:w="2375"/>
          </w:cols>
        </w:sectPr>
      </w:pPr>
    </w:p>
    <w:p>
      <w:pPr>
        <w:spacing w:before="2"/>
        <w:ind w:left="1420" w:right="0" w:firstLine="0"/>
        <w:jc w:val="left"/>
        <w:rPr>
          <w:sz w:val="13"/>
        </w:rPr>
      </w:pPr>
      <w:r>
        <w:rPr>
          <w:sz w:val="13"/>
        </w:rPr>
        <w:t>Observation</w:t>
      </w:r>
    </w:p>
    <w:p>
      <w:pPr>
        <w:spacing w:before="2"/>
        <w:ind w:left="69" w:right="0" w:firstLine="0"/>
        <w:jc w:val="left"/>
        <w:rPr>
          <w:sz w:val="13"/>
        </w:rPr>
      </w:pPr>
      <w:r>
        <w:rPr/>
        <w:br w:type="column"/>
      </w:r>
      <w:r>
        <w:rPr>
          <w:sz w:val="13"/>
        </w:rPr>
        <w:t>programmes</w:t>
      </w:r>
    </w:p>
    <w:p>
      <w:pPr>
        <w:spacing w:before="2"/>
        <w:ind w:left="977" w:right="0" w:firstLine="0"/>
        <w:jc w:val="left"/>
        <w:rPr>
          <w:sz w:val="13"/>
        </w:rPr>
      </w:pPr>
      <w:r>
        <w:rPr/>
        <w:br w:type="column"/>
      </w:r>
      <w:r>
        <w:rPr>
          <w:sz w:val="13"/>
        </w:rPr>
        <w:t>programmes</w:t>
      </w:r>
    </w:p>
    <w:p>
      <w:pPr>
        <w:spacing w:before="2"/>
        <w:ind w:left="1420" w:right="0" w:firstLine="0"/>
        <w:jc w:val="left"/>
        <w:rPr>
          <w:sz w:val="13"/>
        </w:rPr>
      </w:pPr>
      <w:r>
        <w:rPr/>
        <w:br w:type="column"/>
      </w:r>
      <w:r>
        <w:rPr>
          <w:sz w:val="13"/>
        </w:rPr>
        <w:t>Spaceflight</w:t>
      </w:r>
    </w:p>
    <w:p>
      <w:pPr>
        <w:spacing w:line="242" w:lineRule="auto" w:before="2"/>
        <w:ind w:left="164" w:right="484" w:firstLine="4"/>
        <w:jc w:val="left"/>
        <w:rPr>
          <w:sz w:val="13"/>
        </w:rPr>
      </w:pPr>
      <w:r>
        <w:rPr/>
        <w:br w:type="column"/>
      </w:r>
      <w:r>
        <w:rPr>
          <w:sz w:val="13"/>
        </w:rPr>
        <w:t>Situational communications Awareness</w:t>
      </w:r>
    </w:p>
    <w:p>
      <w:pPr>
        <w:spacing w:before="2"/>
        <w:ind w:left="326" w:right="0" w:firstLine="0"/>
        <w:jc w:val="left"/>
        <w:rPr>
          <w:sz w:val="13"/>
        </w:rPr>
      </w:pPr>
      <w:r>
        <w:rPr>
          <w:sz w:val="13"/>
        </w:rPr>
        <w:t>(SSA)</w:t>
      </w:r>
    </w:p>
    <w:p>
      <w:pPr>
        <w:spacing w:after="0"/>
        <w:jc w:val="left"/>
        <w:rPr>
          <w:sz w:val="13"/>
        </w:rPr>
        <w:sectPr>
          <w:type w:val="continuous"/>
          <w:pgSz w:w="11910" w:h="16840"/>
          <w:pgMar w:top="1400" w:bottom="280" w:left="960" w:right="0"/>
          <w:cols w:num="5" w:equalWidth="0">
            <w:col w:w="2225" w:space="40"/>
            <w:col w:w="916" w:space="39"/>
            <w:col w:w="1864" w:space="528"/>
            <w:col w:w="2159" w:space="40"/>
            <w:col w:w="3139"/>
          </w:cols>
        </w:sectPr>
      </w:pPr>
    </w:p>
    <w:p>
      <w:pPr>
        <w:spacing w:before="80"/>
        <w:ind w:left="742" w:right="1262" w:firstLine="0"/>
        <w:jc w:val="left"/>
        <w:rPr>
          <w:sz w:val="13"/>
        </w:rPr>
      </w:pPr>
      <w:r>
        <w:rPr>
          <w:sz w:val="13"/>
        </w:rPr>
        <w:t>Kilde: Rambøll og London Economics på baggrund af data fra Styrelsen for Forskning og Innovation vedr. danske aktiviteter i relation til ESA</w:t>
      </w:r>
    </w:p>
    <w:p>
      <w:pPr>
        <w:pStyle w:val="BodyText"/>
        <w:spacing w:before="4"/>
        <w:rPr>
          <w:sz w:val="23"/>
        </w:rPr>
      </w:pPr>
    </w:p>
    <w:p>
      <w:pPr>
        <w:pStyle w:val="BodyText"/>
        <w:spacing w:line="264" w:lineRule="auto" w:before="1"/>
        <w:ind w:left="742" w:right="1213"/>
      </w:pPr>
      <w:r>
        <w:rPr/>
        <w:t>Hvis blikket rettes mod den relative styrke mellem forskningsinstitutioner er det klare billede, at DTU hjemtager langt hovedparten af ESA-bevillingerne. Nedenstående figur viser således, hvordan ESA-bevillinger fordeler sig mellem danske universiteter i perioden 2000-2014, hvor man samlet set modtog 529 bevillinger. Heraf gik 464 bevillinger (88 pct.) til DTU, mens 40 (8 pct.) gik til KU og 20 (4 pct.) til AU. Billedet understøtter, at DTU udgør den væsentligste forskningsinstitution på rumområdet i Danmark. Omvendt skal man holde sig for øje at forskningsinstitutioner modtager bevillinger fra flere sider, og at disse tal således ikke tegner det fulde billede.</w:t>
      </w:r>
    </w:p>
    <w:p>
      <w:pPr>
        <w:spacing w:before="141"/>
        <w:ind w:left="742" w:right="0" w:firstLine="0"/>
        <w:jc w:val="left"/>
        <w:rPr>
          <w:b/>
          <w:sz w:val="15"/>
        </w:rPr>
      </w:pPr>
      <w:r>
        <w:rPr>
          <w:b/>
          <w:color w:val="009DDF"/>
          <w:sz w:val="15"/>
        </w:rPr>
        <w:t>Figur 23. Fordeling af de danske universiteters ESA-bevillinger, antal 2000-2014</w:t>
      </w:r>
    </w:p>
    <w:p>
      <w:pPr>
        <w:pStyle w:val="BodyText"/>
        <w:spacing w:before="2"/>
        <w:rPr>
          <w:b/>
          <w:sz w:val="15"/>
        </w:rPr>
      </w:pPr>
    </w:p>
    <w:p>
      <w:pPr>
        <w:spacing w:line="338" w:lineRule="auto" w:before="106"/>
        <w:ind w:left="4575" w:right="6056" w:firstLine="0"/>
        <w:jc w:val="left"/>
        <w:rPr>
          <w:sz w:val="13"/>
        </w:rPr>
      </w:pPr>
      <w:r>
        <w:rPr/>
        <w:pict>
          <v:group style="position:absolute;margin-left:90.726311pt;margin-top:2.592077pt;width:169.7pt;height:169.3pt;mso-position-horizontal-relative:page;mso-position-vertical-relative:paragraph;z-index:6856" coordorigin="1815,52" coordsize="3394,3386">
            <v:shape style="position:absolute;left:1814;top:51;width:3394;height:3386" coordorigin="1815,52" coordsize="3394,3386" path="m2325,527l2269,585,2215,644,2165,706,2118,771,2074,837,2033,905,1996,975,1962,1046,1932,1119,1904,1193,1881,1269,1861,1345,1844,1423,1831,1501,1822,1580,1816,1659,1815,1739,1816,1815,1821,1890,1829,1964,1840,2037,1854,2109,1871,2179,1891,2249,1914,2317,1939,2384,1968,2450,1999,2514,2032,2577,2068,2638,2106,2697,2147,2754,2190,2810,2235,2864,2282,2916,2332,2965,2383,3013,2437,3059,2492,3102,2549,3143,2608,3182,2669,3218,2731,3252,2795,3283,2860,3311,2927,3337,2995,3360,3065,3380,3136,3397,3208,3412,3281,3423,3355,3431,3430,3436,3506,3437,3582,3436,3657,3431,3731,3423,3804,3412,3876,3397,3947,3380,4017,3360,4086,3337,4153,3311,4218,3283,4283,3252,4345,3218,4406,3182,4466,3143,4523,3102,4579,3059,4633,3013,4685,2965,4735,2916,4783,2864,4829,2810,4872,2754,4913,2697,4952,2638,4988,2577,5022,2514,5053,2450,5082,2384,5108,2317,5131,2249,5151,2179,5168,2109,5182,2037,5194,1964,5202,1890,5207,1815,5208,1739,3506,1739,2325,527xm3506,52l3506,1739,5208,1739,5207,1663,5202,1588,5194,1514,5182,1442,5168,1370,5151,1299,5131,1230,5108,1162,5082,1095,5053,1030,5022,966,4988,904,4952,844,4913,785,4872,728,4829,673,4783,619,4735,568,4685,519,4633,471,4579,426,4523,383,4466,343,4406,305,4345,269,4283,235,4218,205,4153,176,4086,151,4017,128,3947,108,3876,91,3804,77,3731,66,3657,58,3582,53,3506,52xe" filled="true" fillcolor="#a7d2f5" stroked="false">
              <v:path arrowok="t"/>
              <v:fill type="solid"/>
            </v:shape>
            <v:shape style="position:absolute;left:2325;top:120;width:1181;height:1619" coordorigin="2325,120" coordsize="1181,1619" path="m2995,120l2921,145,2848,174,2777,206,2707,242,2639,281,2573,324,2508,369,2445,419,2384,471,2325,527,3506,1739,2995,120xe" filled="true" fillcolor="#d0cfc5" stroked="false">
              <v:path arrowok="t"/>
              <v:fill type="solid"/>
            </v:shape>
            <v:shape style="position:absolute;left:2995;top:51;width:511;height:1688" coordorigin="2995,52" coordsize="511,1688" path="m3415,52l3328,56,3243,66,3159,81,3077,100,2995,120,3506,1739,3415,52xe" filled="true" fillcolor="#5ca451" stroked="false">
              <v:path arrowok="t"/>
              <v:fill type="solid"/>
            </v:shape>
            <v:shape style="position:absolute;left:3414;top:51;width:91;height:1688" coordorigin="3415,52" coordsize="91,1688" path="m3472,52l3415,52,3506,1739,3472,52xe" filled="true" fillcolor="#009ddf" stroked="false">
              <v:path arrowok="t"/>
              <v:fill type="solid"/>
            </v:shape>
            <v:line style="position:absolute" from="3472,61" to="3506,61" stroked="true" strokeweight=".907204pt" strokecolor="#808080">
              <v:stroke dashstyle="solid"/>
            </v:line>
            <v:line style="position:absolute" from="3489,396" to="3489,1739" stroked="true" strokeweight="1.697236pt" strokecolor="#808080">
              <v:stroke dashstyle="solid"/>
            </v:line>
            <v:line style="position:absolute" from="3503,233" to="3503,396" stroked="true" strokeweight="6.720122pt" strokecolor="#808080">
              <v:stroke dashstyle="solid"/>
            </v:line>
            <v:line style="position:absolute" from="3455,70" to="3455,233" stroked="true" strokeweight="6.720122pt" strokecolor="#009ddf">
              <v:stroke dashstyle="solid"/>
            </v:line>
            <v:shape style="position:absolute;left:2618;top:318;width:213;height:166" type="#_x0000_t202" filled="false" stroked="false">
              <v:textbox inset="0,0,0,0">
                <w:txbxContent>
                  <w:p>
                    <w:pPr>
                      <w:spacing w:before="6"/>
                      <w:ind w:left="0" w:right="0" w:firstLine="0"/>
                      <w:jc w:val="left"/>
                      <w:rPr>
                        <w:b/>
                        <w:sz w:val="13"/>
                      </w:rPr>
                    </w:pPr>
                    <w:r>
                      <w:rPr>
                        <w:b/>
                        <w:w w:val="105"/>
                        <w:sz w:val="13"/>
                      </w:rPr>
                      <w:t>40</w:t>
                    </w:r>
                  </w:p>
                </w:txbxContent>
              </v:textbox>
              <w10:wrap type="none"/>
            </v:shape>
            <v:shape style="position:absolute;left:3135;top:67;width:437;height:328" type="#_x0000_t202" filled="false" stroked="false">
              <v:textbox inset="0,0,0,0">
                <w:txbxContent>
                  <w:p>
                    <w:pPr>
                      <w:spacing w:line="180" w:lineRule="exact" w:before="6"/>
                      <w:ind w:left="0" w:right="65" w:firstLine="0"/>
                      <w:jc w:val="right"/>
                      <w:rPr>
                        <w:b/>
                        <w:sz w:val="13"/>
                      </w:rPr>
                    </w:pPr>
                    <w:r>
                      <w:rPr>
                        <w:b/>
                        <w:color w:val="FFFFFF"/>
                        <w:w w:val="105"/>
                        <w:sz w:val="13"/>
                      </w:rPr>
                      <w:t>20 </w:t>
                    </w:r>
                    <w:r>
                      <w:rPr>
                        <w:b/>
                        <w:color w:val="FFFFFF"/>
                        <w:w w:val="105"/>
                        <w:position w:val="4"/>
                        <w:sz w:val="13"/>
                      </w:rPr>
                      <w:t>4</w:t>
                    </w:r>
                  </w:p>
                  <w:p>
                    <w:pPr>
                      <w:spacing w:line="140" w:lineRule="exact" w:before="0"/>
                      <w:ind w:left="0" w:right="18" w:firstLine="0"/>
                      <w:jc w:val="right"/>
                      <w:rPr>
                        <w:b/>
                        <w:sz w:val="13"/>
                      </w:rPr>
                    </w:pPr>
                    <w:r>
                      <w:rPr>
                        <w:b/>
                        <w:color w:val="FFFFFF"/>
                        <w:w w:val="105"/>
                        <w:sz w:val="13"/>
                      </w:rPr>
                      <w:t>1</w:t>
                    </w:r>
                  </w:p>
                </w:txbxContent>
              </v:textbox>
              <w10:wrap type="none"/>
            </v:shape>
            <v:shape style="position:absolute;left:3951;top:3095;width:309;height:166" type="#_x0000_t202" filled="false" stroked="false">
              <v:textbox inset="0,0,0,0">
                <w:txbxContent>
                  <w:p>
                    <w:pPr>
                      <w:spacing w:before="6"/>
                      <w:ind w:left="0" w:right="0" w:firstLine="0"/>
                      <w:jc w:val="left"/>
                      <w:rPr>
                        <w:b/>
                        <w:sz w:val="13"/>
                      </w:rPr>
                    </w:pPr>
                    <w:r>
                      <w:rPr>
                        <w:b/>
                        <w:w w:val="105"/>
                        <w:sz w:val="13"/>
                      </w:rPr>
                      <w:t>464</w:t>
                    </w:r>
                  </w:p>
                </w:txbxContent>
              </v:textbox>
              <w10:wrap type="none"/>
            </v:shape>
            <w10:wrap type="none"/>
          </v:group>
        </w:pict>
      </w:r>
      <w:r>
        <w:rPr/>
        <w:pict>
          <v:rect style="position:absolute;margin-left:264.132172pt;margin-top:5.311371pt;width:9.535308pt;height:7.157759pt;mso-position-horizontal-relative:page;mso-position-vertical-relative:paragraph;z-index:6880" filled="true" fillcolor="#a7d2f5" stroked="false">
            <v:fill type="solid"/>
            <w10:wrap type="none"/>
          </v:rect>
        </w:pict>
      </w:r>
      <w:r>
        <w:rPr/>
        <w:pict>
          <v:rect style="position:absolute;margin-left:264.132172pt;margin-top:49.888809pt;width:9.535308pt;height:7.157759pt;mso-position-horizontal-relative:page;mso-position-vertical-relative:paragraph;z-index:6904" filled="true" fillcolor="#808080" stroked="false">
            <v:fill type="solid"/>
            <w10:wrap type="none"/>
          </v:rect>
        </w:pict>
      </w:r>
      <w:r>
        <w:rPr/>
        <w:pict>
          <v:rect style="position:absolute;margin-left:264.132172pt;margin-top:38.74445pt;width:9.535308pt;height:7.157759pt;mso-position-horizontal-relative:page;mso-position-vertical-relative:paragraph;z-index:6928" filled="true" fillcolor="#009ddf" stroked="false">
            <v:fill type="solid"/>
            <w10:wrap type="none"/>
          </v:rect>
        </w:pict>
      </w:r>
      <w:r>
        <w:rPr/>
        <w:pict>
          <v:rect style="position:absolute;margin-left:264.132172pt;margin-top:27.60009pt;width:9.535308pt;height:7.157759pt;mso-position-horizontal-relative:page;mso-position-vertical-relative:paragraph;z-index:6952" filled="true" fillcolor="#5ca451" stroked="false">
            <v:fill type="solid"/>
            <w10:wrap type="none"/>
          </v:rect>
        </w:pict>
      </w:r>
      <w:r>
        <w:rPr/>
        <w:pict>
          <v:rect style="position:absolute;margin-left:264.132172pt;margin-top:16.45573pt;width:9.535308pt;height:7.157759pt;mso-position-horizontal-relative:page;mso-position-vertical-relative:paragraph;z-index:6976" filled="true" fillcolor="#d0cfc5" stroked="false">
            <v:fill type="solid"/>
            <w10:wrap type="none"/>
          </v:rect>
        </w:pict>
      </w:r>
      <w:r>
        <w:rPr>
          <w:w w:val="105"/>
          <w:sz w:val="13"/>
        </w:rPr>
        <w:t>DTU KU AU AAU SDU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99"/>
        <w:ind w:left="742" w:right="1262" w:firstLine="0"/>
        <w:jc w:val="left"/>
        <w:rPr>
          <w:sz w:val="13"/>
        </w:rPr>
      </w:pPr>
      <w:r>
        <w:rPr>
          <w:sz w:val="13"/>
        </w:rPr>
        <w:t>Kilde: Rambøll og London Economics på baggrund af data fra Styrelsen for Forskning og Innovation vedr. danske aktiviteter i relation til ESA.</w:t>
      </w:r>
    </w:p>
    <w:p>
      <w:pPr>
        <w:pStyle w:val="BodyText"/>
        <w:spacing w:before="10"/>
        <w:rPr>
          <w:sz w:val="21"/>
        </w:rPr>
      </w:pPr>
    </w:p>
    <w:p>
      <w:pPr>
        <w:pStyle w:val="BodyText"/>
        <w:spacing w:line="264" w:lineRule="auto"/>
        <w:ind w:left="742" w:right="1364"/>
      </w:pPr>
      <w:r>
        <w:rPr/>
        <w:t>Når man vurderer styrkepositioner inden for forskning er det meget væsentligt at være opmærk- som på, at man i Danmark har en relativt stærk sektorforskning på rumområdet, der i øvrigt ar-</w:t>
      </w:r>
    </w:p>
    <w:p>
      <w:pPr>
        <w:spacing w:after="0" w:line="264" w:lineRule="auto"/>
        <w:sectPr>
          <w:type w:val="continuous"/>
          <w:pgSz w:w="11910" w:h="16840"/>
          <w:pgMar w:top="1400" w:bottom="280" w:left="960" w:right="0"/>
        </w:sectPr>
      </w:pPr>
    </w:p>
    <w:p>
      <w:pPr>
        <w:pStyle w:val="BodyText"/>
        <w:spacing w:line="264" w:lineRule="auto" w:before="126"/>
        <w:ind w:left="742" w:right="1259"/>
      </w:pPr>
      <w:r>
        <w:rPr/>
        <w:t>bejder tæt sammen med virksomheder, myndigheder og andre forskningsinstitutioner. DMI er et godt eksempel på dette og udgør en væsentlig kritisk masse af professionelle fuldtidsforskere, der publicerer peer-reviewed artikler i konkurrence med deres kolleger fra eksempelvis DTU.</w:t>
      </w:r>
    </w:p>
    <w:p>
      <w:pPr>
        <w:pStyle w:val="BodyText"/>
        <w:spacing w:before="7"/>
        <w:rPr>
          <w:sz w:val="19"/>
        </w:rPr>
      </w:pPr>
    </w:p>
    <w:p>
      <w:pPr>
        <w:spacing w:before="1"/>
        <w:ind w:left="118" w:right="0" w:firstLine="0"/>
        <w:jc w:val="left"/>
        <w:rPr>
          <w:b/>
          <w:sz w:val="18"/>
        </w:rPr>
      </w:pPr>
      <w:r>
        <w:rPr>
          <w:b/>
          <w:sz w:val="18"/>
        </w:rPr>
        <w:t>5.3.1 Bibliometrisk gennemgang af danske bidrag til rumrelaterede tidsskrifter</w:t>
      </w:r>
    </w:p>
    <w:p>
      <w:pPr>
        <w:pStyle w:val="BodyText"/>
        <w:spacing w:line="264" w:lineRule="auto" w:before="21"/>
        <w:ind w:left="742" w:right="1254"/>
      </w:pPr>
      <w:r>
        <w:rPr/>
        <w:t>Følgende afsnit gennemgår antallet af danske artikler udgivet i 2014 i tidsskrifter med særlig rele- vans for rumområdet samt disse tidsskrifters relative popularitet.</w:t>
      </w:r>
    </w:p>
    <w:p>
      <w:pPr>
        <w:pStyle w:val="BodyText"/>
        <w:spacing w:before="7"/>
        <w:rPr>
          <w:sz w:val="19"/>
        </w:rPr>
      </w:pPr>
    </w:p>
    <w:p>
      <w:pPr>
        <w:spacing w:before="1"/>
        <w:ind w:left="742" w:right="0" w:firstLine="0"/>
        <w:jc w:val="left"/>
        <w:rPr>
          <w:b/>
          <w:sz w:val="18"/>
        </w:rPr>
      </w:pPr>
      <w:r>
        <w:rPr>
          <w:b/>
          <w:sz w:val="18"/>
        </w:rPr>
        <w:t>Metode</w:t>
      </w:r>
    </w:p>
    <w:p>
      <w:pPr>
        <w:pStyle w:val="BodyText"/>
        <w:spacing w:line="264" w:lineRule="auto" w:before="21"/>
        <w:ind w:left="742" w:right="1141"/>
      </w:pPr>
      <w:r>
        <w:rPr/>
        <w:t>Indledningsvis har forskere ved seks danske universiteter udpeget titlerne på de 10-15 mest rele- vante videnskabelige tidsskrifter for rumområdet. På baggrund af indberetningerne var det muligt at identificere 37 unikke tidsskrifter, som forskerne anså for særligt relevante. En fuldmægtig fra Forsknings- og Innovationsstyrelsen (FI) har herefter beriget bruttolisten med antallet af publikati- oner fra danske universiteter i de respektive tidsskrifter. Data for denne del af analysen stammer fra forskernes egne indberetninger til FI. Ydermere er hvert tidsskrift tildelt en Journal Impact Fac- tor (JIF) ved at konsultere Thomson Reuters Journal Citation Reports fra i år, hvor 2014- opgørelsen er den nyeste. JIF 2014 er udregnet ved at dividere antallet af gange, udgivelser fra det respektive tidsskrift fra 2012 og 2013 er citeret i 2014 med antallet af udgivelser fra det respektive tidsskrift udgivet i 2012 og 2013. JIF 2014 udtrykker derfor antallet af citationer en gennemsnitlig artikel i tidsskriftet, udgivet i enten 2012 eller 2013, har opnået i løbet af 2014. JIF er derfor en ofte anvendt indikator for tidsskrifters popularitet og videnskabelige indvirkning.</w:t>
      </w:r>
    </w:p>
    <w:p>
      <w:pPr>
        <w:pStyle w:val="BodyText"/>
        <w:spacing w:before="2"/>
        <w:rPr>
          <w:sz w:val="19"/>
        </w:rPr>
      </w:pPr>
    </w:p>
    <w:p>
      <w:pPr>
        <w:spacing w:before="0"/>
        <w:ind w:left="742" w:right="0" w:firstLine="0"/>
        <w:jc w:val="left"/>
        <w:rPr>
          <w:b/>
          <w:sz w:val="18"/>
        </w:rPr>
      </w:pPr>
      <w:r>
        <w:rPr>
          <w:b/>
          <w:sz w:val="18"/>
        </w:rPr>
        <w:t>Begrænsninger</w:t>
      </w:r>
    </w:p>
    <w:p>
      <w:pPr>
        <w:pStyle w:val="BodyText"/>
        <w:spacing w:line="264" w:lineRule="auto" w:before="21"/>
        <w:ind w:left="742" w:right="1147"/>
      </w:pPr>
      <w:r>
        <w:rPr/>
        <w:t>Ovenstående metode er tilstrækkelig til at give en bred indføring i dansk forsknings bidrag til rum- relaterede tidsskrifter, dog har metoden også begrænsninger. For det første er antallet af publika- tioner afhængig af, at forskerne har indrapporteret det korrekte antal publikationer. Såfremt for- skerne eksempelvis har glemt at indrapportere en udgivelse, er denne ikke medtaget i nedenstå- ende figur. Ydermere er antallet af publikationer alene det, der har udløst point i den bibliometriske forskningsindikator, hvorfor fejlbehæftede indrapporteringer ikke er medtaget i optællingen. For det tredje indeholder nærværende analyse samtlige danske udgivelser i de respektive tidsskrifter for 2014. Med ovenstående metode er det derfor ikke muligt at udtale sig om, hvor stor en</w:t>
      </w:r>
      <w:r>
        <w:rPr>
          <w:spacing w:val="-45"/>
        </w:rPr>
        <w:t> </w:t>
      </w:r>
      <w:r>
        <w:rPr/>
        <w:t>andel af udgivelserne i et tidsskrift, der eksplicit relaterer sig til rumområdet. Denne begrænsning har sær- ligt betydning for tidsskrifter med et bredt fagområde, eksempelvis Nature, og må anses for at have mindre betydning i tidsskrifter, der alene beskæftiger sig med</w:t>
      </w:r>
      <w:r>
        <w:rPr>
          <w:spacing w:val="-16"/>
        </w:rPr>
        <w:t> </w:t>
      </w:r>
      <w:r>
        <w:rPr/>
        <w:t>rumområdet.</w:t>
      </w:r>
    </w:p>
    <w:p>
      <w:pPr>
        <w:pStyle w:val="BodyText"/>
        <w:spacing w:before="2"/>
        <w:rPr>
          <w:sz w:val="19"/>
        </w:rPr>
      </w:pPr>
    </w:p>
    <w:p>
      <w:pPr>
        <w:spacing w:before="1"/>
        <w:ind w:left="742" w:right="0" w:firstLine="0"/>
        <w:jc w:val="left"/>
        <w:rPr>
          <w:b/>
          <w:sz w:val="18"/>
        </w:rPr>
      </w:pPr>
      <w:r>
        <w:rPr>
          <w:b/>
          <w:sz w:val="18"/>
        </w:rPr>
        <w:t>Resultater</w:t>
      </w:r>
    </w:p>
    <w:p>
      <w:pPr>
        <w:pStyle w:val="BodyText"/>
        <w:spacing w:line="264" w:lineRule="auto" w:before="21"/>
        <w:ind w:left="742" w:right="1231"/>
      </w:pPr>
      <w:r>
        <w:rPr/>
        <w:t>Nedenstående figur viser, at Danmark var repræsenteret i 24 af de i alt 37 tidsskrifter i 2014. I alt udgav Danmark 811 artikler i tidsskrifterne i 2014. Omtrent halvdelen, 53 %, af udgivelserne er fordelt på Plos One (315 udgivelser) og Astrophysical Journal (111 udgivelser). JIF 2014 indikerer, at relativt til de øvrige tidsskrifter rangerer disse to tidsskrifter lavt, idet deres JIF udregnes til at være henholdsvis 3,3 og 6. Gennemsnittet for alle 37 tidsskrifter er en JIF på cirka 10. Med andre ord er det forventeligt, at såfremt udgivelserne følger det gennemsnitlige antal citationer af tids- skrifterne i de foregående to år, vil hovedparten af de danske udgivelser citeres i omegnen 3-6 gange i 2016.</w:t>
      </w:r>
    </w:p>
    <w:p>
      <w:pPr>
        <w:pStyle w:val="BodyText"/>
        <w:spacing w:before="4"/>
        <w:rPr>
          <w:sz w:val="19"/>
        </w:rPr>
      </w:pPr>
    </w:p>
    <w:p>
      <w:pPr>
        <w:pStyle w:val="BodyText"/>
        <w:spacing w:line="264" w:lineRule="auto"/>
        <w:ind w:left="742" w:right="1146"/>
      </w:pPr>
      <w:r>
        <w:rPr/>
        <w:t>New Englang Journal of Medicine havde med en JIF-værdi på 55,8 det højeste antal gennemsnitlige citationer for 2014. I dette tidsskrift udgav Danmark 13 artikler i løbet af 2014. Til sammenligning udgav Danmark 26 artikler i Lancet, der havde en JIF på 45,2 samt 38 artikler i Nature med en JIF på 41,4. Danmark udgav altså 9. flest artikler i det tidsskrift med relativt flest gennemsnitlige cita- tioner pr. artikel for 2014, og samtidig publicerede vi flest artikler i det tidsskrift med 27. flest gen- nemsnitlige citationer per artikel. Ovenstående tendens skal naturligvis læses i lyset af, at det alt andet lige er sværere at udgive artikler i de mest citerede tidsskrifter.</w:t>
      </w:r>
    </w:p>
    <w:p>
      <w:pPr>
        <w:spacing w:after="0" w:line="264" w:lineRule="auto"/>
        <w:sectPr>
          <w:pgSz w:w="11910" w:h="16840"/>
          <w:pgMar w:header="0" w:footer="1056" w:top="1580" w:bottom="1240" w:left="960" w:right="0"/>
        </w:sectPr>
      </w:pPr>
    </w:p>
    <w:p>
      <w:pPr>
        <w:spacing w:before="101"/>
        <w:ind w:left="742" w:right="0" w:firstLine="0"/>
        <w:jc w:val="left"/>
        <w:rPr>
          <w:b/>
          <w:sz w:val="15"/>
        </w:rPr>
      </w:pPr>
      <w:r>
        <w:rPr/>
        <w:drawing>
          <wp:anchor distT="0" distB="0" distL="0" distR="0" allowOverlap="1" layoutInCell="1" locked="0" behindDoc="0" simplePos="0" relativeHeight="249">
            <wp:simplePos x="0" y="0"/>
            <wp:positionH relativeFrom="page">
              <wp:posOffset>1080135</wp:posOffset>
            </wp:positionH>
            <wp:positionV relativeFrom="paragraph">
              <wp:posOffset>244054</wp:posOffset>
            </wp:positionV>
            <wp:extent cx="6071482" cy="4560570"/>
            <wp:effectExtent l="0" t="0" r="0" b="0"/>
            <wp:wrapTopAndBottom/>
            <wp:docPr id="67" name="image48.png" descr=""/>
            <wp:cNvGraphicFramePr>
              <a:graphicFrameLocks noChangeAspect="1"/>
            </wp:cNvGraphicFramePr>
            <a:graphic>
              <a:graphicData uri="http://schemas.openxmlformats.org/drawingml/2006/picture">
                <pic:pic>
                  <pic:nvPicPr>
                    <pic:cNvPr id="68" name="image48.png"/>
                    <pic:cNvPicPr/>
                  </pic:nvPicPr>
                  <pic:blipFill>
                    <a:blip r:embed="rId107" cstate="print"/>
                    <a:stretch>
                      <a:fillRect/>
                    </a:stretch>
                  </pic:blipFill>
                  <pic:spPr>
                    <a:xfrm>
                      <a:off x="0" y="0"/>
                      <a:ext cx="6071482" cy="4560570"/>
                    </a:xfrm>
                    <a:prstGeom prst="rect">
                      <a:avLst/>
                    </a:prstGeom>
                  </pic:spPr>
                </pic:pic>
              </a:graphicData>
            </a:graphic>
          </wp:anchor>
        </w:drawing>
      </w:r>
      <w:r>
        <w:rPr>
          <w:b/>
          <w:color w:val="009DDF"/>
          <w:sz w:val="15"/>
        </w:rPr>
        <w:t>Figur 24. Danske bidrag til rumrelaterede tidsskrifter</w:t>
      </w:r>
    </w:p>
    <w:p>
      <w:pPr>
        <w:spacing w:before="101"/>
        <w:ind w:left="742" w:right="0" w:firstLine="0"/>
        <w:jc w:val="left"/>
        <w:rPr>
          <w:sz w:val="13"/>
        </w:rPr>
      </w:pPr>
      <w:r>
        <w:rPr>
          <w:sz w:val="13"/>
        </w:rPr>
        <w:t>Kilde: Rambøll og London Economics</w:t>
      </w:r>
    </w:p>
    <w:p>
      <w:pPr>
        <w:pStyle w:val="BodyText"/>
        <w:spacing w:before="7"/>
        <w:rPr>
          <w:sz w:val="21"/>
        </w:rPr>
      </w:pPr>
    </w:p>
    <w:p>
      <w:pPr>
        <w:pStyle w:val="BodyText"/>
        <w:spacing w:line="264" w:lineRule="auto"/>
        <w:ind w:left="742" w:right="1127"/>
      </w:pPr>
      <w:r>
        <w:rPr/>
        <w:t>På trods af at JIF er et simpelt mål for tidsskrifternes betydning i den videnskabelige verden, er det interessant at omregne ovenstående figur, således at forholdet mellem antal udgivelser og JIF fremstår mere klart. Nedenstående figur udtrykker derfor den forventelige videnskabelige indvirk- ning af udgivelserne i 2014 (målt i antal citationer) fordelt på videnskabelige tidsskrifter. Figuren bygger på en antagelse om, at udgivelserne i 2014 vil opnå samme antal gennemsnitlige citationer, som udgivelserne fra samme tidsskrifter modtog i 2012 og 2013.</w:t>
      </w:r>
    </w:p>
    <w:p>
      <w:pPr>
        <w:pStyle w:val="BodyText"/>
        <w:spacing w:before="5"/>
        <w:rPr>
          <w:sz w:val="19"/>
        </w:rPr>
      </w:pPr>
    </w:p>
    <w:p>
      <w:pPr>
        <w:pStyle w:val="BodyText"/>
        <w:spacing w:line="264" w:lineRule="auto"/>
        <w:ind w:left="742" w:right="1256"/>
        <w:jc w:val="both"/>
      </w:pPr>
      <w:r>
        <w:rPr/>
        <w:t>Figuren nedenfor viser, at såfremt ovenstående antagelser holder, vil den danske forskning i rum- relaterede tidsskrifter have størst indvirkning (målt i antal citationer) via vores publikationer i Na- ture, da disse forventeligt vil udgøre 21 % af de citationer, som de 811 artikler vil opnå. Publikati- oner i Lancet, Science og Plos One vil tilsammen udgøre lidt over fire tiendedele af citationerne.</w:t>
      </w:r>
    </w:p>
    <w:p>
      <w:pPr>
        <w:pStyle w:val="BodyText"/>
        <w:spacing w:line="264" w:lineRule="auto"/>
        <w:ind w:left="742" w:right="1384"/>
      </w:pPr>
      <w:r>
        <w:rPr/>
        <w:t>Endelig vil vores udgivelser i New England Journal of Medicine, Astrophysical Journal samt Astro- nomy &amp; Astrophysics tilsammen stå for i omegnen af en fjerdedel af citationerne.</w:t>
      </w:r>
    </w:p>
    <w:p>
      <w:pPr>
        <w:spacing w:after="0" w:line="264" w:lineRule="auto"/>
        <w:sectPr>
          <w:pgSz w:w="11910" w:h="16840"/>
          <w:pgMar w:header="0" w:footer="1056" w:top="1580" w:bottom="1240" w:left="960" w:right="0"/>
        </w:sectPr>
      </w:pPr>
    </w:p>
    <w:p>
      <w:pPr>
        <w:pStyle w:val="BodyText"/>
        <w:rPr>
          <w:sz w:val="14"/>
        </w:rPr>
      </w:pPr>
    </w:p>
    <w:p>
      <w:pPr>
        <w:spacing w:before="102"/>
        <w:ind w:left="742" w:right="1495" w:firstLine="0"/>
        <w:jc w:val="left"/>
        <w:rPr>
          <w:b/>
          <w:sz w:val="15"/>
        </w:rPr>
      </w:pPr>
      <w:r>
        <w:rPr>
          <w:b/>
          <w:color w:val="009DDF"/>
          <w:sz w:val="15"/>
        </w:rPr>
        <w:t>Figur 25. Forskningsmæssig indvirkning (målt på forventede antal citationer) fordelt på tidsskrifter for 2014 udgivelser</w:t>
      </w:r>
    </w:p>
    <w:p>
      <w:pPr>
        <w:pStyle w:val="BodyText"/>
        <w:spacing w:before="1"/>
        <w:rPr>
          <w:b/>
          <w:sz w:val="23"/>
        </w:rPr>
      </w:pPr>
      <w:r>
        <w:rPr/>
        <w:pict>
          <v:group style="position:absolute;margin-left:162.050003pt;margin-top:16.002695pt;width:189.2pt;height:179.75pt;mso-position-horizontal-relative:page;mso-position-vertical-relative:paragraph;z-index:5120;mso-wrap-distance-left:0;mso-wrap-distance-right:0" coordorigin="3241,320" coordsize="3784,3595">
            <v:shape style="position:absolute;left:5226;top:320;width:1740;height:1798" coordorigin="5227,320" coordsize="1740,1798" path="m5227,320l5227,2117,6966,1664,6945,1590,6921,1518,6895,1448,6865,1379,6833,1311,6799,1246,6762,1182,6722,1120,6680,1060,6636,1001,6589,945,6540,891,6490,839,6437,789,6382,741,6326,695,6267,652,6207,611,6145,572,6082,537,6017,503,5951,472,5883,444,5814,419,5744,396,5673,376,5601,359,5528,345,5454,334,5379,326,5303,322,5227,320xe" filled="true" fillcolor="#009ddf" stroked="false">
              <v:path arrowok="t"/>
              <v:fill type="solid"/>
            </v:shape>
            <v:shape style="position:absolute;left:5226;top:1663;width:1798;height:1648" coordorigin="5227,1664" coordsize="1798,1648" path="m6966,1664l5227,2117,6570,3311,6621,3252,6669,3191,6713,3128,6755,3063,6794,2997,6830,2929,6863,2861,6893,2790,6920,2719,6944,2647,6965,2574,6983,2500,6997,2425,7009,2350,7017,2275,7022,2199,7024,2122,7023,2046,7018,1969,7010,1892,6999,1816,6984,1740,6966,1664xe" filled="true" fillcolor="#519246" stroked="false">
              <v:path arrowok="t"/>
              <v:fill type="solid"/>
            </v:shape>
            <v:shape style="position:absolute;left:5129;top:2117;width:1441;height:1798" coordorigin="5130,2117" coordsize="1441,1798" path="m5227,2117l5130,3912,5208,3915,5285,3914,5363,3910,5439,3902,5515,3892,5591,3878,5665,3861,5739,3840,5812,3817,5883,3791,5954,3761,6023,3729,6090,3694,6157,3656,6221,3615,6284,3571,6345,3524,6405,3475,6462,3423,6517,3369,6570,3311,5227,2117xe" filled="true" fillcolor="#8ea92e" stroked="false">
              <v:path arrowok="t"/>
              <v:fill type="solid"/>
            </v:shape>
            <v:shape style="position:absolute;left:3813;top:2117;width:1413;height:1795" coordorigin="3814,2117" coordsize="1413,1795" path="m5227,2117l3814,3228,3863,3288,3914,3346,3968,3401,4024,3453,4081,3503,4141,3550,4203,3595,4266,3637,4331,3676,4398,3713,4466,3746,4535,3777,4606,3805,4678,3829,4751,3851,4825,3870,4900,3885,4976,3898,5053,3907,5130,3912,5227,2117xe" filled="true" fillcolor="#797766" stroked="false">
              <v:path arrowok="t"/>
              <v:fill type="solid"/>
            </v:shape>
            <v:shape style="position:absolute;left:3432;top:2117;width:1795;height:1111" coordorigin="3432,2117" coordsize="1795,1111" path="m5227,2117l3432,2225,3439,2303,3448,2380,3462,2457,3478,2533,3497,2609,3520,2683,3546,2756,3575,2828,3608,2898,3643,2968,3681,3035,3722,3101,3767,3166,3814,3228,5227,2117xe" filled="true" fillcolor="#82c1f0" stroked="false">
              <v:path arrowok="t"/>
              <v:fill type="solid"/>
            </v:shape>
            <v:shape style="position:absolute;left:3429;top:1262;width:1798;height:963" coordorigin="3429,1262" coordsize="1798,963" path="m3646,1262l3610,1331,3578,1401,3549,1472,3523,1544,3500,1617,3480,1691,3464,1766,3450,1842,3440,1918,3433,1994,3430,2071,3429,2148,3432,2225,5227,2117,3646,1262xe" filled="true" fillcolor="#b8b7ad" stroked="false">
              <v:path arrowok="t"/>
              <v:fill type="solid"/>
            </v:shape>
            <v:shape style="position:absolute;left:3645;top:762;width:1581;height:1356" coordorigin="3646,762" coordsize="1581,1356" path="m4046,762l3986,817,3929,873,3875,933,3823,994,3774,1058,3729,1124,3686,1192,3646,1262,5227,2117,4046,762xe" filled="true" fillcolor="#c0def7" stroked="false">
              <v:path arrowok="t"/>
              <v:fill type="solid"/>
            </v:shape>
            <v:shape style="position:absolute;left:4045;top:320;width:1181;height:1798" coordorigin="4046,320" coordsize="1181,1798" path="m5227,320l5145,322,5065,327,4985,336,4905,349,4826,365,4749,385,4672,408,4596,434,4522,464,4449,497,4377,533,4307,573,4239,616,4173,661,4108,710,4046,762,5227,2117,5227,320xe" filled="true" fillcolor="#97be92" stroked="false">
              <v:path arrowok="t"/>
              <v:fill type="solid"/>
            </v:shape>
            <v:shape style="position:absolute;left:4519;top:481;width:498;height:390" type="#_x0000_t202" filled="false" stroked="false">
              <v:textbox inset="0,0,0,0">
                <w:txbxContent>
                  <w:p>
                    <w:pPr>
                      <w:spacing w:before="1"/>
                      <w:ind w:left="50" w:right="5" w:hanging="51"/>
                      <w:jc w:val="left"/>
                      <w:rPr>
                        <w:sz w:val="16"/>
                      </w:rPr>
                    </w:pPr>
                    <w:r>
                      <w:rPr>
                        <w:sz w:val="16"/>
                      </w:rPr>
                      <w:t>Andre 11%</w:t>
                    </w:r>
                  </w:p>
                </w:txbxContent>
              </v:textbox>
              <w10:wrap type="none"/>
            </v:shape>
            <v:shape style="position:absolute;left:3241;top:860;width:1204;height:2253" type="#_x0000_t202" filled="false" stroked="false">
              <v:textbox inset="0,0,0,0">
                <w:txbxContent>
                  <w:p>
                    <w:pPr>
                      <w:spacing w:before="1"/>
                      <w:ind w:left="0" w:right="158" w:firstLine="0"/>
                      <w:jc w:val="center"/>
                      <w:rPr>
                        <w:sz w:val="16"/>
                      </w:rPr>
                    </w:pPr>
                    <w:r>
                      <w:rPr>
                        <w:sz w:val="16"/>
                      </w:rPr>
                      <w:t>Astronomy &amp; Astrophysics 6%</w:t>
                    </w:r>
                  </w:p>
                  <w:p>
                    <w:pPr>
                      <w:spacing w:before="152"/>
                      <w:ind w:left="0" w:right="112" w:firstLine="0"/>
                      <w:jc w:val="center"/>
                      <w:rPr>
                        <w:sz w:val="16"/>
                      </w:rPr>
                    </w:pPr>
                    <w:r>
                      <w:rPr>
                        <w:sz w:val="16"/>
                      </w:rPr>
                      <w:t>Astrophysical Journal</w:t>
                    </w:r>
                  </w:p>
                  <w:p>
                    <w:pPr>
                      <w:spacing w:before="0"/>
                      <w:ind w:left="0" w:right="111" w:firstLine="0"/>
                      <w:jc w:val="center"/>
                      <w:rPr>
                        <w:sz w:val="16"/>
                      </w:rPr>
                    </w:pPr>
                    <w:r>
                      <w:rPr>
                        <w:sz w:val="16"/>
                      </w:rPr>
                      <w:t>9%</w:t>
                    </w:r>
                  </w:p>
                  <w:p>
                    <w:pPr>
                      <w:spacing w:before="154"/>
                      <w:ind w:left="138" w:right="18" w:firstLine="0"/>
                      <w:jc w:val="center"/>
                      <w:rPr>
                        <w:sz w:val="16"/>
                      </w:rPr>
                    </w:pPr>
                    <w:r>
                      <w:rPr>
                        <w:sz w:val="16"/>
                      </w:rPr>
                      <w:t>New England Journal of Medicine 10%</w:t>
                    </w:r>
                  </w:p>
                </w:txbxContent>
              </v:textbox>
              <w10:wrap type="none"/>
            </v:shape>
            <v:shape style="position:absolute;left:5839;top:778;width:565;height:390" type="#_x0000_t202" filled="false" stroked="false">
              <v:textbox inset="0,0,0,0">
                <w:txbxContent>
                  <w:p>
                    <w:pPr>
                      <w:spacing w:before="1"/>
                      <w:ind w:left="84" w:right="1" w:hanging="84"/>
                      <w:jc w:val="left"/>
                      <w:rPr>
                        <w:sz w:val="16"/>
                      </w:rPr>
                    </w:pPr>
                    <w:r>
                      <w:rPr>
                        <w:sz w:val="16"/>
                      </w:rPr>
                      <w:t>Nature 21%</w:t>
                    </w:r>
                  </w:p>
                </w:txbxContent>
              </v:textbox>
              <w10:wrap type="none"/>
            </v:shape>
            <v:shape style="position:absolute;left:6323;top:2249;width:549;height:390" type="#_x0000_t202" filled="false" stroked="false">
              <v:textbox inset="0,0,0,0">
                <w:txbxContent>
                  <w:p>
                    <w:pPr>
                      <w:spacing w:before="1"/>
                      <w:ind w:left="74" w:right="1" w:hanging="75"/>
                      <w:jc w:val="left"/>
                      <w:rPr>
                        <w:sz w:val="16"/>
                      </w:rPr>
                    </w:pPr>
                    <w:r>
                      <w:rPr>
                        <w:sz w:val="16"/>
                      </w:rPr>
                      <w:t>Lancet 16%</w:t>
                    </w:r>
                  </w:p>
                </w:txbxContent>
              </v:textbox>
              <w10:wrap type="none"/>
            </v:shape>
            <v:shape style="position:absolute;left:4064;top:3204;width:721;height:390" type="#_x0000_t202" filled="false" stroked="false">
              <v:textbox inset="0,0,0,0">
                <w:txbxContent>
                  <w:p>
                    <w:pPr>
                      <w:spacing w:before="1"/>
                      <w:ind w:left="160" w:right="2" w:hanging="161"/>
                      <w:jc w:val="left"/>
                      <w:rPr>
                        <w:sz w:val="16"/>
                      </w:rPr>
                    </w:pPr>
                    <w:r>
                      <w:rPr>
                        <w:sz w:val="16"/>
                      </w:rPr>
                      <w:t>Plos One 13%</w:t>
                    </w:r>
                  </w:p>
                </w:txbxContent>
              </v:textbox>
              <w10:wrap type="none"/>
            </v:shape>
            <v:shape style="position:absolute;left:5493;top:3296;width:634;height:390" type="#_x0000_t202" filled="false" stroked="false">
              <v:textbox inset="0,0,0,0">
                <w:txbxContent>
                  <w:p>
                    <w:pPr>
                      <w:spacing w:before="1"/>
                      <w:ind w:left="117" w:right="3" w:hanging="118"/>
                      <w:jc w:val="left"/>
                      <w:rPr>
                        <w:sz w:val="16"/>
                      </w:rPr>
                    </w:pPr>
                    <w:r>
                      <w:rPr>
                        <w:sz w:val="16"/>
                      </w:rPr>
                      <w:t>Science 14%</w:t>
                    </w:r>
                  </w:p>
                </w:txbxContent>
              </v:textbox>
              <w10:wrap type="none"/>
            </v:shape>
            <w10:wrap type="topAndBottom"/>
          </v:group>
        </w:pict>
      </w:r>
    </w:p>
    <w:p>
      <w:pPr>
        <w:pStyle w:val="BodyText"/>
        <w:spacing w:before="8"/>
        <w:rPr>
          <w:b/>
          <w:sz w:val="15"/>
        </w:rPr>
      </w:pPr>
    </w:p>
    <w:p>
      <w:pPr>
        <w:spacing w:before="0"/>
        <w:ind w:left="742" w:right="0" w:firstLine="0"/>
        <w:jc w:val="left"/>
        <w:rPr>
          <w:sz w:val="13"/>
        </w:rPr>
      </w:pPr>
      <w:r>
        <w:rPr>
          <w:sz w:val="13"/>
        </w:rPr>
        <w:t>Kilde: Rambøll og London Economics</w:t>
      </w:r>
    </w:p>
    <w:p>
      <w:pPr>
        <w:pStyle w:val="BodyText"/>
        <w:rPr>
          <w:sz w:val="16"/>
        </w:rPr>
      </w:pPr>
    </w:p>
    <w:p>
      <w:pPr>
        <w:pStyle w:val="BodyText"/>
        <w:rPr>
          <w:sz w:val="16"/>
        </w:rPr>
      </w:pPr>
    </w:p>
    <w:p>
      <w:pPr>
        <w:pStyle w:val="Heading2"/>
        <w:numPr>
          <w:ilvl w:val="1"/>
          <w:numId w:val="14"/>
        </w:numPr>
        <w:tabs>
          <w:tab w:pos="741" w:val="left" w:leader="none"/>
          <w:tab w:pos="743" w:val="left" w:leader="none"/>
        </w:tabs>
        <w:spacing w:line="240" w:lineRule="auto" w:before="115" w:after="0"/>
        <w:ind w:left="742" w:right="0" w:hanging="624"/>
        <w:jc w:val="left"/>
      </w:pPr>
      <w:bookmarkStart w:name="_bookmark43" w:id="44"/>
      <w:bookmarkEnd w:id="44"/>
      <w:r>
        <w:rPr/>
        <w:t>My</w:t>
      </w:r>
      <w:r>
        <w:rPr/>
        <w:t>ndighederne</w:t>
      </w:r>
    </w:p>
    <w:p>
      <w:pPr>
        <w:pStyle w:val="BodyText"/>
        <w:spacing w:line="264" w:lineRule="auto" w:before="22"/>
        <w:ind w:left="742" w:right="1188"/>
      </w:pPr>
      <w:r>
        <w:rPr/>
        <w:t>Det er ikke oplagt at sammenligne myndigheders indbyrdes konkurrencemæssige styrkepositioner, da myndighederne administrerer og koordinerer et givent ressortområde og dets rumrelaterede aktiviteter. I nærværende sammenhæng giver det derfor mere mening at sammenligne centrale myndigheder på rumområdet ift. to dimensioner, som i kortlægningen har vist sig at differentiere myndighedernes forretningsmæssige fokus på rumrelaterede aktiviteter.</w:t>
      </w:r>
    </w:p>
    <w:p>
      <w:pPr>
        <w:pStyle w:val="BodyText"/>
        <w:spacing w:before="5"/>
        <w:rPr>
          <w:sz w:val="19"/>
        </w:rPr>
      </w:pPr>
    </w:p>
    <w:p>
      <w:pPr>
        <w:pStyle w:val="BodyText"/>
        <w:spacing w:line="264" w:lineRule="auto" w:before="1"/>
        <w:ind w:left="742" w:right="1190"/>
      </w:pPr>
      <w:r>
        <w:rPr/>
        <w:t>Den første dimension, som differentierer myndigheder, er deres fokus at servicere andre myndig- heder eller slutbrugere i markedet, dvs. borgere eller virksomheder. Eksempelvis er DMI relativt fokuseret på markedet idet, man på den ene side skal levere specialiserede vejrprognoser til andre myndigheder, mens man på den anden side også leverer prognoser direkte til borgerne og virk- somheder.</w:t>
      </w:r>
    </w:p>
    <w:p>
      <w:pPr>
        <w:pStyle w:val="BodyText"/>
        <w:spacing w:before="6"/>
        <w:rPr>
          <w:sz w:val="19"/>
        </w:rPr>
      </w:pPr>
    </w:p>
    <w:p>
      <w:pPr>
        <w:pStyle w:val="BodyText"/>
        <w:spacing w:line="264" w:lineRule="auto"/>
        <w:ind w:left="742" w:right="1164"/>
      </w:pPr>
      <w:r>
        <w:rPr/>
        <w:t>Den anden dimension differentierer myndighederne alt efter, om deres ydelser er specifikt relevan- te for bestemte ressortområder, forskningsfelter eller erhvervsområder. Eksempelvis er Forsvars- ministeriets ydelser primært rettet mod forsvars- og sikkerhedspolitiske aktører og problemstillin- ger, mens Styrelsen for Dataforsyning og Effektivisering arbejder mere generelt med at udvikle datadelingen inden for eksempelvis satellitbaserede data mellem myndigheder og ressortområder.</w:t>
      </w:r>
    </w:p>
    <w:p>
      <w:pPr>
        <w:pStyle w:val="BodyText"/>
        <w:spacing w:before="6"/>
        <w:rPr>
          <w:sz w:val="19"/>
        </w:rPr>
      </w:pPr>
    </w:p>
    <w:p>
      <w:pPr>
        <w:pStyle w:val="BodyText"/>
        <w:spacing w:line="264" w:lineRule="auto"/>
        <w:ind w:left="742" w:right="1175"/>
      </w:pPr>
      <w:r>
        <w:rPr/>
        <w:t>Baseret på kvalitative interview og gennemgang af dokumenter mv. i forbindelse med kortlægnin- gen er en række deltagende myndigheder plottet ind i nedenstående figur på de to dimensioner. Ud fra et deskriptivt perspektiv er myndighedernes konkrete placering selvfølgelig interessant. Men det der – ift. styrkepositioner – er interessant, er, i hvilket omfang de enkelte myndigheder udfyl- der deres rolle tilstrækkeligt – og hvad der har betydning herfor. På baggrund af kortlægningen (herunder interview og research) kan der ikke drages håndfaste konklusioner om, at bestemte myndigheder i større eller mindre omfang udfylder deres bestemte rolle. Men man kan konkludere noget om, hvilke faktorer der har betydning for, om myndighederne er stærke eller svage i deres positioner. En central tendens på tværs af interview og inddragelse af myndigheder er fx, at man ønsker at blive endnu bedre til datadeling af fx satellitbaserede billeder, ligesom man på nogle områder kan have nytte af endnu højere kvalitet eller</w:t>
      </w:r>
      <w:r>
        <w:rPr>
          <w:spacing w:val="-13"/>
        </w:rPr>
        <w:t> </w:t>
      </w:r>
      <w:r>
        <w:rPr/>
        <w:t>produktionshastighed.</w:t>
      </w:r>
    </w:p>
    <w:p>
      <w:pPr>
        <w:spacing w:after="0" w:line="264" w:lineRule="auto"/>
        <w:sectPr>
          <w:footerReference w:type="default" r:id="rId108"/>
          <w:pgSz w:w="11910" w:h="16840"/>
          <w:pgMar w:footer="619" w:header="0" w:top="1580" w:bottom="800" w:left="960" w:right="0"/>
          <w:pgNumType w:start="57"/>
        </w:sectPr>
      </w:pPr>
    </w:p>
    <w:p>
      <w:pPr>
        <w:spacing w:before="101"/>
        <w:ind w:left="742" w:right="0" w:firstLine="0"/>
        <w:jc w:val="left"/>
        <w:rPr>
          <w:b/>
          <w:sz w:val="15"/>
        </w:rPr>
      </w:pPr>
      <w:r>
        <w:rPr/>
        <w:pict>
          <v:group style="position:absolute;margin-left:105.786484pt;margin-top:23.938774pt;width:301pt;height:300.45pt;mso-position-horizontal-relative:page;mso-position-vertical-relative:paragraph;z-index:7192" coordorigin="2116,479" coordsize="6020,6009">
            <v:rect style="position:absolute;left:2171;top:483;width:5959;height:5947" filled="false" stroked="true" strokeweight=".465655pt" strokecolor="#797766">
              <v:stroke dashstyle="solid"/>
            </v:rect>
            <v:shape style="position:absolute;left:728;top:5311;width:9205;height:9205" coordorigin="728,5312" coordsize="9205,9205" path="m5151,6431l5151,484m2173,3457l8132,3457e" filled="false" stroked="true" strokeweight="1.474577pt" strokecolor="#d0cfc5">
              <v:path arrowok="t"/>
              <v:stroke dashstyle="shortdash"/>
            </v:shape>
            <v:shape style="position:absolute;left:2115;top:484;width:6017;height:6004" coordorigin="2116,484" coordsize="6017,6004" path="m8132,6431l8115,6420,8039,6377,8034,6374,8028,6375,8023,6385,8024,6391,8075,6420,2183,6420,2183,541,2209,587,2212,592,2218,593,2223,590,2228,588,2229,581,2184,504,2173,484,2116,581,2117,588,2122,590,2127,593,2133,592,2136,587,2162,541,2162,6431,2173,6431,2173,6441,8075,6441,8024,6470,8023,6476,8028,6486,8034,6487,8039,6484,8115,6441,8132,6431e" filled="true" fillcolor="#000000" stroked="false">
              <v:path arrowok="t"/>
              <v:fill type="solid"/>
            </v:shape>
            <v:shape style="position:absolute;left:3629;top:4215;width:807;height:807" type="#_x0000_t75" stroked="false">
              <v:imagedata r:id="rId109" o:title=""/>
            </v:shape>
            <v:shape style="position:absolute;left:5131;top:4117;width:2202;height:428" type="#_x0000_t75" stroked="false">
              <v:imagedata r:id="rId110" o:title=""/>
            </v:shape>
            <v:shape style="position:absolute;left:2400;top:5552;width:2959;height:583" type="#_x0000_t75" stroked="false">
              <v:imagedata r:id="rId111" o:title=""/>
            </v:shape>
            <v:shape style="position:absolute;left:2400;top:3497;width:2006;height:580" type="#_x0000_t75" stroked="false">
              <v:imagedata r:id="rId112" o:title=""/>
            </v:shape>
            <v:shape style="position:absolute;left:6396;top:5390;width:1505;height:615" type="#_x0000_t75" stroked="false">
              <v:imagedata r:id="rId113" o:title=""/>
            </v:shape>
            <v:shape style="position:absolute;left:5262;top:1485;width:440;height:1291" type="#_x0000_t75" stroked="false">
              <v:imagedata r:id="rId114" o:title=""/>
            </v:shape>
            <v:shape style="position:absolute;left:3144;top:1795;width:1731;height:670" type="#_x0000_t75" stroked="false">
              <v:imagedata r:id="rId115" o:title=""/>
            </v:shape>
            <v:shape style="position:absolute;left:3399;top:2522;width:1267;height:414" type="#_x0000_t75" stroked="false">
              <v:imagedata r:id="rId116" o:title=""/>
            </v:shape>
            <w10:wrap type="none"/>
          </v:group>
        </w:pict>
      </w:r>
      <w:r>
        <w:rPr/>
        <w:pict>
          <v:shape style="position:absolute;margin-left:90.345688pt;margin-top:29.29818pt;width:13.05pt;height:80.05pt;mso-position-horizontal-relative:page;mso-position-vertical-relative:paragraph;z-index:7216" type="#_x0000_t202" filled="false" stroked="false">
            <v:textbox inset="0,0,0,0" style="layout-flow:vertical">
              <w:txbxContent>
                <w:p>
                  <w:pPr>
                    <w:pStyle w:val="BodyText"/>
                    <w:spacing w:before="22"/>
                    <w:ind w:left="20"/>
                  </w:pPr>
                  <w:r>
                    <w:rPr/>
                    <w:t>Fokus på marked</w:t>
                  </w:r>
                </w:p>
              </w:txbxContent>
            </v:textbox>
            <w10:wrap type="none"/>
          </v:shape>
        </w:pict>
      </w:r>
      <w:r>
        <w:rPr>
          <w:b/>
          <w:color w:val="009DDF"/>
          <w:sz w:val="15"/>
        </w:rPr>
        <w:t>Figur 26. Fokus i rumrelaterede aktiviteter for myndigheder, der indgår i kortlægningen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p>
    <w:p>
      <w:pPr>
        <w:pStyle w:val="BodyText"/>
        <w:tabs>
          <w:tab w:pos="5512" w:val="left" w:leader="none"/>
        </w:tabs>
        <w:spacing w:before="102"/>
        <w:ind w:left="1304"/>
      </w:pPr>
      <w:r>
        <w:rPr/>
        <w:pict>
          <v:shape style="position:absolute;margin-left:90.345688pt;margin-top:-108.784615pt;width:13.05pt;height:105.4pt;mso-position-horizontal-relative:page;mso-position-vertical-relative:paragraph;z-index:7240" type="#_x0000_t202" filled="false" stroked="false">
            <v:textbox inset="0,0,0,0" style="layout-flow:vertical">
              <w:txbxContent>
                <w:p>
                  <w:pPr>
                    <w:pStyle w:val="BodyText"/>
                    <w:spacing w:before="22"/>
                    <w:ind w:left="20"/>
                  </w:pPr>
                  <w:r>
                    <w:rPr/>
                    <w:t>Fokus på myndigheder</w:t>
                  </w:r>
                </w:p>
              </w:txbxContent>
            </v:textbox>
            <w10:wrap type="none"/>
          </v:shape>
        </w:pict>
      </w:r>
      <w:r>
        <w:rPr/>
        <w:t>Specialiseret</w:t>
      </w:r>
      <w:r>
        <w:rPr>
          <w:spacing w:val="-2"/>
        </w:rPr>
        <w:t> </w:t>
      </w:r>
      <w:r>
        <w:rPr/>
        <w:t>ydelser</w:t>
        <w:tab/>
        <w:t>Generelle</w:t>
      </w:r>
      <w:r>
        <w:rPr>
          <w:spacing w:val="-3"/>
        </w:rPr>
        <w:t> </w:t>
      </w:r>
      <w:r>
        <w:rPr/>
        <w:t>ydelser</w:t>
      </w:r>
    </w:p>
    <w:p>
      <w:pPr>
        <w:pStyle w:val="BodyText"/>
        <w:rPr>
          <w:sz w:val="9"/>
        </w:rPr>
      </w:pPr>
    </w:p>
    <w:p>
      <w:pPr>
        <w:spacing w:before="99"/>
        <w:ind w:left="742" w:right="0" w:firstLine="0"/>
        <w:jc w:val="left"/>
        <w:rPr>
          <w:sz w:val="13"/>
        </w:rPr>
      </w:pPr>
      <w:r>
        <w:rPr>
          <w:sz w:val="13"/>
        </w:rPr>
        <w:t>Kilde: Rambøll og London Economics</w:t>
      </w:r>
    </w:p>
    <w:p>
      <w:pPr>
        <w:pStyle w:val="BodyText"/>
        <w:spacing w:before="8"/>
        <w:rPr>
          <w:sz w:val="21"/>
        </w:rPr>
      </w:pPr>
    </w:p>
    <w:p>
      <w:pPr>
        <w:spacing w:before="0"/>
        <w:ind w:left="742" w:right="0" w:firstLine="0"/>
        <w:jc w:val="left"/>
        <w:rPr>
          <w:b/>
          <w:sz w:val="18"/>
        </w:rPr>
      </w:pPr>
      <w:r>
        <w:rPr>
          <w:b/>
          <w:sz w:val="18"/>
        </w:rPr>
        <w:t>DTU Space – rammeaftaler med myndighederne</w:t>
      </w:r>
    </w:p>
    <w:p>
      <w:pPr>
        <w:pStyle w:val="BodyText"/>
        <w:spacing w:line="264" w:lineRule="auto" w:before="21"/>
        <w:ind w:left="742" w:right="1414"/>
        <w:jc w:val="both"/>
      </w:pPr>
      <w:r>
        <w:rPr/>
        <w:t>DTU Space leverer forskningsbaseret rådgivning og anden form for myndighedsbetjening til flere forskellige styrelser og ministerier. Et gennemgående træk er, at instituttet gør det muligt for de pågældende myndigheder at få gavn af satellitter og andre rumbaserede systemer.</w:t>
      </w:r>
    </w:p>
    <w:p>
      <w:pPr>
        <w:pStyle w:val="BodyText"/>
        <w:spacing w:before="7"/>
        <w:rPr>
          <w:sz w:val="19"/>
        </w:rPr>
      </w:pPr>
    </w:p>
    <w:p>
      <w:pPr>
        <w:pStyle w:val="BodyText"/>
        <w:spacing w:line="264" w:lineRule="auto"/>
        <w:ind w:left="742" w:right="1322"/>
      </w:pPr>
      <w:r>
        <w:rPr/>
        <w:t>DTU løfter eksempelvis en række forsknings- og rådgivningsopgaver på geodæsiområdet i regi af en rammeaftale mellem DTU og Energi-, Forsynings- og Klimaministeriet. Under rammeaftalen samarbejder DTU Space med Styrelsen for Dataforsyning og Effektivisering, som blev dannet den</w:t>
      </w:r>
    </w:p>
    <w:p>
      <w:pPr>
        <w:pStyle w:val="ListParagraph"/>
        <w:numPr>
          <w:ilvl w:val="2"/>
          <w:numId w:val="14"/>
        </w:numPr>
        <w:tabs>
          <w:tab w:pos="985" w:val="left" w:leader="none"/>
        </w:tabs>
        <w:spacing w:line="264" w:lineRule="auto" w:before="0" w:after="0"/>
        <w:ind w:left="742" w:right="1178" w:firstLine="0"/>
        <w:jc w:val="left"/>
        <w:rPr>
          <w:sz w:val="18"/>
        </w:rPr>
      </w:pPr>
      <w:r>
        <w:rPr>
          <w:sz w:val="18"/>
        </w:rPr>
        <w:t>januar 2016, efter at den tidligere Geodatastyrelse blev splittet i to. Styrelsen er ansvarlig for infrastrukturen til geografisk information samt referencenet, opmåling og kortlægning i Danmark, Færøerne og Grønland. Et centralt led i samarbejdet er DTU Spaces forskningsbaserede rådgivning i forbindelse med varetagelse og udvikling af referencenettene. Herudover varetager DTU Space en række opgaver inden for databehandling og dataindsamling, blandt andet centreret om instituttets forskning i</w:t>
      </w:r>
      <w:r>
        <w:rPr>
          <w:spacing w:val="-2"/>
          <w:sz w:val="18"/>
        </w:rPr>
        <w:t> </w:t>
      </w:r>
      <w:r>
        <w:rPr>
          <w:sz w:val="18"/>
        </w:rPr>
        <w:t>geodæsi.</w:t>
      </w:r>
    </w:p>
    <w:p>
      <w:pPr>
        <w:pStyle w:val="BodyText"/>
        <w:spacing w:before="4"/>
        <w:rPr>
          <w:sz w:val="19"/>
        </w:rPr>
      </w:pPr>
    </w:p>
    <w:p>
      <w:pPr>
        <w:pStyle w:val="BodyText"/>
        <w:spacing w:line="264" w:lineRule="auto"/>
        <w:ind w:left="742" w:right="1119"/>
      </w:pPr>
      <w:r>
        <w:rPr/>
        <w:t>Herudover har DTU i de seneste år været involveret i en række projekter med Forsvaret, hvor sær- ligt støtte fra DTU Space til Forsvarets analyse af fremtidig opgaveløsning i Arktis, herunder mulig- hederne for satellitbaseret overvågning, har givet anledning til at drøfte muligheden for at udvide samarbejdet til flere områder. Desuden kan nævnes DTU’s samarbejde med DMI, hvor DTU leverer satellitdata, der angiver hvor store mængder havis der er udbrudt og hvor meget isen har flyttet sig. Når DTU har nedtaget og behandlet data, benyttes de af DMI’s istjeneste, der udarbejder iskort for de grønlandske farvande, primært til brug for skibsfarten.</w:t>
      </w:r>
    </w:p>
    <w:p>
      <w:pPr>
        <w:spacing w:after="0" w:line="264" w:lineRule="auto"/>
        <w:sectPr>
          <w:pgSz w:w="11910" w:h="16840"/>
          <w:pgMar w:header="0" w:footer="619" w:top="1580" w:bottom="800" w:left="960" w:right="0"/>
        </w:sectPr>
      </w:pPr>
    </w:p>
    <w:p>
      <w:pPr>
        <w:pStyle w:val="Heading1"/>
        <w:numPr>
          <w:ilvl w:val="0"/>
          <w:numId w:val="15"/>
        </w:numPr>
        <w:tabs>
          <w:tab w:pos="741" w:val="left" w:leader="none"/>
          <w:tab w:pos="743" w:val="left" w:leader="none"/>
        </w:tabs>
        <w:spacing w:line="254" w:lineRule="auto" w:before="110" w:after="0"/>
        <w:ind w:left="742" w:right="1564" w:hanging="624"/>
        <w:jc w:val="left"/>
      </w:pPr>
      <w:bookmarkStart w:name="_bookmark44" w:id="45"/>
      <w:bookmarkEnd w:id="45"/>
      <w:r>
        <w:rPr>
          <w:color w:val="009DDF"/>
        </w:rPr>
        <w:t>NU</w:t>
      </w:r>
      <w:r>
        <w:rPr>
          <w:color w:val="009DDF"/>
        </w:rPr>
        <w:t>VÆRENDE OG FREMTIDIGE KOMMERCIELLE ANVEN- DELSESMULIGHEDER</w:t>
      </w:r>
    </w:p>
    <w:p>
      <w:pPr>
        <w:pStyle w:val="BodyText"/>
        <w:spacing w:line="264" w:lineRule="auto" w:before="255"/>
        <w:ind w:left="742" w:right="1184"/>
      </w:pPr>
      <w:r>
        <w:rPr/>
        <w:t>Nærværende kortlægning har understreget, at der endnu findes store uudnyttede potentialer på rumområdet. Rumaktiviteter er ikke blot en fjern og eksklusiv klub for en lille skare virksomheder og en samling dedikerede forskere. Rumforskning rækker meget videre, og gennem et øget kend- skab til udnyttelse af satellitbaserede tjenester står mange danske virksomheder med muligheden for både at øge deres indtjening og skabe nye arbejdspladser. Med afsæt i den forudgående kort- lægning og vurderingen af de danske styrkepositioner på rumområdet, afsøges i dette kapitel både nuværende og fremtidige kommercielle anvendelsesmuligheder.</w:t>
      </w:r>
    </w:p>
    <w:p>
      <w:pPr>
        <w:pStyle w:val="BodyText"/>
        <w:spacing w:before="4"/>
        <w:rPr>
          <w:sz w:val="19"/>
        </w:rPr>
      </w:pPr>
    </w:p>
    <w:p>
      <w:pPr>
        <w:pStyle w:val="Heading2"/>
        <w:numPr>
          <w:ilvl w:val="1"/>
          <w:numId w:val="15"/>
        </w:numPr>
        <w:tabs>
          <w:tab w:pos="741" w:val="left" w:leader="none"/>
          <w:tab w:pos="743" w:val="left" w:leader="none"/>
        </w:tabs>
        <w:spacing w:line="240" w:lineRule="auto" w:before="1" w:after="0"/>
        <w:ind w:left="742" w:right="0" w:hanging="624"/>
        <w:jc w:val="left"/>
      </w:pPr>
      <w:bookmarkStart w:name="_bookmark45" w:id="46"/>
      <w:bookmarkEnd w:id="46"/>
      <w:r>
        <w:rPr/>
        <w:t>Nav</w:t>
      </w:r>
      <w:r>
        <w:rPr/>
        <w:t>igation</w:t>
      </w:r>
    </w:p>
    <w:p>
      <w:pPr>
        <w:pStyle w:val="BodyText"/>
        <w:spacing w:line="264" w:lineRule="auto" w:before="21"/>
        <w:ind w:left="742" w:right="1341"/>
      </w:pPr>
      <w:r>
        <w:rPr/>
        <w:t>Inden for navigation er særligt identificeret potentialer for de brancher, der beskæftiger sig med transport til lands, til vands og i luften. Her giver udnyttelse af nøjagtige satellitnavigation mulig- heder for forbedret flådestyring og ruteplanlægning, og der foregår i dag en del aktivitet i forbin- delse med udarbejdelse af mere relevante prognoser – eksempelvis for den optimale vej over At- lanten.</w:t>
      </w:r>
    </w:p>
    <w:p>
      <w:pPr>
        <w:pStyle w:val="BodyText"/>
        <w:spacing w:before="6"/>
        <w:rPr>
          <w:sz w:val="19"/>
        </w:rPr>
      </w:pPr>
    </w:p>
    <w:p>
      <w:pPr>
        <w:pStyle w:val="BodyText"/>
        <w:spacing w:line="264" w:lineRule="auto"/>
        <w:ind w:left="742" w:right="1121"/>
      </w:pPr>
      <w:r>
        <w:rPr/>
        <w:t>Anvendelsesmulighederne for GNSS favner dog bredt. I tabellen nedenfor eksemplificeres en række mulige anvendelsesområder, som i større eller mindre grad udnyttes i dag.</w:t>
      </w:r>
    </w:p>
    <w:p>
      <w:pPr>
        <w:spacing w:before="144"/>
        <w:ind w:left="175" w:right="0" w:firstLine="0"/>
        <w:jc w:val="left"/>
        <w:rPr>
          <w:b/>
          <w:sz w:val="15"/>
        </w:rPr>
      </w:pPr>
      <w:bookmarkStart w:name="_bookmark46" w:id="47"/>
      <w:bookmarkEnd w:id="47"/>
      <w:r>
        <w:rPr/>
      </w:r>
      <w:r>
        <w:rPr>
          <w:b/>
          <w:color w:val="009DDF"/>
          <w:sz w:val="15"/>
        </w:rPr>
        <w:t>Tabel 12. Eksempler på anvendelse af GNSS og beskrivelse af gevinster</w:t>
      </w:r>
    </w:p>
    <w:p>
      <w:pPr>
        <w:pStyle w:val="BodyText"/>
        <w:spacing w:before="1"/>
        <w:rPr>
          <w:b/>
          <w:sz w:val="9"/>
        </w:rPr>
      </w:pPr>
    </w:p>
    <w:tbl>
      <w:tblPr>
        <w:tblW w:w="0" w:type="auto"/>
        <w:jc w:val="left"/>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8"/>
        <w:gridCol w:w="1439"/>
        <w:gridCol w:w="7243"/>
      </w:tblGrid>
      <w:tr>
        <w:trPr>
          <w:trHeight w:val="324" w:hRule="atLeast"/>
        </w:trPr>
        <w:tc>
          <w:tcPr>
            <w:tcW w:w="958" w:type="dxa"/>
            <w:shd w:val="clear" w:color="auto" w:fill="A7D2F5"/>
          </w:tcPr>
          <w:p>
            <w:pPr>
              <w:pStyle w:val="TableParagraph"/>
              <w:spacing w:before="52"/>
              <w:ind w:left="97" w:right="166"/>
              <w:jc w:val="center"/>
              <w:rPr>
                <w:b/>
                <w:sz w:val="16"/>
              </w:rPr>
            </w:pPr>
            <w:r>
              <w:rPr>
                <w:b/>
                <w:color w:val="FFFFFF"/>
                <w:sz w:val="16"/>
              </w:rPr>
              <w:t>Gruppe</w:t>
            </w:r>
          </w:p>
        </w:tc>
        <w:tc>
          <w:tcPr>
            <w:tcW w:w="1439" w:type="dxa"/>
            <w:shd w:val="clear" w:color="auto" w:fill="A7D2F5"/>
          </w:tcPr>
          <w:p>
            <w:pPr>
              <w:pStyle w:val="TableParagraph"/>
              <w:spacing w:before="52"/>
              <w:ind w:left="145"/>
              <w:rPr>
                <w:b/>
                <w:sz w:val="16"/>
              </w:rPr>
            </w:pPr>
            <w:r>
              <w:rPr>
                <w:b/>
                <w:color w:val="FFFFFF"/>
                <w:sz w:val="16"/>
              </w:rPr>
              <w:t>Applikation</w:t>
            </w:r>
          </w:p>
        </w:tc>
        <w:tc>
          <w:tcPr>
            <w:tcW w:w="7243" w:type="dxa"/>
            <w:shd w:val="clear" w:color="auto" w:fill="A7D2F5"/>
          </w:tcPr>
          <w:p>
            <w:pPr>
              <w:pStyle w:val="TableParagraph"/>
              <w:spacing w:before="52"/>
              <w:ind w:left="125"/>
              <w:rPr>
                <w:b/>
                <w:sz w:val="16"/>
              </w:rPr>
            </w:pPr>
            <w:r>
              <w:rPr>
                <w:b/>
                <w:color w:val="FFFFFF"/>
                <w:sz w:val="16"/>
              </w:rPr>
              <w:t>Beskrivelse</w:t>
            </w:r>
          </w:p>
        </w:tc>
      </w:tr>
      <w:tr>
        <w:trPr>
          <w:trHeight w:val="2006" w:hRule="atLeast"/>
        </w:trPr>
        <w:tc>
          <w:tcPr>
            <w:tcW w:w="958" w:type="dxa"/>
            <w:tcBorders>
              <w:left w:val="single" w:sz="8" w:space="0" w:color="A7D2F5"/>
              <w:bottom w:val="single" w:sz="8" w:space="0" w:color="A7D2F5"/>
            </w:tcBorders>
          </w:tcPr>
          <w:p>
            <w:pPr>
              <w:pStyle w:val="TableParagraph"/>
              <w:ind w:left="86" w:right="105"/>
              <w:jc w:val="center"/>
              <w:rPr>
                <w:b/>
                <w:sz w:val="16"/>
              </w:rPr>
            </w:pPr>
            <w:r>
              <w:rPr>
                <w:b/>
                <w:sz w:val="16"/>
              </w:rPr>
              <w:t>Borgere</w:t>
            </w:r>
          </w:p>
        </w:tc>
        <w:tc>
          <w:tcPr>
            <w:tcW w:w="1439" w:type="dxa"/>
            <w:tcBorders>
              <w:bottom w:val="single" w:sz="8" w:space="0" w:color="A7D2F5"/>
            </w:tcBorders>
          </w:tcPr>
          <w:p>
            <w:pPr>
              <w:pStyle w:val="TableParagraph"/>
              <w:spacing w:line="264" w:lineRule="auto"/>
              <w:ind w:left="145" w:right="88"/>
              <w:rPr>
                <w:sz w:val="16"/>
              </w:rPr>
            </w:pPr>
            <w:r>
              <w:rPr>
                <w:sz w:val="16"/>
              </w:rPr>
              <w:t>Smartphones, bilnavigation, tablets, fitness trackere, bilforsikring</w:t>
            </w:r>
          </w:p>
        </w:tc>
        <w:tc>
          <w:tcPr>
            <w:tcW w:w="7243" w:type="dxa"/>
            <w:tcBorders>
              <w:bottom w:val="single" w:sz="8" w:space="0" w:color="A7D2F5"/>
              <w:right w:val="single" w:sz="8" w:space="0" w:color="A7D2F5"/>
            </w:tcBorders>
          </w:tcPr>
          <w:p>
            <w:pPr>
              <w:pStyle w:val="TableParagraph"/>
              <w:spacing w:line="264" w:lineRule="auto"/>
              <w:ind w:left="125" w:right="103"/>
              <w:rPr>
                <w:sz w:val="16"/>
              </w:rPr>
            </w:pPr>
            <w:r>
              <w:rPr>
                <w:sz w:val="16"/>
              </w:rPr>
              <w:t>Borgere anvender GNSS i biler og smartphones til navigation i bilen, men også til fods og til at vælge offentlige transportmuligheder. Ud over kommerciel anvendelse kom- mer hertil samfundsøkonomiske gevinster ved tidsbesparelser for brugere, reducerede miljøeksternaliteter og reddede liv.</w:t>
            </w:r>
            <w:r>
              <w:rPr>
                <w:sz w:val="16"/>
                <w:vertAlign w:val="superscript"/>
              </w:rPr>
              <w:t>100</w:t>
            </w:r>
            <w:r>
              <w:rPr>
                <w:sz w:val="16"/>
                <w:vertAlign w:val="baseline"/>
              </w:rPr>
              <w:t> Fitness trackere (både apps og dedikerede ap- parater) hjælper motionister med at træne mere effektivt og monitorere fremgang.</w:t>
            </w:r>
          </w:p>
          <w:p>
            <w:pPr>
              <w:pStyle w:val="TableParagraph"/>
              <w:spacing w:line="264" w:lineRule="auto" w:before="4"/>
              <w:ind w:left="125" w:right="311"/>
              <w:jc w:val="both"/>
              <w:rPr>
                <w:sz w:val="16"/>
              </w:rPr>
            </w:pPr>
            <w:r>
              <w:rPr>
                <w:sz w:val="16"/>
              </w:rPr>
              <w:t>Mange forsikringsselskaber kræver, at borgere installerer en GNSS-tracking-enhed i dyre biler. I andre lande (navnlig Italien og Storbritannien) reducerer forsikringssel- skaber præmien for de kunder der kører sikkert, en viden der erhverves ved frivillig installation af GNSS-bokse.</w:t>
            </w:r>
          </w:p>
        </w:tc>
      </w:tr>
      <w:tr>
        <w:trPr>
          <w:trHeight w:val="2005" w:hRule="atLeast"/>
        </w:trPr>
        <w:tc>
          <w:tcPr>
            <w:tcW w:w="958" w:type="dxa"/>
            <w:tcBorders>
              <w:top w:val="single" w:sz="8" w:space="0" w:color="A7D2F5"/>
              <w:left w:val="single" w:sz="8" w:space="0" w:color="A7D2F5"/>
              <w:bottom w:val="single" w:sz="8" w:space="0" w:color="A7D2F5"/>
            </w:tcBorders>
          </w:tcPr>
          <w:p>
            <w:pPr>
              <w:pStyle w:val="TableParagraph"/>
              <w:spacing w:line="264" w:lineRule="auto"/>
              <w:ind w:left="105" w:right="292"/>
              <w:rPr>
                <w:b/>
                <w:sz w:val="16"/>
              </w:rPr>
            </w:pPr>
            <w:r>
              <w:rPr>
                <w:b/>
                <w:sz w:val="16"/>
              </w:rPr>
              <w:t>Vej- trans- port</w:t>
            </w:r>
          </w:p>
        </w:tc>
        <w:tc>
          <w:tcPr>
            <w:tcW w:w="1439" w:type="dxa"/>
            <w:tcBorders>
              <w:top w:val="single" w:sz="8" w:space="0" w:color="A7D2F5"/>
              <w:bottom w:val="single" w:sz="8" w:space="0" w:color="A7D2F5"/>
            </w:tcBorders>
          </w:tcPr>
          <w:p>
            <w:pPr>
              <w:pStyle w:val="TableParagraph"/>
              <w:spacing w:line="264" w:lineRule="auto"/>
              <w:ind w:left="145" w:right="224"/>
              <w:rPr>
                <w:sz w:val="16"/>
              </w:rPr>
            </w:pPr>
            <w:r>
              <w:rPr>
                <w:sz w:val="16"/>
              </w:rPr>
              <w:t>Flådestyring, navigation, smart tacho- graph, vejaf- gifter</w:t>
            </w:r>
          </w:p>
        </w:tc>
        <w:tc>
          <w:tcPr>
            <w:tcW w:w="7243" w:type="dxa"/>
            <w:tcBorders>
              <w:top w:val="single" w:sz="8" w:space="0" w:color="A7D2F5"/>
              <w:bottom w:val="single" w:sz="8" w:space="0" w:color="A7D2F5"/>
              <w:right w:val="single" w:sz="8" w:space="0" w:color="A7D2F5"/>
            </w:tcBorders>
          </w:tcPr>
          <w:p>
            <w:pPr>
              <w:pStyle w:val="TableParagraph"/>
              <w:spacing w:line="264" w:lineRule="auto"/>
              <w:ind w:left="125" w:right="116"/>
              <w:rPr>
                <w:sz w:val="16"/>
              </w:rPr>
            </w:pPr>
            <w:r>
              <w:rPr>
                <w:sz w:val="16"/>
              </w:rPr>
              <w:t>Logistikvirksomheder sparer store beløb ved øget effektivitet. Flådestyring tillader hovedkvarteret at monitorere hvor alle lastbiler er, og dermed reagere hurtigere og mere effektivt på nye ordrer eller informere om trafikuheld mv. Smart tachograph er den næste generation af lastbilers fartskrivere og bliver GNSS-baseret, så det bliver meget sværere at overtræde kørehviletidsbestemmelserne, Europa-Kommissionen estimerer, at køretøjer der overtræder reglerne årligt, laver skader for 2,8 mia. euro i EU.</w:t>
            </w:r>
            <w:r>
              <w:rPr>
                <w:position w:val="6"/>
                <w:sz w:val="8"/>
              </w:rPr>
              <w:t>101 </w:t>
            </w:r>
            <w:r>
              <w:rPr>
                <w:sz w:val="16"/>
              </w:rPr>
              <w:t>Smart tachograph er også en fordel for vognmænd, der kan rapportere kørebø- ger mere effektivt. Endelig er vejafgifter baseret på GNSS markant billigere end andre løsninger, fordi der skal bruges færre gates og vedligeholdelsen er billigere.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r>
        <w:rPr/>
        <w:pict>
          <v:line style="position:absolute;mso-position-horizontal-relative:page;mso-position-vertical-relative:paragraph;z-index:5216;mso-wrap-distance-left:0;mso-wrap-distance-right:0" from="85.103996pt,9.190058pt" to="229.123996pt,9.190058pt" stroked="true" strokeweight=".48004pt" strokecolor="#000000">
            <v:stroke dashstyle="solid"/>
            <w10:wrap type="topAndBottom"/>
          </v:line>
        </w:pict>
      </w:r>
    </w:p>
    <w:p>
      <w:pPr>
        <w:spacing w:line="319" w:lineRule="auto" w:before="99"/>
        <w:ind w:left="742" w:right="1226" w:firstLine="0"/>
        <w:jc w:val="left"/>
        <w:rPr>
          <w:sz w:val="13"/>
        </w:rPr>
      </w:pPr>
      <w:r>
        <w:rPr>
          <w:position w:val="6"/>
          <w:sz w:val="8"/>
        </w:rPr>
        <w:t>100 </w:t>
      </w:r>
      <w:r>
        <w:rPr>
          <w:sz w:val="13"/>
        </w:rPr>
        <w:t>Danmarks officielle 112-app bruger eksempelvis GNSS-modtageren i den telefon, der ringer efter hjælp, til at sikre, at de nærmeste redningstjenester sendes ud. Ydermere er der eksempler på, at andre brugere af app’en er blevet mobiliseret, hvis de har været tæt på. Se </w:t>
      </w:r>
      <w:hyperlink r:id="rId117">
        <w:r>
          <w:rPr>
            <w:color w:val="009DDF"/>
            <w:sz w:val="13"/>
          </w:rPr>
          <w:t>http://www.112app.dk/ </w:t>
        </w:r>
      </w:hyperlink>
      <w:r>
        <w:rPr>
          <w:sz w:val="13"/>
        </w:rPr>
        <w:t>for mere information.</w:t>
      </w:r>
    </w:p>
    <w:p>
      <w:pPr>
        <w:spacing w:line="156" w:lineRule="exact" w:before="0"/>
        <w:ind w:left="742" w:right="0" w:firstLine="0"/>
        <w:jc w:val="left"/>
        <w:rPr>
          <w:sz w:val="13"/>
        </w:rPr>
      </w:pPr>
      <w:r>
        <w:rPr>
          <w:position w:val="6"/>
          <w:sz w:val="8"/>
        </w:rPr>
        <w:t>101 </w:t>
      </w:r>
      <w:r>
        <w:rPr>
          <w:sz w:val="13"/>
        </w:rPr>
        <w:t>COMMISSION STAFF WORKING PAPER - SUMMARY OF THE IMPACT ASSESSMENT, Accompanying the document, "PROPOSAL FOR A</w:t>
      </w:r>
    </w:p>
    <w:p>
      <w:pPr>
        <w:spacing w:line="316" w:lineRule="auto" w:before="53"/>
        <w:ind w:left="742" w:right="1181" w:firstLine="0"/>
        <w:jc w:val="left"/>
        <w:rPr>
          <w:sz w:val="13"/>
        </w:rPr>
      </w:pPr>
      <w:r>
        <w:rPr>
          <w:sz w:val="13"/>
        </w:rPr>
        <w:t>REGULATION OF THE EUROPEAN PARLIAMENT AND OF THE COUNCIL" amending Council Regulation (EEC) No 3821/85 on recording equipment in road transport and amending Regulation (EC) No 561/2006 of the European Parliament and the Council, 2011.</w:t>
      </w:r>
    </w:p>
    <w:p>
      <w:pPr>
        <w:spacing w:after="0" w:line="316" w:lineRule="auto"/>
        <w:jc w:val="left"/>
        <w:rPr>
          <w:sz w:val="13"/>
        </w:rPr>
        <w:sectPr>
          <w:pgSz w:w="11910" w:h="16840"/>
          <w:pgMar w:header="0" w:footer="619" w:top="1580" w:bottom="800" w:left="960" w:right="0"/>
        </w:sectPr>
      </w:pPr>
    </w:p>
    <w:p>
      <w:pPr>
        <w:pStyle w:val="BodyText"/>
        <w:spacing w:before="5" w:after="1"/>
        <w:rPr>
          <w:sz w:val="8"/>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969"/>
        <w:gridCol w:w="1429"/>
        <w:gridCol w:w="7242"/>
      </w:tblGrid>
      <w:tr>
        <w:trPr>
          <w:trHeight w:val="334" w:hRule="atLeast"/>
        </w:trPr>
        <w:tc>
          <w:tcPr>
            <w:tcW w:w="969" w:type="dxa"/>
            <w:tcBorders>
              <w:top w:val="nil"/>
              <w:left w:val="nil"/>
              <w:bottom w:val="nil"/>
              <w:right w:val="nil"/>
            </w:tcBorders>
            <w:shd w:val="clear" w:color="auto" w:fill="A7D2F5"/>
          </w:tcPr>
          <w:p>
            <w:pPr>
              <w:pStyle w:val="TableParagraph"/>
              <w:spacing w:before="60"/>
              <w:ind w:left="115"/>
              <w:rPr>
                <w:b/>
                <w:sz w:val="16"/>
              </w:rPr>
            </w:pPr>
            <w:r>
              <w:rPr>
                <w:b/>
                <w:color w:val="FFFFFF"/>
                <w:sz w:val="16"/>
              </w:rPr>
              <w:t>Gruppe</w:t>
            </w:r>
          </w:p>
        </w:tc>
        <w:tc>
          <w:tcPr>
            <w:tcW w:w="1429" w:type="dxa"/>
            <w:tcBorders>
              <w:top w:val="nil"/>
              <w:left w:val="nil"/>
              <w:bottom w:val="nil"/>
              <w:right w:val="nil"/>
            </w:tcBorders>
            <w:shd w:val="clear" w:color="auto" w:fill="A7D2F5"/>
          </w:tcPr>
          <w:p>
            <w:pPr>
              <w:pStyle w:val="TableParagraph"/>
              <w:spacing w:before="60"/>
              <w:ind w:left="134"/>
              <w:rPr>
                <w:b/>
                <w:sz w:val="16"/>
              </w:rPr>
            </w:pPr>
            <w:r>
              <w:rPr>
                <w:b/>
                <w:color w:val="FFFFFF"/>
                <w:sz w:val="16"/>
              </w:rPr>
              <w:t>Applikation</w:t>
            </w:r>
          </w:p>
        </w:tc>
        <w:tc>
          <w:tcPr>
            <w:tcW w:w="7242" w:type="dxa"/>
            <w:tcBorders>
              <w:top w:val="nil"/>
              <w:left w:val="nil"/>
              <w:bottom w:val="nil"/>
              <w:right w:val="nil"/>
            </w:tcBorders>
            <w:shd w:val="clear" w:color="auto" w:fill="A7D2F5"/>
          </w:tcPr>
          <w:p>
            <w:pPr>
              <w:pStyle w:val="TableParagraph"/>
              <w:spacing w:before="60"/>
              <w:ind w:left="124"/>
              <w:rPr>
                <w:b/>
                <w:sz w:val="16"/>
              </w:rPr>
            </w:pPr>
            <w:r>
              <w:rPr>
                <w:b/>
                <w:color w:val="FFFFFF"/>
                <w:sz w:val="16"/>
              </w:rPr>
              <w:t>Beskrivelse</w:t>
            </w:r>
          </w:p>
        </w:tc>
      </w:tr>
      <w:tr>
        <w:trPr>
          <w:trHeight w:val="1576" w:hRule="atLeast"/>
        </w:trPr>
        <w:tc>
          <w:tcPr>
            <w:tcW w:w="969" w:type="dxa"/>
            <w:tcBorders>
              <w:top w:val="nil"/>
              <w:right w:val="nil"/>
            </w:tcBorders>
          </w:tcPr>
          <w:p>
            <w:pPr>
              <w:pStyle w:val="TableParagraph"/>
              <w:spacing w:line="264" w:lineRule="auto"/>
              <w:ind w:left="105" w:right="303"/>
              <w:rPr>
                <w:b/>
                <w:sz w:val="16"/>
              </w:rPr>
            </w:pPr>
            <w:r>
              <w:rPr>
                <w:b/>
                <w:sz w:val="16"/>
              </w:rPr>
              <w:t>Jern- bane- trans- port</w:t>
            </w:r>
          </w:p>
        </w:tc>
        <w:tc>
          <w:tcPr>
            <w:tcW w:w="1429" w:type="dxa"/>
            <w:tcBorders>
              <w:top w:val="nil"/>
              <w:left w:val="nil"/>
              <w:right w:val="nil"/>
            </w:tcBorders>
          </w:tcPr>
          <w:p>
            <w:pPr>
              <w:pStyle w:val="TableParagraph"/>
              <w:spacing w:line="264" w:lineRule="auto"/>
              <w:ind w:left="134" w:right="122"/>
              <w:rPr>
                <w:sz w:val="16"/>
              </w:rPr>
            </w:pPr>
            <w:r>
              <w:rPr>
                <w:sz w:val="16"/>
              </w:rPr>
              <w:t>Signalinfra- struktur og lokomotivfø- rervejled- ningssystemer</w:t>
            </w:r>
          </w:p>
        </w:tc>
        <w:tc>
          <w:tcPr>
            <w:tcW w:w="7242" w:type="dxa"/>
            <w:tcBorders>
              <w:top w:val="nil"/>
              <w:left w:val="nil"/>
            </w:tcBorders>
          </w:tcPr>
          <w:p>
            <w:pPr>
              <w:pStyle w:val="TableParagraph"/>
              <w:spacing w:line="264" w:lineRule="auto"/>
              <w:ind w:left="124" w:right="194"/>
              <w:rPr>
                <w:sz w:val="8"/>
              </w:rPr>
            </w:pPr>
            <w:r>
              <w:rPr>
                <w:sz w:val="16"/>
              </w:rPr>
              <w:t>GNSS kan anvendes (sammen med andre teknologier) til at monitorere, hvor alle tog er. Derved er det muligt over tid at erstatte den dyre signalinfrastruktur ved bane- legement med billigere GNSS-baserede systemer. Det kan spare Banedanmark for mange penge. Lokomotivførervejledningssystemer (eksempelvis fra danske Cubris) sparer DSB bremseslid og køreenergi (6 % til 8 %) og har forbedret DSB’s punktlig- hed (fra 92 % til 95 %).</w:t>
            </w:r>
            <w:r>
              <w:rPr>
                <w:position w:val="6"/>
                <w:sz w:val="8"/>
              </w:rPr>
              <w:t>102 </w:t>
            </w:r>
            <w:r>
              <w:rPr>
                <w:sz w:val="16"/>
              </w:rPr>
              <w:t>Vejledningssystemerne kan derudover øge kapaciteten på banelegement med mellem 5 % og 15 % ved at tillade, at togene kører tættere.</w:t>
            </w:r>
            <w:r>
              <w:rPr>
                <w:position w:val="6"/>
                <w:sz w:val="8"/>
              </w:rPr>
              <w:t>103</w:t>
            </w:r>
          </w:p>
        </w:tc>
      </w:tr>
      <w:tr>
        <w:trPr>
          <w:trHeight w:val="1362" w:hRule="atLeast"/>
        </w:trPr>
        <w:tc>
          <w:tcPr>
            <w:tcW w:w="969" w:type="dxa"/>
            <w:tcBorders>
              <w:right w:val="nil"/>
            </w:tcBorders>
          </w:tcPr>
          <w:p>
            <w:pPr>
              <w:pStyle w:val="TableParagraph"/>
              <w:spacing w:line="264" w:lineRule="auto"/>
              <w:ind w:left="105" w:right="303"/>
              <w:rPr>
                <w:b/>
                <w:sz w:val="16"/>
              </w:rPr>
            </w:pPr>
            <w:r>
              <w:rPr>
                <w:b/>
                <w:sz w:val="16"/>
              </w:rPr>
              <w:t>Luft- trans- port</w:t>
            </w:r>
          </w:p>
        </w:tc>
        <w:tc>
          <w:tcPr>
            <w:tcW w:w="1429" w:type="dxa"/>
            <w:tcBorders>
              <w:left w:val="nil"/>
              <w:right w:val="nil"/>
            </w:tcBorders>
          </w:tcPr>
          <w:p>
            <w:pPr>
              <w:pStyle w:val="TableParagraph"/>
              <w:spacing w:line="264" w:lineRule="auto"/>
              <w:ind w:left="134" w:right="222"/>
              <w:rPr>
                <w:sz w:val="16"/>
              </w:rPr>
            </w:pPr>
            <w:r>
              <w:rPr>
                <w:sz w:val="16"/>
              </w:rPr>
              <w:t>Landingspro- cedurer</w:t>
            </w:r>
          </w:p>
        </w:tc>
        <w:tc>
          <w:tcPr>
            <w:tcW w:w="7242" w:type="dxa"/>
            <w:tcBorders>
              <w:left w:val="nil"/>
            </w:tcBorders>
          </w:tcPr>
          <w:p>
            <w:pPr>
              <w:pStyle w:val="TableParagraph"/>
              <w:spacing w:line="264" w:lineRule="auto"/>
              <w:ind w:left="124" w:right="233"/>
              <w:rPr>
                <w:sz w:val="16"/>
              </w:rPr>
            </w:pPr>
            <w:r>
              <w:rPr>
                <w:sz w:val="16"/>
              </w:rPr>
              <w:t>EGNOS giver mere troværdighed til det korrigerede GNSS-signal og tillader landing ved svære vejrbetingelser. Dette sparer brændstof, miljøeksternaliteter og passage- rernes tid. Nogle danske lufthavne har implementeret EGNOS-baserede anflyvnings- procedurer, og der er dansk deltagelse i de internationale grupper, der arbejder med den videreudvikling af GNSS til luftfart, som måske på sigt kan erstatte dyrere kon- ventionelle teknologier.</w:t>
            </w:r>
          </w:p>
        </w:tc>
      </w:tr>
      <w:tr>
        <w:trPr>
          <w:trHeight w:val="938" w:hRule="atLeast"/>
        </w:trPr>
        <w:tc>
          <w:tcPr>
            <w:tcW w:w="969" w:type="dxa"/>
            <w:tcBorders>
              <w:right w:val="nil"/>
            </w:tcBorders>
          </w:tcPr>
          <w:p>
            <w:pPr>
              <w:pStyle w:val="TableParagraph"/>
              <w:spacing w:line="264" w:lineRule="auto" w:before="42"/>
              <w:ind w:left="105" w:right="303"/>
              <w:jc w:val="both"/>
              <w:rPr>
                <w:b/>
                <w:sz w:val="16"/>
              </w:rPr>
            </w:pPr>
            <w:r>
              <w:rPr>
                <w:b/>
                <w:sz w:val="16"/>
              </w:rPr>
              <w:t>Vand- trans- port</w:t>
            </w:r>
          </w:p>
        </w:tc>
        <w:tc>
          <w:tcPr>
            <w:tcW w:w="1429" w:type="dxa"/>
            <w:tcBorders>
              <w:left w:val="nil"/>
              <w:right w:val="nil"/>
            </w:tcBorders>
          </w:tcPr>
          <w:p>
            <w:pPr>
              <w:pStyle w:val="TableParagraph"/>
              <w:spacing w:line="264" w:lineRule="auto" w:before="42"/>
              <w:ind w:left="134" w:right="136"/>
              <w:rPr>
                <w:sz w:val="16"/>
              </w:rPr>
            </w:pPr>
            <w:r>
              <w:rPr>
                <w:sz w:val="16"/>
              </w:rPr>
              <w:t>Transport og passagerskibe</w:t>
            </w:r>
          </w:p>
        </w:tc>
        <w:tc>
          <w:tcPr>
            <w:tcW w:w="7242" w:type="dxa"/>
            <w:tcBorders>
              <w:left w:val="nil"/>
            </w:tcBorders>
          </w:tcPr>
          <w:p>
            <w:pPr>
              <w:pStyle w:val="TableParagraph"/>
              <w:spacing w:line="264" w:lineRule="auto" w:before="42"/>
              <w:ind w:left="124" w:right="139"/>
              <w:rPr>
                <w:sz w:val="16"/>
              </w:rPr>
            </w:pPr>
            <w:r>
              <w:rPr>
                <w:sz w:val="16"/>
              </w:rPr>
              <w:t>GNSS bruges til at udstikke og følge den bedste kurs. Rederier kan spare mandskab og brændstof ved at bruge GNSS-baserede autopiloter. I havne bruges GNSS med lokal augmentationssystemer til at navigere skibe på plads på den rette kaj, og lodser bruger GNSS til at manøvrere skibe.</w:t>
            </w:r>
          </w:p>
        </w:tc>
      </w:tr>
      <w:tr>
        <w:trPr>
          <w:trHeight w:val="1148" w:hRule="atLeast"/>
        </w:trPr>
        <w:tc>
          <w:tcPr>
            <w:tcW w:w="969" w:type="dxa"/>
            <w:tcBorders>
              <w:right w:val="nil"/>
            </w:tcBorders>
          </w:tcPr>
          <w:p>
            <w:pPr>
              <w:pStyle w:val="TableParagraph"/>
              <w:ind w:left="105"/>
              <w:rPr>
                <w:b/>
                <w:sz w:val="16"/>
              </w:rPr>
            </w:pPr>
            <w:r>
              <w:rPr>
                <w:b/>
                <w:sz w:val="16"/>
              </w:rPr>
              <w:t>Redning</w:t>
            </w:r>
          </w:p>
        </w:tc>
        <w:tc>
          <w:tcPr>
            <w:tcW w:w="1429" w:type="dxa"/>
            <w:tcBorders>
              <w:left w:val="nil"/>
              <w:right w:val="nil"/>
            </w:tcBorders>
          </w:tcPr>
          <w:p>
            <w:pPr>
              <w:pStyle w:val="TableParagraph"/>
              <w:spacing w:line="264" w:lineRule="auto"/>
              <w:ind w:left="134" w:right="208"/>
              <w:rPr>
                <w:sz w:val="8"/>
              </w:rPr>
            </w:pPr>
            <w:r>
              <w:rPr>
                <w:sz w:val="16"/>
              </w:rPr>
              <w:t>ELT, PLB, EPIRB m.fl.</w:t>
            </w:r>
            <w:r>
              <w:rPr>
                <w:position w:val="6"/>
                <w:sz w:val="8"/>
              </w:rPr>
              <w:t>104</w:t>
            </w:r>
          </w:p>
        </w:tc>
        <w:tc>
          <w:tcPr>
            <w:tcW w:w="7242" w:type="dxa"/>
            <w:tcBorders>
              <w:left w:val="nil"/>
            </w:tcBorders>
          </w:tcPr>
          <w:p>
            <w:pPr>
              <w:pStyle w:val="TableParagraph"/>
              <w:spacing w:line="264" w:lineRule="auto"/>
              <w:ind w:left="124" w:right="73"/>
              <w:rPr>
                <w:sz w:val="16"/>
              </w:rPr>
            </w:pPr>
            <w:r>
              <w:rPr>
                <w:sz w:val="16"/>
              </w:rPr>
              <w:t>Redningsudstyr, der sender GNSS-position gennem COSPAS-SARSATs infrastruktur til de relevante redningstjenester, når de aktiveres, reducerer søgefeltet kraftigt. Galileos Search and Rescue-service er defineret med Return-Link-Service, med hvilket det bliver muligt for redningstjenesten at sende et simpelt signal retur til den nødstedte om at hjælp er på vej.</w:t>
            </w:r>
          </w:p>
        </w:tc>
      </w:tr>
      <w:tr>
        <w:trPr>
          <w:trHeight w:val="2006" w:hRule="atLeast"/>
        </w:trPr>
        <w:tc>
          <w:tcPr>
            <w:tcW w:w="969" w:type="dxa"/>
            <w:tcBorders>
              <w:right w:val="nil"/>
            </w:tcBorders>
          </w:tcPr>
          <w:p>
            <w:pPr>
              <w:pStyle w:val="TableParagraph"/>
              <w:spacing w:line="264" w:lineRule="auto"/>
              <w:ind w:left="105" w:right="322"/>
              <w:rPr>
                <w:b/>
                <w:sz w:val="16"/>
              </w:rPr>
            </w:pPr>
            <w:r>
              <w:rPr>
                <w:b/>
                <w:sz w:val="16"/>
              </w:rPr>
              <w:t>Land- brug</w:t>
            </w:r>
          </w:p>
        </w:tc>
        <w:tc>
          <w:tcPr>
            <w:tcW w:w="1429" w:type="dxa"/>
            <w:tcBorders>
              <w:left w:val="nil"/>
              <w:right w:val="nil"/>
            </w:tcBorders>
          </w:tcPr>
          <w:p>
            <w:pPr>
              <w:pStyle w:val="TableParagraph"/>
              <w:spacing w:line="264" w:lineRule="auto"/>
              <w:ind w:left="134" w:right="348"/>
              <w:rPr>
                <w:sz w:val="16"/>
              </w:rPr>
            </w:pPr>
            <w:r>
              <w:rPr>
                <w:sz w:val="16"/>
              </w:rPr>
              <w:t>Præcisions- landbrug</w:t>
            </w:r>
          </w:p>
        </w:tc>
        <w:tc>
          <w:tcPr>
            <w:tcW w:w="7242" w:type="dxa"/>
            <w:tcBorders>
              <w:left w:val="nil"/>
            </w:tcBorders>
          </w:tcPr>
          <w:p>
            <w:pPr>
              <w:pStyle w:val="TableParagraph"/>
              <w:spacing w:line="264" w:lineRule="auto"/>
              <w:ind w:left="124" w:right="152"/>
              <w:rPr>
                <w:sz w:val="16"/>
              </w:rPr>
            </w:pPr>
            <w:r>
              <w:rPr>
                <w:sz w:val="16"/>
              </w:rPr>
              <w:t>Landbruget er en vigtig bruger af GNSS. En spørgeskemaundersøgelse med 6.000 respondenter i marts 2013 viser, at 18 % af landbrug bruger GNSS (herunder EGNOS og kommercielle augmenteringssystemer som real-time kinematics (RTK) og Omni- Star, som er Trimbles system.</w:t>
            </w:r>
            <w:r>
              <w:rPr>
                <w:position w:val="6"/>
                <w:sz w:val="8"/>
              </w:rPr>
              <w:t>105 </w:t>
            </w:r>
            <w:r>
              <w:rPr>
                <w:sz w:val="16"/>
              </w:rPr>
              <w:t>GNSS anvendes til at reducere den tid der bruges på marken, overvåge udbytte samt reducere og målrette spredningen af pesticider og gødning. Samlet bidrager GNSS til store besparelser på input og reducerer landbru- gets miljømæssige skadevirkninger. Høj nøjagtighed kræves til aktiviteterne og kan sikre, at traktorspor altid er samme sted på marken, hvilket sikrer, at traktorens ska- devirkninger på jorden begrænses mest muligt.</w:t>
            </w:r>
          </w:p>
        </w:tc>
      </w:tr>
      <w:tr>
        <w:trPr>
          <w:trHeight w:val="1791" w:hRule="atLeast"/>
        </w:trPr>
        <w:tc>
          <w:tcPr>
            <w:tcW w:w="969" w:type="dxa"/>
            <w:tcBorders>
              <w:right w:val="nil"/>
            </w:tcBorders>
          </w:tcPr>
          <w:p>
            <w:pPr>
              <w:pStyle w:val="TableParagraph"/>
              <w:spacing w:line="264" w:lineRule="auto"/>
              <w:ind w:left="105" w:right="222"/>
              <w:rPr>
                <w:b/>
                <w:sz w:val="16"/>
              </w:rPr>
            </w:pPr>
            <w:r>
              <w:rPr>
                <w:b/>
                <w:sz w:val="16"/>
              </w:rPr>
              <w:t>Land- måling</w:t>
            </w:r>
          </w:p>
        </w:tc>
        <w:tc>
          <w:tcPr>
            <w:tcW w:w="1429" w:type="dxa"/>
            <w:tcBorders>
              <w:left w:val="nil"/>
              <w:right w:val="nil"/>
            </w:tcBorders>
          </w:tcPr>
          <w:p>
            <w:pPr>
              <w:pStyle w:val="TableParagraph"/>
              <w:spacing w:line="264" w:lineRule="auto"/>
              <w:ind w:left="134" w:right="87"/>
              <w:rPr>
                <w:sz w:val="16"/>
              </w:rPr>
            </w:pPr>
            <w:r>
              <w:rPr>
                <w:sz w:val="16"/>
              </w:rPr>
              <w:t>Bygge og anlæg, olie og gas, måling og kortlavning</w:t>
            </w:r>
          </w:p>
        </w:tc>
        <w:tc>
          <w:tcPr>
            <w:tcW w:w="7242" w:type="dxa"/>
            <w:tcBorders>
              <w:left w:val="nil"/>
            </w:tcBorders>
          </w:tcPr>
          <w:p>
            <w:pPr>
              <w:pStyle w:val="TableParagraph"/>
              <w:spacing w:line="264" w:lineRule="auto"/>
              <w:ind w:left="124" w:right="76"/>
              <w:rPr>
                <w:sz w:val="16"/>
              </w:rPr>
            </w:pPr>
            <w:r>
              <w:rPr>
                <w:sz w:val="16"/>
              </w:rPr>
              <w:t>GNSS med høj præcision bruges i bygge- og anlægsbranchen til at sikre, at al aktivitet peger i samme retning. Ved anlæg af veje, for eksempel bruges GNSS med RTK til at sikre, at arbejdere fra begge sider mødes på det rigtige sted. GNSS anvendes også til monitorering af høje bygninger og broer, hvor præcise målinger kan give indikationer om modstandsdygtighed over for vejret og fortælle operatører om presserende vedli- gehold. Olie og Gas-sektoren anvender GNSS til at holde styr på geologiske undersø- gelser af havbunden, mens landmålere sparer megen tid, fordi kravet om at alle appa- rater skal kunne se hinanden ikke længere gælder.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5240;mso-wrap-distance-left:0;mso-wrap-distance-right:0" from="85.103996pt,14.883417pt" to="229.123996pt,14.883417pt" stroked="true" strokeweight=".48004pt" strokecolor="#000000">
            <v:stroke dashstyle="solid"/>
            <w10:wrap type="topAndBottom"/>
          </v:line>
        </w:pict>
      </w:r>
    </w:p>
    <w:p>
      <w:pPr>
        <w:spacing w:before="99"/>
        <w:ind w:left="742" w:right="0" w:firstLine="0"/>
        <w:jc w:val="left"/>
        <w:rPr>
          <w:sz w:val="13"/>
        </w:rPr>
      </w:pPr>
      <w:r>
        <w:rPr>
          <w:position w:val="6"/>
          <w:sz w:val="8"/>
        </w:rPr>
        <w:t>102 </w:t>
      </w:r>
      <w:hyperlink r:id="rId119">
        <w:r>
          <w:rPr>
            <w:color w:val="009DDF"/>
            <w:sz w:val="13"/>
          </w:rPr>
          <w:t>http://www.cubris.dk/ </w:t>
        </w:r>
      </w:hyperlink>
      <w:r>
        <w:rPr>
          <w:sz w:val="13"/>
        </w:rPr>
        <w:t>(tilgået 19. april 2016)</w:t>
      </w:r>
    </w:p>
    <w:p>
      <w:pPr>
        <w:spacing w:before="41"/>
        <w:ind w:left="742" w:right="0" w:firstLine="0"/>
        <w:jc w:val="left"/>
        <w:rPr>
          <w:sz w:val="13"/>
        </w:rPr>
      </w:pPr>
      <w:r>
        <w:rPr>
          <w:position w:val="6"/>
          <w:sz w:val="8"/>
        </w:rPr>
        <w:t>103 </w:t>
      </w:r>
      <w:hyperlink r:id="rId120">
        <w:r>
          <w:rPr>
            <w:color w:val="009DDF"/>
            <w:sz w:val="13"/>
          </w:rPr>
          <w:t>http://www.transrail.se/cato.php?lang=en </w:t>
        </w:r>
      </w:hyperlink>
      <w:r>
        <w:rPr>
          <w:sz w:val="13"/>
        </w:rPr>
        <w:t>(tilgået 6. maj 2016)</w:t>
      </w:r>
    </w:p>
    <w:p>
      <w:pPr>
        <w:spacing w:line="316" w:lineRule="auto" w:before="43"/>
        <w:ind w:left="742" w:right="1181" w:firstLine="0"/>
        <w:jc w:val="left"/>
        <w:rPr>
          <w:sz w:val="13"/>
        </w:rPr>
      </w:pPr>
      <w:r>
        <w:rPr>
          <w:position w:val="6"/>
          <w:sz w:val="8"/>
        </w:rPr>
        <w:t>104 </w:t>
      </w:r>
      <w:r>
        <w:rPr>
          <w:sz w:val="13"/>
        </w:rPr>
        <w:t>Emergency Locator Transmitters (til fly), Personal Locator Beacons (til personer på skibe eller i ødemarken) og Emergency Position Indicating Radio Beacon (til skibe)</w:t>
      </w:r>
    </w:p>
    <w:p>
      <w:pPr>
        <w:spacing w:line="161" w:lineRule="exact" w:before="0"/>
        <w:ind w:left="742" w:right="0" w:firstLine="0"/>
        <w:jc w:val="left"/>
        <w:rPr>
          <w:sz w:val="13"/>
        </w:rPr>
      </w:pPr>
      <w:r>
        <w:rPr>
          <w:position w:val="6"/>
          <w:sz w:val="8"/>
        </w:rPr>
        <w:t>105 </w:t>
      </w:r>
      <w:r>
        <w:rPr>
          <w:sz w:val="13"/>
        </w:rPr>
        <w:t>Videnscenter for Landbrug (2013) </w:t>
      </w:r>
      <w:r>
        <w:rPr>
          <w:i/>
          <w:sz w:val="13"/>
        </w:rPr>
        <w:t>Uptake of GNSS technology amongst Danish farmers, </w:t>
      </w:r>
      <w:r>
        <w:rPr>
          <w:sz w:val="13"/>
        </w:rPr>
        <w:t>tilgængelig her:</w:t>
      </w:r>
    </w:p>
    <w:p>
      <w:pPr>
        <w:spacing w:before="51"/>
        <w:ind w:left="742" w:right="0" w:firstLine="0"/>
        <w:jc w:val="left"/>
        <w:rPr>
          <w:sz w:val="13"/>
        </w:rPr>
      </w:pPr>
      <w:hyperlink r:id="rId121">
        <w:r>
          <w:rPr>
            <w:color w:val="009DDF"/>
            <w:sz w:val="13"/>
          </w:rPr>
          <w:t>http://www.slideshare.net/jenspeterhansen/uptake-of-gnss-technology-amongst-danish-farmers-23397745 </w:t>
        </w:r>
      </w:hyperlink>
      <w:r>
        <w:rPr>
          <w:sz w:val="13"/>
        </w:rPr>
        <w:t>(tilgået 19. april 2016)</w:t>
      </w:r>
    </w:p>
    <w:p>
      <w:pPr>
        <w:spacing w:after="0"/>
        <w:jc w:val="left"/>
        <w:rPr>
          <w:sz w:val="13"/>
        </w:rPr>
        <w:sectPr>
          <w:footerReference w:type="default" r:id="rId118"/>
          <w:pgSz w:w="11910" w:h="16840"/>
          <w:pgMar w:footer="619" w:header="0" w:top="1580" w:bottom="800" w:left="960" w:right="0"/>
          <w:pgNumType w:start="60"/>
        </w:sectPr>
      </w:pPr>
    </w:p>
    <w:p>
      <w:pPr>
        <w:pStyle w:val="BodyText"/>
        <w:spacing w:before="5" w:after="1"/>
        <w:rPr>
          <w:sz w:val="8"/>
        </w:rPr>
      </w:pPr>
    </w:p>
    <w:tbl>
      <w:tblPr>
        <w:tblW w:w="0" w:type="auto"/>
        <w:jc w:val="left"/>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1442"/>
        <w:gridCol w:w="7269"/>
      </w:tblGrid>
      <w:tr>
        <w:trPr>
          <w:trHeight w:val="334" w:hRule="atLeast"/>
        </w:trPr>
        <w:tc>
          <w:tcPr>
            <w:tcW w:w="928" w:type="dxa"/>
            <w:shd w:val="clear" w:color="auto" w:fill="A7D2F5"/>
          </w:tcPr>
          <w:p>
            <w:pPr>
              <w:pStyle w:val="TableParagraph"/>
              <w:spacing w:before="60"/>
              <w:ind w:left="115"/>
              <w:rPr>
                <w:b/>
                <w:sz w:val="16"/>
              </w:rPr>
            </w:pPr>
            <w:r>
              <w:rPr>
                <w:b/>
                <w:color w:val="FFFFFF"/>
                <w:sz w:val="16"/>
              </w:rPr>
              <w:t>Gruppe</w:t>
            </w:r>
          </w:p>
        </w:tc>
        <w:tc>
          <w:tcPr>
            <w:tcW w:w="1442" w:type="dxa"/>
            <w:shd w:val="clear" w:color="auto" w:fill="A7D2F5"/>
          </w:tcPr>
          <w:p>
            <w:pPr>
              <w:pStyle w:val="TableParagraph"/>
              <w:spacing w:before="60"/>
              <w:ind w:left="175"/>
              <w:rPr>
                <w:b/>
                <w:sz w:val="16"/>
              </w:rPr>
            </w:pPr>
            <w:r>
              <w:rPr>
                <w:b/>
                <w:color w:val="FFFFFF"/>
                <w:sz w:val="16"/>
              </w:rPr>
              <w:t>Applikation</w:t>
            </w:r>
          </w:p>
        </w:tc>
        <w:tc>
          <w:tcPr>
            <w:tcW w:w="7269" w:type="dxa"/>
            <w:shd w:val="clear" w:color="auto" w:fill="A7D2F5"/>
          </w:tcPr>
          <w:p>
            <w:pPr>
              <w:pStyle w:val="TableParagraph"/>
              <w:spacing w:before="60"/>
              <w:ind w:left="152"/>
              <w:rPr>
                <w:b/>
                <w:sz w:val="16"/>
              </w:rPr>
            </w:pPr>
            <w:r>
              <w:rPr>
                <w:b/>
                <w:color w:val="FFFFFF"/>
                <w:sz w:val="16"/>
              </w:rPr>
              <w:t>Beskrivelse</w:t>
            </w:r>
          </w:p>
        </w:tc>
      </w:tr>
      <w:tr>
        <w:trPr>
          <w:trHeight w:val="2433" w:hRule="atLeast"/>
        </w:trPr>
        <w:tc>
          <w:tcPr>
            <w:tcW w:w="928" w:type="dxa"/>
            <w:tcBorders>
              <w:left w:val="single" w:sz="8" w:space="0" w:color="A7D2F5"/>
              <w:bottom w:val="single" w:sz="8" w:space="0" w:color="A7D2F5"/>
            </w:tcBorders>
          </w:tcPr>
          <w:p>
            <w:pPr>
              <w:pStyle w:val="TableParagraph"/>
              <w:ind w:left="105"/>
              <w:rPr>
                <w:b/>
                <w:sz w:val="16"/>
              </w:rPr>
            </w:pPr>
            <w:r>
              <w:rPr>
                <w:b/>
                <w:sz w:val="16"/>
              </w:rPr>
              <w:t>Timing</w:t>
            </w:r>
          </w:p>
        </w:tc>
        <w:tc>
          <w:tcPr>
            <w:tcW w:w="1442" w:type="dxa"/>
            <w:tcBorders>
              <w:bottom w:val="single" w:sz="8" w:space="0" w:color="A7D2F5"/>
            </w:tcBorders>
          </w:tcPr>
          <w:p>
            <w:pPr>
              <w:pStyle w:val="TableParagraph"/>
              <w:spacing w:line="264" w:lineRule="auto"/>
              <w:ind w:left="175" w:right="130"/>
              <w:rPr>
                <w:sz w:val="16"/>
              </w:rPr>
            </w:pPr>
            <w:r>
              <w:rPr>
                <w:sz w:val="16"/>
              </w:rPr>
              <w:t>Finansielle transaktioner, energinet- værk, tele- kommunikati- on mv.</w:t>
            </w:r>
          </w:p>
        </w:tc>
        <w:tc>
          <w:tcPr>
            <w:tcW w:w="7269" w:type="dxa"/>
            <w:tcBorders>
              <w:bottom w:val="single" w:sz="8" w:space="0" w:color="A7D2F5"/>
              <w:right w:val="single" w:sz="8" w:space="0" w:color="A7D2F5"/>
            </w:tcBorders>
          </w:tcPr>
          <w:p>
            <w:pPr>
              <w:pStyle w:val="TableParagraph"/>
              <w:spacing w:line="264" w:lineRule="auto"/>
              <w:ind w:left="152" w:right="84"/>
              <w:rPr>
                <w:sz w:val="8"/>
              </w:rPr>
            </w:pPr>
            <w:r>
              <w:rPr>
                <w:sz w:val="16"/>
              </w:rPr>
              <w:t>Fordi alle GNSS-satellitter er udstyret med præcise ure, er det muligt at beregne den lokale tid med atomurspræcision. Handelscentre til finansielle transaktioner, hvor det præcise tidspunkt kan have stor betydning for den pris der skal betales, anvender i vid udstrækning GNSS-baseret tid til at sikre den rigtige tid. I mange lande anvendes GNSS også til at sikre, at tiden i kontantautomater er korrekt. Energinetværk bruger Phasor Measurement Units til at overvåge netværket og kan finde kilden til pludselige spændingsudsving eller lignende ved at undersøge, hvornår udsvinget er observeret på hver station. Telekommunikationsnetværk anvender GNSS til at sikre, at netværket er synkroniseret bedst muligt og dermed har den højeste kapacitet. Storebæltsforbin- delsen anvender endvidere GNSS-baseret synkronisering, som er installeret af danske Black Box</w:t>
            </w:r>
            <w:r>
              <w:rPr>
                <w:spacing w:val="-3"/>
                <w:sz w:val="16"/>
              </w:rPr>
              <w:t> </w:t>
            </w:r>
            <w:r>
              <w:rPr>
                <w:sz w:val="16"/>
              </w:rPr>
              <w:t>A/S</w:t>
            </w:r>
            <w:r>
              <w:rPr>
                <w:position w:val="6"/>
                <w:sz w:val="8"/>
              </w:rPr>
              <w:t>106</w:t>
            </w:r>
          </w:p>
        </w:tc>
      </w:tr>
    </w:tbl>
    <w:p>
      <w:pPr>
        <w:spacing w:before="48"/>
        <w:ind w:left="175" w:right="0" w:firstLine="0"/>
        <w:jc w:val="left"/>
        <w:rPr>
          <w:sz w:val="16"/>
        </w:rPr>
      </w:pPr>
      <w:r>
        <w:rPr>
          <w:sz w:val="16"/>
        </w:rPr>
        <w:t>Kilde: Rambøll og London Economics.</w:t>
      </w:r>
    </w:p>
    <w:p>
      <w:pPr>
        <w:pStyle w:val="BodyText"/>
        <w:spacing w:before="5"/>
        <w:rPr>
          <w:sz w:val="21"/>
        </w:rPr>
      </w:pPr>
    </w:p>
    <w:p>
      <w:pPr>
        <w:pStyle w:val="BodyText"/>
        <w:spacing w:line="264" w:lineRule="auto"/>
        <w:ind w:left="742" w:right="1131"/>
      </w:pPr>
      <w:r>
        <w:rPr/>
        <w:t>Ud over ovenstående eksempler bidrager de to nedenstående cases med illustrative beregninger på mulige besparelser og øget indtjening ved brug af GNSS.</w:t>
      </w:r>
    </w:p>
    <w:p>
      <w:pPr>
        <w:pStyle w:val="BodyText"/>
        <w:spacing w:before="8"/>
        <w:rPr>
          <w:sz w:val="19"/>
        </w:rPr>
      </w:pPr>
    </w:p>
    <w:p>
      <w:pPr>
        <w:pStyle w:val="ListParagraph"/>
        <w:numPr>
          <w:ilvl w:val="2"/>
          <w:numId w:val="15"/>
        </w:numPr>
        <w:tabs>
          <w:tab w:pos="743" w:val="left" w:leader="none"/>
        </w:tabs>
        <w:spacing w:line="240" w:lineRule="auto" w:before="0" w:after="0"/>
        <w:ind w:left="742" w:right="0" w:hanging="624"/>
        <w:jc w:val="left"/>
        <w:rPr>
          <w:b/>
          <w:sz w:val="18"/>
        </w:rPr>
      </w:pPr>
      <w:bookmarkStart w:name="_bookmark47" w:id="48"/>
      <w:bookmarkEnd w:id="48"/>
      <w:r>
        <w:rPr>
          <w:b/>
          <w:sz w:val="18"/>
        </w:rPr>
        <w:t>C</w:t>
      </w:r>
      <w:r>
        <w:rPr>
          <w:b/>
          <w:sz w:val="18"/>
        </w:rPr>
        <w:t>ase: Forsyningsledninger – klarhed om egen og ledningers</w:t>
      </w:r>
      <w:r>
        <w:rPr>
          <w:b/>
          <w:spacing w:val="-6"/>
          <w:sz w:val="18"/>
        </w:rPr>
        <w:t> </w:t>
      </w:r>
      <w:r>
        <w:rPr>
          <w:b/>
          <w:sz w:val="18"/>
        </w:rPr>
        <w:t>placering</w:t>
      </w:r>
    </w:p>
    <w:p>
      <w:pPr>
        <w:pStyle w:val="BodyText"/>
        <w:spacing w:line="264" w:lineRule="auto" w:before="22"/>
        <w:ind w:left="742" w:right="1322"/>
      </w:pPr>
      <w:r>
        <w:rPr/>
        <w:t>I Danmark er forsyningsledninger til vand, el og gas som oftest gravet ned. Før der påbegyndes nyt gravearbejde, eksempelvis i forbindelse med vejarbejde, er det vigtigt at undersøge, om der ligger nedgravede forsyningsledninger i det pågældende område. Rambøll har tidligere foretaget større analyser af det danske forsyningsnetværk. I denne forbindelse blev der kortlagt i omegnen af 26.000 graveskader årligt på ledningsnetværket.</w:t>
      </w:r>
    </w:p>
    <w:p>
      <w:pPr>
        <w:pStyle w:val="BodyText"/>
        <w:spacing w:before="5"/>
        <w:rPr>
          <w:sz w:val="19"/>
        </w:rPr>
      </w:pPr>
    </w:p>
    <w:p>
      <w:pPr>
        <w:pStyle w:val="BodyText"/>
        <w:spacing w:line="264" w:lineRule="auto" w:before="1"/>
        <w:ind w:left="742" w:right="1128"/>
      </w:pPr>
      <w:r>
        <w:rPr/>
        <w:t>En af årsagerne til de mange graveskader er, at der er uklarhed om egen placering og ledningernes nøjagtige beliggenhed. En norsk undersøgelse har vist, at knap 30 pct. af graveskaderne i Norge skyldes fejlagtige ledningsoplysninger</w:t>
      </w:r>
      <w:r>
        <w:rPr>
          <w:w w:val="99"/>
          <w:position w:val="6"/>
          <w:sz w:val="8"/>
        </w:rPr>
        <w:t>107</w:t>
      </w:r>
      <w:r>
        <w:rPr/>
        <w:t>. I Danmark opbevarer Ledningsejerregistret (LER) oplys- ninger om de nedgravede forsyningsledningers ejere.</w:t>
      </w:r>
    </w:p>
    <w:p>
      <w:pPr>
        <w:pStyle w:val="BodyText"/>
        <w:spacing w:before="6"/>
        <w:rPr>
          <w:sz w:val="19"/>
        </w:rPr>
      </w:pPr>
    </w:p>
    <w:p>
      <w:pPr>
        <w:pStyle w:val="BodyText"/>
        <w:spacing w:line="264" w:lineRule="auto"/>
        <w:ind w:left="742" w:right="1136"/>
      </w:pPr>
      <w:r>
        <w:rPr/>
        <w:t>Formålet med LER er at undgå graveskader ved at sikre, at graveaktører kan komme i kontakt med ledningsejere og derved få information om ledningernes beliggenhed. Derudover kan brugen af GPS også medføre, at gravemaskiner kan bruges til en meget større del af gravearbejdet. I dag er man nødsaget til at udføre en del af gravearbejdet uden maskiner på grund af uklarhed om place- ringen.</w:t>
      </w:r>
    </w:p>
    <w:p>
      <w:pPr>
        <w:pStyle w:val="BodyText"/>
        <w:spacing w:before="6"/>
        <w:rPr>
          <w:sz w:val="19"/>
        </w:rPr>
      </w:pPr>
    </w:p>
    <w:p>
      <w:pPr>
        <w:pStyle w:val="BodyText"/>
        <w:spacing w:line="264" w:lineRule="auto"/>
        <w:ind w:left="742" w:right="1179"/>
      </w:pPr>
      <w:r>
        <w:rPr/>
        <w:t>Brugen af GPS-teknologi kan optimere gravearbejdet på to måder. For det første kan GPS-data lede til en reduktion i antallet af graveskader. På baggrund af tidligere analyser af graveskader på ledningsnettet vurderer Rambøll, at cirka 20 % af omkostningerne forbundet med graveskader kan spares ved at have en bedre klarhed af egen og ledningernes placering. Brugen af GPS til lokalise- ring af ledninger og egen placering giver på den måde en besparelse på 45 mio. DKK årligt.</w:t>
      </w:r>
    </w:p>
    <w:p>
      <w:pPr>
        <w:pStyle w:val="BodyText"/>
        <w:spacing w:before="6"/>
        <w:rPr>
          <w:sz w:val="19"/>
        </w:rPr>
      </w:pPr>
    </w:p>
    <w:p>
      <w:pPr>
        <w:pStyle w:val="BodyText"/>
        <w:spacing w:line="264" w:lineRule="auto"/>
        <w:ind w:left="742" w:right="1284"/>
      </w:pPr>
      <w:r>
        <w:rPr/>
        <w:t>For det andet kan brugen af GPS-teknologi tillade gravkøer at grave mere præcist og tættere på forsyningsledninger. På baggrund af tidligere analyser har Rambøll kortlagt, at der cirka foretages</w:t>
      </w:r>
    </w:p>
    <w:p>
      <w:pPr>
        <w:pStyle w:val="BodyText"/>
        <w:spacing w:line="264" w:lineRule="auto"/>
        <w:ind w:left="742" w:right="1180"/>
      </w:pPr>
      <w:r>
        <w:rPr/>
        <w:t>110.000 graveopgaver om året i Danmark. Disse graveopgaver varer i gennemsnit 100 timer og er vurderet til at have en timepris på 1.600 DKK. Et konservativt estimat baseret på Rambølls tidlige- re analyser ledningsnettet er, at en mere præcis brug af gravemaskiner kan nedbringe gravetiden med 5 %. Dette svarer til en potentiel besparelse på 870 mio. DKK årligt.</w:t>
      </w: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5264;mso-wrap-distance-left:0;mso-wrap-distance-right:0" from="85.103996pt,10.261865pt" to="229.123996pt,10.261865pt" stroked="true" strokeweight=".48004pt" strokecolor="#000000">
            <v:stroke dashstyle="solid"/>
            <w10:wrap type="topAndBottom"/>
          </v:line>
        </w:pict>
      </w:r>
    </w:p>
    <w:p>
      <w:pPr>
        <w:spacing w:line="321" w:lineRule="auto" w:before="99"/>
        <w:ind w:left="742" w:right="3794" w:firstLine="0"/>
        <w:jc w:val="left"/>
        <w:rPr>
          <w:sz w:val="13"/>
        </w:rPr>
      </w:pPr>
      <w:r>
        <w:rPr>
          <w:position w:val="6"/>
          <w:sz w:val="8"/>
        </w:rPr>
        <w:t>106 </w:t>
      </w:r>
      <w:r>
        <w:rPr>
          <w:sz w:val="13"/>
        </w:rPr>
        <w:t>Black Box A/S (udateret) </w:t>
      </w:r>
      <w:r>
        <w:rPr>
          <w:i/>
          <w:sz w:val="13"/>
        </w:rPr>
        <w:t>Ikke et sekunds afvigelse på Storebælt</w:t>
      </w:r>
      <w:r>
        <w:rPr>
          <w:sz w:val="13"/>
        </w:rPr>
        <w:t>, tilgængelig her: </w:t>
      </w:r>
      <w:hyperlink r:id="rId122">
        <w:r>
          <w:rPr>
            <w:color w:val="009DDF"/>
            <w:sz w:val="13"/>
          </w:rPr>
          <w:t>https://www.blackbox.dk/_AppData/cms/file/AS%20storeb%C3%A6lt.pdf </w:t>
        </w:r>
      </w:hyperlink>
      <w:r>
        <w:rPr>
          <w:sz w:val="13"/>
        </w:rPr>
        <w:t>(tilgået 19. april 2016)</w:t>
      </w:r>
    </w:p>
    <w:p>
      <w:pPr>
        <w:spacing w:line="155" w:lineRule="exact" w:before="0"/>
        <w:ind w:left="742" w:right="0" w:firstLine="0"/>
        <w:jc w:val="left"/>
        <w:rPr>
          <w:sz w:val="13"/>
        </w:rPr>
      </w:pPr>
      <w:r>
        <w:rPr>
          <w:position w:val="6"/>
          <w:sz w:val="8"/>
        </w:rPr>
        <w:t>107 </w:t>
      </w:r>
      <w:r>
        <w:rPr>
          <w:sz w:val="13"/>
        </w:rPr>
        <w:t>Kilde: Rapport fra arbeidsgruppe graveskader, 2. nov. 2015, Norge.</w:t>
      </w:r>
    </w:p>
    <w:p>
      <w:pPr>
        <w:spacing w:after="0" w:line="155" w:lineRule="exact"/>
        <w:jc w:val="left"/>
        <w:rPr>
          <w:sz w:val="13"/>
        </w:rPr>
        <w:sectPr>
          <w:pgSz w:w="11910" w:h="16840"/>
          <w:pgMar w:header="0" w:footer="619" w:top="1580" w:bottom="800" w:left="960" w:right="0"/>
        </w:sectPr>
      </w:pPr>
    </w:p>
    <w:p>
      <w:pPr>
        <w:pStyle w:val="BodyText"/>
        <w:spacing w:before="5" w:after="1"/>
        <w:rPr>
          <w:sz w:val="8"/>
        </w:rPr>
      </w:pPr>
    </w:p>
    <w:p>
      <w:pPr>
        <w:pStyle w:val="BodyText"/>
        <w:ind w:left="1841"/>
        <w:rPr>
          <w:sz w:val="20"/>
        </w:rPr>
      </w:pPr>
      <w:r>
        <w:rPr>
          <w:sz w:val="20"/>
        </w:rPr>
        <w:drawing>
          <wp:inline distT="0" distB="0" distL="0" distR="0">
            <wp:extent cx="4387365" cy="1745742"/>
            <wp:effectExtent l="0" t="0" r="0" b="0"/>
            <wp:docPr id="69" name="image57.png" descr=""/>
            <wp:cNvGraphicFramePr>
              <a:graphicFrameLocks noChangeAspect="1"/>
            </wp:cNvGraphicFramePr>
            <a:graphic>
              <a:graphicData uri="http://schemas.openxmlformats.org/drawingml/2006/picture">
                <pic:pic>
                  <pic:nvPicPr>
                    <pic:cNvPr id="70" name="image57.png"/>
                    <pic:cNvPicPr/>
                  </pic:nvPicPr>
                  <pic:blipFill>
                    <a:blip r:embed="rId123" cstate="print"/>
                    <a:stretch>
                      <a:fillRect/>
                    </a:stretch>
                  </pic:blipFill>
                  <pic:spPr>
                    <a:xfrm>
                      <a:off x="0" y="0"/>
                      <a:ext cx="4387365" cy="1745742"/>
                    </a:xfrm>
                    <a:prstGeom prst="rect">
                      <a:avLst/>
                    </a:prstGeom>
                  </pic:spPr>
                </pic:pic>
              </a:graphicData>
            </a:graphic>
          </wp:inline>
        </w:drawing>
      </w:r>
      <w:r>
        <w:rPr>
          <w:sz w:val="20"/>
        </w:rPr>
      </w:r>
    </w:p>
    <w:p>
      <w:pPr>
        <w:pStyle w:val="BodyText"/>
        <w:rPr>
          <w:sz w:val="20"/>
        </w:rPr>
      </w:pPr>
    </w:p>
    <w:p>
      <w:pPr>
        <w:pStyle w:val="BodyText"/>
        <w:spacing w:before="10"/>
        <w:rPr>
          <w:sz w:val="19"/>
        </w:rPr>
      </w:pPr>
    </w:p>
    <w:p>
      <w:pPr>
        <w:pStyle w:val="BodyText"/>
        <w:spacing w:line="264" w:lineRule="auto"/>
        <w:ind w:left="742" w:right="1139"/>
      </w:pPr>
      <w:r>
        <w:rPr/>
        <w:t>Det er i denne sammenhæng væsentligt at bemærke, at grundlaget endnu ikke er fuldt tilstedet for at der kan etableres et digitaliseret og præcist ledningsnet. Realiseringen af de ovenfor beskrevne potentialer kræver dette grundlag.</w:t>
      </w:r>
    </w:p>
    <w:p>
      <w:pPr>
        <w:pStyle w:val="BodyText"/>
        <w:rPr>
          <w:sz w:val="22"/>
        </w:rPr>
      </w:pPr>
    </w:p>
    <w:p>
      <w:pPr>
        <w:pStyle w:val="BodyText"/>
        <w:spacing w:before="5"/>
        <w:rPr>
          <w:sz w:val="17"/>
        </w:rPr>
      </w:pPr>
    </w:p>
    <w:p>
      <w:pPr>
        <w:pStyle w:val="ListParagraph"/>
        <w:numPr>
          <w:ilvl w:val="2"/>
          <w:numId w:val="15"/>
        </w:numPr>
        <w:tabs>
          <w:tab w:pos="743" w:val="left" w:leader="none"/>
        </w:tabs>
        <w:spacing w:line="240" w:lineRule="auto" w:before="0" w:after="0"/>
        <w:ind w:left="742" w:right="0" w:hanging="624"/>
        <w:jc w:val="left"/>
        <w:rPr>
          <w:b/>
          <w:sz w:val="18"/>
        </w:rPr>
      </w:pPr>
      <w:r>
        <w:rPr>
          <w:b/>
          <w:sz w:val="18"/>
        </w:rPr>
        <w:t>Case: Asset-tracking - reduktion af</w:t>
      </w:r>
      <w:r>
        <w:rPr>
          <w:b/>
          <w:spacing w:val="-1"/>
          <w:sz w:val="18"/>
        </w:rPr>
        <w:t> </w:t>
      </w:r>
      <w:r>
        <w:rPr>
          <w:b/>
          <w:sz w:val="18"/>
        </w:rPr>
        <w:t>tyveri</w:t>
      </w:r>
    </w:p>
    <w:p>
      <w:pPr>
        <w:pStyle w:val="BodyText"/>
        <w:spacing w:line="264" w:lineRule="auto" w:before="21"/>
        <w:ind w:left="742" w:right="1142"/>
      </w:pPr>
      <w:r>
        <w:rPr/>
        <w:t>Små GPS-sendere og chips gør det muligt at spore værdigenstande ved hjælp af GPS. Dette kaldes også for asset-tracking. Asset-tracking kan potentielt reducerer antallet af stjålne genstande som ikke genfindes. Derudover kan asset-tracking også have en præventiv effekt på antallet af tyverier. For eksempel vil asset-tracking gøre det muligt at forhindre igangværende cykeltyverier eller efter- sætte cykeltyvene ved at koble cyklens tracking-enhed med en app på ejerens smartphone, som giver ejeren besked, hvis cyklen bevæger sig, uden at ejeren er i nærheden. Dermed er ejeren i stand til umiddelbart at tilkalde politiet.</w:t>
      </w:r>
    </w:p>
    <w:p>
      <w:pPr>
        <w:pStyle w:val="BodyText"/>
        <w:spacing w:before="5"/>
        <w:rPr>
          <w:sz w:val="19"/>
        </w:rPr>
      </w:pPr>
    </w:p>
    <w:p>
      <w:pPr>
        <w:pStyle w:val="BodyText"/>
        <w:spacing w:line="264" w:lineRule="auto"/>
        <w:ind w:left="742" w:right="1147"/>
      </w:pPr>
      <w:r>
        <w:rPr/>
        <w:t>I 2014 blev der anmeldt 48.651 cykeltyverier til forsikringsselskaberne (kilde: Forsikring og Pensi- on). I samme periode udbetalte forsikringsselskaberne i gennemsnit 3.918 DKK pr. cykel. Undersø- gelser fra Holland har vist, at brugen af asset-tracking har reduceret antallet af stjålne cykler med cirka 40 pct. Denne reduktion i antallet af cykeltyverier svarer til et årligt samfundsøkonomisk po- tentiale på </w:t>
      </w:r>
      <w:r>
        <w:rPr>
          <w:b/>
        </w:rPr>
        <w:t>76 mio. DKK. </w:t>
      </w:r>
      <w:r>
        <w:rPr/>
        <w:t>Lignende mærkning kan anvendes til værdigenstande i hjem eller som- merhuse.</w:t>
      </w:r>
    </w:p>
    <w:p>
      <w:pPr>
        <w:pStyle w:val="BodyText"/>
        <w:spacing w:before="5"/>
        <w:rPr>
          <w:sz w:val="19"/>
        </w:rPr>
      </w:pPr>
    </w:p>
    <w:p>
      <w:pPr>
        <w:pStyle w:val="BodyText"/>
        <w:spacing w:line="264" w:lineRule="auto" w:before="1"/>
        <w:ind w:left="742" w:right="1204"/>
        <w:rPr>
          <w:b/>
        </w:rPr>
      </w:pPr>
      <w:r>
        <w:rPr/>
        <w:t>Nogle værdigenstande er lettere at omsætte for kriminelle, eksempelvis elektronik og designer- møbler. I 2014 blev der udbetalt cirka 926 mio. DKK i forsikring for indbrud i hjem og sommerhu- se. En international undersøgelse viser, at mærkning af værdigenstande har en reducerende effekt på tyveri på 1,9 pct.</w:t>
      </w:r>
      <w:r>
        <w:rPr>
          <w:w w:val="99"/>
          <w:position w:val="6"/>
          <w:sz w:val="8"/>
        </w:rPr>
        <w:t>108</w:t>
      </w:r>
      <w:r>
        <w:rPr>
          <w:position w:val="6"/>
          <w:sz w:val="8"/>
        </w:rPr>
        <w:t>  </w:t>
      </w:r>
      <w:r>
        <w:rPr/>
        <w:t>Dermed kan mærkningen af private værdigenstande potentiel lede til en årlig samfundsgevinst svarende til ~</w:t>
      </w:r>
      <w:r>
        <w:rPr>
          <w:b/>
        </w:rPr>
        <w:t>18 mio. DKK.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0"/>
        </w:rPr>
      </w:pPr>
      <w:r>
        <w:rPr/>
        <w:pict>
          <v:line style="position:absolute;mso-position-horizontal-relative:page;mso-position-vertical-relative:paragraph;z-index:5288;mso-wrap-distance-left:0;mso-wrap-distance-right:0" from="85.103996pt,8.635361pt" to="229.123996pt,8.635361pt" stroked="true" strokeweight=".48004pt" strokecolor="#000000">
            <v:stroke dashstyle="solid"/>
            <w10:wrap type="topAndBottom"/>
          </v:line>
        </w:pict>
      </w:r>
    </w:p>
    <w:p>
      <w:pPr>
        <w:spacing w:before="99"/>
        <w:ind w:left="742" w:right="0" w:firstLine="0"/>
        <w:jc w:val="left"/>
        <w:rPr>
          <w:sz w:val="13"/>
        </w:rPr>
      </w:pPr>
      <w:r>
        <w:rPr>
          <w:position w:val="6"/>
          <w:sz w:val="8"/>
        </w:rPr>
        <w:t>108 </w:t>
      </w:r>
      <w:r>
        <w:rPr>
          <w:sz w:val="13"/>
        </w:rPr>
        <w:t>Prevention of marking: Property Marking: a deterrent to domestic burglary.</w:t>
      </w:r>
    </w:p>
    <w:p>
      <w:pPr>
        <w:spacing w:after="0"/>
        <w:jc w:val="left"/>
        <w:rPr>
          <w:sz w:val="13"/>
        </w:rPr>
        <w:sectPr>
          <w:pgSz w:w="11910" w:h="16840"/>
          <w:pgMar w:header="0" w:footer="619" w:top="1580" w:bottom="800" w:left="960" w:right="0"/>
        </w:sectPr>
      </w:pPr>
    </w:p>
    <w:p>
      <w:pPr>
        <w:pStyle w:val="BodyText"/>
        <w:spacing w:before="5" w:after="1"/>
        <w:rPr>
          <w:sz w:val="8"/>
        </w:rPr>
      </w:pPr>
    </w:p>
    <w:p>
      <w:pPr>
        <w:pStyle w:val="BodyText"/>
        <w:ind w:left="1702"/>
        <w:rPr>
          <w:sz w:val="20"/>
        </w:rPr>
      </w:pPr>
      <w:r>
        <w:rPr>
          <w:sz w:val="20"/>
        </w:rPr>
        <w:drawing>
          <wp:inline distT="0" distB="0" distL="0" distR="0">
            <wp:extent cx="4569031" cy="1988820"/>
            <wp:effectExtent l="0" t="0" r="0" b="0"/>
            <wp:docPr id="71" name="image58.png" descr=""/>
            <wp:cNvGraphicFramePr>
              <a:graphicFrameLocks noChangeAspect="1"/>
            </wp:cNvGraphicFramePr>
            <a:graphic>
              <a:graphicData uri="http://schemas.openxmlformats.org/drawingml/2006/picture">
                <pic:pic>
                  <pic:nvPicPr>
                    <pic:cNvPr id="72" name="image58.png"/>
                    <pic:cNvPicPr/>
                  </pic:nvPicPr>
                  <pic:blipFill>
                    <a:blip r:embed="rId125" cstate="print"/>
                    <a:stretch>
                      <a:fillRect/>
                    </a:stretch>
                  </pic:blipFill>
                  <pic:spPr>
                    <a:xfrm>
                      <a:off x="0" y="0"/>
                      <a:ext cx="4569031" cy="1988820"/>
                    </a:xfrm>
                    <a:prstGeom prst="rect">
                      <a:avLst/>
                    </a:prstGeom>
                  </pic:spPr>
                </pic:pic>
              </a:graphicData>
            </a:graphic>
          </wp:inline>
        </w:drawing>
      </w:r>
      <w:r>
        <w:rPr>
          <w:sz w:val="20"/>
        </w:rPr>
      </w:r>
    </w:p>
    <w:p>
      <w:pPr>
        <w:pStyle w:val="BodyText"/>
        <w:spacing w:before="5"/>
        <w:rPr>
          <w:sz w:val="12"/>
        </w:rPr>
      </w:pPr>
    </w:p>
    <w:p>
      <w:pPr>
        <w:pStyle w:val="BodyText"/>
        <w:spacing w:line="264" w:lineRule="auto" w:before="100"/>
        <w:ind w:left="742" w:right="1153"/>
      </w:pPr>
      <w:r>
        <w:rPr/>
        <w:t>I 2008 skønnede Dansk Byggeri, på baggrund af en mindre spørgeskemaundersøgelse, at der</w:t>
      </w:r>
      <w:r>
        <w:rPr>
          <w:spacing w:val="-42"/>
        </w:rPr>
        <w:t> </w:t>
      </w:r>
      <w:r>
        <w:rPr/>
        <w:t>hvert år</w:t>
      </w:r>
      <w:r>
        <w:rPr>
          <w:spacing w:val="-2"/>
        </w:rPr>
        <w:t> </w:t>
      </w:r>
      <w:r>
        <w:rPr/>
        <w:t>bli</w:t>
      </w:r>
      <w:r>
        <w:rPr>
          <w:spacing w:val="-1"/>
        </w:rPr>
        <w:t>v</w:t>
      </w:r>
      <w:r>
        <w:rPr/>
        <w:t>er</w:t>
      </w:r>
      <w:r>
        <w:rPr>
          <w:spacing w:val="-1"/>
        </w:rPr>
        <w:t> </w:t>
      </w:r>
      <w:r>
        <w:rPr/>
        <w:t>st</w:t>
      </w:r>
      <w:r>
        <w:rPr>
          <w:spacing w:val="-1"/>
        </w:rPr>
        <w:t>jå</w:t>
      </w:r>
      <w:r>
        <w:rPr>
          <w:spacing w:val="1"/>
        </w:rPr>
        <w:t>l</w:t>
      </w:r>
      <w:r>
        <w:rPr>
          <w:spacing w:val="-2"/>
        </w:rPr>
        <w:t>e</w:t>
      </w:r>
      <w:r>
        <w:rPr/>
        <w:t>t </w:t>
      </w:r>
      <w:r>
        <w:rPr>
          <w:spacing w:val="-1"/>
        </w:rPr>
        <w:t>f</w:t>
      </w:r>
      <w:r>
        <w:rPr/>
        <w:t>or</w:t>
      </w:r>
      <w:r>
        <w:rPr>
          <w:spacing w:val="-1"/>
        </w:rPr>
        <w:t> </w:t>
      </w:r>
      <w:r>
        <w:rPr/>
        <w:t>om</w:t>
      </w:r>
      <w:r>
        <w:rPr>
          <w:spacing w:val="-1"/>
        </w:rPr>
        <w:t>k</w:t>
      </w:r>
      <w:r>
        <w:rPr/>
        <w:t>ri</w:t>
      </w:r>
      <w:r>
        <w:rPr>
          <w:spacing w:val="-2"/>
        </w:rPr>
        <w:t>n</w:t>
      </w:r>
      <w:r>
        <w:rPr/>
        <w:t>g</w:t>
      </w:r>
      <w:r>
        <w:rPr>
          <w:spacing w:val="-1"/>
        </w:rPr>
        <w:t> </w:t>
      </w:r>
      <w:r>
        <w:rPr/>
        <w:t>60</w:t>
      </w:r>
      <w:r>
        <w:rPr>
          <w:spacing w:val="3"/>
        </w:rPr>
        <w:t>0</w:t>
      </w:r>
      <w:r>
        <w:rPr>
          <w:spacing w:val="-1"/>
        </w:rPr>
        <w:t>-</w:t>
      </w:r>
      <w:r>
        <w:rPr/>
        <w:t>6</w:t>
      </w:r>
      <w:r>
        <w:rPr>
          <w:spacing w:val="-2"/>
        </w:rPr>
        <w:t>5</w:t>
      </w:r>
      <w:r>
        <w:rPr/>
        <w:t>0 mio.</w:t>
      </w:r>
      <w:r>
        <w:rPr>
          <w:spacing w:val="-1"/>
        </w:rPr>
        <w:t> </w:t>
      </w:r>
      <w:r>
        <w:rPr/>
        <w:t>DKK </w:t>
      </w:r>
      <w:r>
        <w:rPr>
          <w:spacing w:val="-1"/>
        </w:rPr>
        <w:t>p</w:t>
      </w:r>
      <w:r>
        <w:rPr/>
        <w:t>å</w:t>
      </w:r>
      <w:r>
        <w:rPr>
          <w:spacing w:val="-1"/>
        </w:rPr>
        <w:t> </w:t>
      </w:r>
      <w:r>
        <w:rPr/>
        <w:t>de</w:t>
      </w:r>
      <w:r>
        <w:rPr>
          <w:spacing w:val="-3"/>
        </w:rPr>
        <w:t> </w:t>
      </w:r>
      <w:r>
        <w:rPr/>
        <w:t>da</w:t>
      </w:r>
      <w:r>
        <w:rPr>
          <w:spacing w:val="-2"/>
        </w:rPr>
        <w:t>n</w:t>
      </w:r>
      <w:r>
        <w:rPr/>
        <w:t>s</w:t>
      </w:r>
      <w:r>
        <w:rPr>
          <w:spacing w:val="-2"/>
        </w:rPr>
        <w:t>k</w:t>
      </w:r>
      <w:r>
        <w:rPr/>
        <w:t>e</w:t>
      </w:r>
      <w:r>
        <w:rPr>
          <w:spacing w:val="-1"/>
        </w:rPr>
        <w:t> </w:t>
      </w:r>
      <w:r>
        <w:rPr/>
        <w:t>b</w:t>
      </w:r>
      <w:r>
        <w:rPr>
          <w:spacing w:val="-1"/>
        </w:rPr>
        <w:t>y</w:t>
      </w:r>
      <w:r>
        <w:rPr/>
        <w:t>ggepladse</w:t>
      </w:r>
      <w:r>
        <w:rPr>
          <w:spacing w:val="-2"/>
        </w:rPr>
        <w:t>r</w:t>
      </w:r>
      <w:r>
        <w:rPr>
          <w:w w:val="99"/>
          <w:position w:val="6"/>
          <w:sz w:val="8"/>
        </w:rPr>
        <w:t>109</w:t>
      </w:r>
      <w:r>
        <w:rPr/>
        <w:t>.</w:t>
      </w:r>
      <w:r>
        <w:rPr>
          <w:spacing w:val="-2"/>
        </w:rPr>
        <w:t> </w:t>
      </w:r>
      <w:r>
        <w:rPr/>
        <w:t>U</w:t>
      </w:r>
      <w:r>
        <w:rPr>
          <w:spacing w:val="3"/>
        </w:rPr>
        <w:t>d</w:t>
      </w:r>
      <w:r>
        <w:rPr/>
        <w:t>gi</w:t>
      </w:r>
      <w:r>
        <w:rPr>
          <w:spacing w:val="-1"/>
        </w:rPr>
        <w:t>f</w:t>
      </w:r>
      <w:r>
        <w:rPr/>
        <w:t>ter</w:t>
      </w:r>
      <w:r>
        <w:rPr>
          <w:spacing w:val="-1"/>
        </w:rPr>
        <w:t> </w:t>
      </w:r>
      <w:r>
        <w:rPr>
          <w:spacing w:val="-2"/>
        </w:rPr>
        <w:t>t</w:t>
      </w:r>
      <w:r>
        <w:rPr/>
        <w:t>il at</w:t>
      </w:r>
      <w:r>
        <w:rPr>
          <w:spacing w:val="-1"/>
        </w:rPr>
        <w:t> </w:t>
      </w:r>
      <w:r>
        <w:rPr/>
        <w:t>erst</w:t>
      </w:r>
      <w:r>
        <w:rPr>
          <w:spacing w:val="-3"/>
        </w:rPr>
        <w:t>a</w:t>
      </w:r>
      <w:r>
        <w:rPr/>
        <w:t>tte de stjålne materialer udgør ifølge organisationens skøn omkring 60 pct. af tabet, mens de reste- rende 40 pct. skyldes ekstra omkostninger i form af forsinkelser, ekstra arbejde etc., der følger, når nymonterede køkkenelementer, brændstof eller værktøj forsvinder fra byggepladserne. Særligt gravemaskiner og andet større materiel kan med fordel trackes ved hjælp af GPS. Hvis vi antager at samme reducerende effekt som fundet ved mærkningen af værdigenstande, kan asset-tracking lede til en samfundsøkonomisk gevinst på </w:t>
      </w:r>
      <w:r>
        <w:rPr>
          <w:b/>
        </w:rPr>
        <w:t>12 mio. DKK årligt </w:t>
      </w:r>
      <w:r>
        <w:rPr/>
        <w:t>i reduktionen af tyveri fra bygge- pladser.</w:t>
      </w:r>
    </w:p>
    <w:p>
      <w:pPr>
        <w:pStyle w:val="BodyText"/>
        <w:spacing w:before="4"/>
        <w:rPr>
          <w:sz w:val="19"/>
        </w:rPr>
      </w:pPr>
    </w:p>
    <w:p>
      <w:pPr>
        <w:pStyle w:val="Heading2"/>
        <w:numPr>
          <w:ilvl w:val="1"/>
          <w:numId w:val="15"/>
        </w:numPr>
        <w:tabs>
          <w:tab w:pos="741" w:val="left" w:leader="none"/>
          <w:tab w:pos="743" w:val="left" w:leader="none"/>
        </w:tabs>
        <w:spacing w:line="240" w:lineRule="auto" w:before="0" w:after="0"/>
        <w:ind w:left="742" w:right="0" w:hanging="624"/>
        <w:jc w:val="left"/>
      </w:pPr>
      <w:bookmarkStart w:name="_bookmark48" w:id="49"/>
      <w:bookmarkEnd w:id="49"/>
      <w:r>
        <w:rPr/>
        <w:t>J</w:t>
      </w:r>
      <w:r>
        <w:rPr/>
        <w:t>ordobservation</w:t>
      </w:r>
    </w:p>
    <w:p>
      <w:pPr>
        <w:pStyle w:val="BodyText"/>
        <w:spacing w:line="264" w:lineRule="auto" w:before="21"/>
        <w:ind w:left="742" w:right="1176"/>
      </w:pPr>
      <w:r>
        <w:rPr/>
        <w:t>Den kommercielle anvendelse af jordobservation har endnu ikke nået det samme niveau som de andre satellitteknologier. Brugen af satellitbilleder er således primært samlet i aktiviteter, der pri- mært sigter mod den offentlige sektor, men der er væsentlige undtagelser. </w:t>
      </w:r>
      <w:hyperlink w:history="true" w:anchor="_bookmark49">
        <w:r>
          <w:rPr/>
          <w:t>Tabel 13 </w:t>
        </w:r>
      </w:hyperlink>
      <w:r>
        <w:rPr/>
        <w:t>viser en over- sigt over applikationer af JO-data i både privat og offentligt regi. Hovedparten af applikationerne er ikke-kommercielle.</w:t>
      </w:r>
    </w:p>
    <w:p>
      <w:pPr>
        <w:spacing w:before="143"/>
        <w:ind w:left="175" w:right="0" w:firstLine="0"/>
        <w:jc w:val="left"/>
        <w:rPr>
          <w:b/>
          <w:sz w:val="15"/>
        </w:rPr>
      </w:pPr>
      <w:bookmarkStart w:name="_bookmark49" w:id="50"/>
      <w:bookmarkEnd w:id="50"/>
      <w:r>
        <w:rPr/>
      </w:r>
      <w:r>
        <w:rPr>
          <w:b/>
          <w:color w:val="009DDF"/>
          <w:sz w:val="15"/>
        </w:rPr>
        <w:t>Tabel 13. Eksempler på anvendelse af jordobservation (JO) og beskrivelse af gevinster</w:t>
      </w:r>
    </w:p>
    <w:p>
      <w:pPr>
        <w:pStyle w:val="BodyText"/>
        <w:spacing w:before="1"/>
        <w:rPr>
          <w:b/>
          <w:sz w:val="9"/>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1259"/>
        <w:gridCol w:w="1687"/>
        <w:gridCol w:w="6837"/>
      </w:tblGrid>
      <w:tr>
        <w:trPr>
          <w:trHeight w:val="304" w:hRule="atLeast"/>
        </w:trPr>
        <w:tc>
          <w:tcPr>
            <w:tcW w:w="1259" w:type="dxa"/>
            <w:tcBorders>
              <w:top w:val="nil"/>
              <w:left w:val="nil"/>
              <w:bottom w:val="nil"/>
              <w:right w:val="nil"/>
            </w:tcBorders>
            <w:shd w:val="clear" w:color="auto" w:fill="A7D2F5"/>
          </w:tcPr>
          <w:p>
            <w:pPr>
              <w:pStyle w:val="TableParagraph"/>
              <w:spacing w:before="52"/>
              <w:ind w:left="115"/>
              <w:rPr>
                <w:b/>
                <w:sz w:val="16"/>
              </w:rPr>
            </w:pPr>
            <w:r>
              <w:rPr>
                <w:b/>
                <w:color w:val="FFFFFF"/>
                <w:sz w:val="16"/>
              </w:rPr>
              <w:t>Gruppe</w:t>
            </w:r>
          </w:p>
        </w:tc>
        <w:tc>
          <w:tcPr>
            <w:tcW w:w="1687" w:type="dxa"/>
            <w:tcBorders>
              <w:top w:val="nil"/>
              <w:left w:val="nil"/>
              <w:bottom w:val="nil"/>
              <w:right w:val="nil"/>
            </w:tcBorders>
            <w:shd w:val="clear" w:color="auto" w:fill="A7D2F5"/>
          </w:tcPr>
          <w:p>
            <w:pPr>
              <w:pStyle w:val="TableParagraph"/>
              <w:spacing w:before="52"/>
              <w:ind w:left="132"/>
              <w:rPr>
                <w:b/>
                <w:sz w:val="16"/>
              </w:rPr>
            </w:pPr>
            <w:r>
              <w:rPr>
                <w:b/>
                <w:color w:val="FFFFFF"/>
                <w:sz w:val="16"/>
              </w:rPr>
              <w:t>Applikation</w:t>
            </w:r>
          </w:p>
        </w:tc>
        <w:tc>
          <w:tcPr>
            <w:tcW w:w="6837" w:type="dxa"/>
            <w:tcBorders>
              <w:top w:val="nil"/>
              <w:left w:val="nil"/>
              <w:bottom w:val="nil"/>
              <w:right w:val="nil"/>
            </w:tcBorders>
            <w:shd w:val="clear" w:color="auto" w:fill="A7D2F5"/>
          </w:tcPr>
          <w:p>
            <w:pPr>
              <w:pStyle w:val="TableParagraph"/>
              <w:spacing w:before="52"/>
              <w:ind w:left="148"/>
              <w:rPr>
                <w:b/>
                <w:sz w:val="16"/>
              </w:rPr>
            </w:pPr>
            <w:r>
              <w:rPr>
                <w:b/>
                <w:color w:val="FFFFFF"/>
                <w:sz w:val="16"/>
              </w:rPr>
              <w:t>Beskrivelse</w:t>
            </w:r>
          </w:p>
        </w:tc>
      </w:tr>
      <w:tr>
        <w:trPr>
          <w:trHeight w:val="935" w:hRule="atLeast"/>
        </w:trPr>
        <w:tc>
          <w:tcPr>
            <w:tcW w:w="1259" w:type="dxa"/>
            <w:tcBorders>
              <w:right w:val="nil"/>
            </w:tcBorders>
          </w:tcPr>
          <w:p>
            <w:pPr>
              <w:pStyle w:val="TableParagraph"/>
              <w:spacing w:line="264" w:lineRule="auto"/>
              <w:ind w:left="105" w:right="234"/>
              <w:rPr>
                <w:b/>
                <w:sz w:val="16"/>
              </w:rPr>
            </w:pPr>
            <w:r>
              <w:rPr>
                <w:b/>
                <w:sz w:val="16"/>
              </w:rPr>
              <w:t>Landbrug (kommer- ciel)</w:t>
            </w:r>
          </w:p>
        </w:tc>
        <w:tc>
          <w:tcPr>
            <w:tcW w:w="1687" w:type="dxa"/>
            <w:tcBorders>
              <w:left w:val="nil"/>
              <w:right w:val="nil"/>
            </w:tcBorders>
          </w:tcPr>
          <w:p>
            <w:pPr>
              <w:pStyle w:val="TableParagraph"/>
              <w:spacing w:line="264" w:lineRule="auto"/>
              <w:ind w:left="132" w:right="111"/>
              <w:rPr>
                <w:sz w:val="16"/>
              </w:rPr>
            </w:pPr>
            <w:r>
              <w:rPr>
                <w:sz w:val="16"/>
              </w:rPr>
              <w:t>Monitorering af afgrøders helbred og udbytte</w:t>
            </w:r>
          </w:p>
        </w:tc>
        <w:tc>
          <w:tcPr>
            <w:tcW w:w="6837" w:type="dxa"/>
            <w:tcBorders>
              <w:left w:val="nil"/>
            </w:tcBorders>
          </w:tcPr>
          <w:p>
            <w:pPr>
              <w:pStyle w:val="TableParagraph"/>
              <w:spacing w:line="264" w:lineRule="auto"/>
              <w:ind w:left="148" w:right="102"/>
              <w:rPr>
                <w:sz w:val="16"/>
              </w:rPr>
            </w:pPr>
            <w:r>
              <w:rPr>
                <w:sz w:val="16"/>
              </w:rPr>
              <w:t>Landmænd anvender JO til at indsamle viden om afgrødernes helbred og dermed beregne forventet udbytte. Sammen med præcisionslandbrugsteknologi baseret på GNSS kan den erhvervede viden bruges bruge den rette mængde gødning, så planterne opnår samme størrelse. Se afsnit </w:t>
            </w:r>
            <w:hyperlink w:history="true" w:anchor="_bookmark50">
              <w:r>
                <w:rPr>
                  <w:sz w:val="16"/>
                </w:rPr>
                <w:t>6.2.1 </w:t>
              </w:r>
            </w:hyperlink>
            <w:r>
              <w:rPr>
                <w:sz w:val="16"/>
              </w:rPr>
              <w:t>for mere information.</w:t>
            </w:r>
          </w:p>
        </w:tc>
      </w:tr>
      <w:tr>
        <w:trPr>
          <w:trHeight w:val="721" w:hRule="atLeast"/>
        </w:trPr>
        <w:tc>
          <w:tcPr>
            <w:tcW w:w="1259" w:type="dxa"/>
            <w:tcBorders>
              <w:right w:val="nil"/>
            </w:tcBorders>
          </w:tcPr>
          <w:p>
            <w:pPr>
              <w:pStyle w:val="TableParagraph"/>
              <w:spacing w:line="264" w:lineRule="auto"/>
              <w:ind w:left="105" w:right="97"/>
              <w:rPr>
                <w:b/>
                <w:sz w:val="16"/>
              </w:rPr>
            </w:pPr>
            <w:r>
              <w:rPr>
                <w:b/>
                <w:sz w:val="16"/>
              </w:rPr>
              <w:t>Beredskab og humani- tær indsats</w:t>
            </w:r>
          </w:p>
        </w:tc>
        <w:tc>
          <w:tcPr>
            <w:tcW w:w="1687" w:type="dxa"/>
            <w:tcBorders>
              <w:left w:val="nil"/>
              <w:right w:val="nil"/>
            </w:tcBorders>
          </w:tcPr>
          <w:p>
            <w:pPr>
              <w:pStyle w:val="TableParagraph"/>
              <w:spacing w:line="264" w:lineRule="auto"/>
              <w:ind w:left="132" w:right="113"/>
              <w:rPr>
                <w:sz w:val="16"/>
              </w:rPr>
            </w:pPr>
            <w:r>
              <w:rPr>
                <w:sz w:val="16"/>
              </w:rPr>
              <w:t>Hurtig indsamling af information</w:t>
            </w:r>
          </w:p>
        </w:tc>
        <w:tc>
          <w:tcPr>
            <w:tcW w:w="6837" w:type="dxa"/>
            <w:tcBorders>
              <w:left w:val="nil"/>
            </w:tcBorders>
          </w:tcPr>
          <w:p>
            <w:pPr>
              <w:pStyle w:val="TableParagraph"/>
              <w:spacing w:line="264" w:lineRule="auto"/>
              <w:ind w:left="148" w:right="172"/>
              <w:rPr>
                <w:sz w:val="16"/>
              </w:rPr>
            </w:pPr>
            <w:r>
              <w:rPr>
                <w:sz w:val="16"/>
              </w:rPr>
              <w:t>JO-data bruges til at skabe overblik over naturkatastrofer og giver uundværlige data, der giver beredskabet mulighed for at målrette indsatsen i krisesituationer både nationalt og som del af udviklingshjælpen. </w:t>
            </w:r>
            <w:r>
              <w:rPr>
                <w:i/>
                <w:sz w:val="16"/>
              </w:rPr>
              <w:t>Ikke kommerciel anvendelse</w:t>
            </w:r>
            <w:r>
              <w:rPr>
                <w:sz w:val="16"/>
              </w:rPr>
              <w:t>.</w:t>
            </w:r>
          </w:p>
        </w:tc>
      </w:tr>
      <w:tr>
        <w:trPr>
          <w:trHeight w:val="721" w:hRule="atLeast"/>
        </w:trPr>
        <w:tc>
          <w:tcPr>
            <w:tcW w:w="1259" w:type="dxa"/>
            <w:tcBorders>
              <w:right w:val="nil"/>
            </w:tcBorders>
          </w:tcPr>
          <w:p>
            <w:pPr>
              <w:pStyle w:val="TableParagraph"/>
              <w:spacing w:line="261" w:lineRule="auto" w:before="42"/>
              <w:ind w:left="105" w:right="245"/>
              <w:rPr>
                <w:b/>
                <w:sz w:val="16"/>
              </w:rPr>
            </w:pPr>
            <w:r>
              <w:rPr>
                <w:b/>
                <w:sz w:val="16"/>
              </w:rPr>
              <w:t>Klimafor- andringer</w:t>
            </w:r>
          </w:p>
        </w:tc>
        <w:tc>
          <w:tcPr>
            <w:tcW w:w="1687" w:type="dxa"/>
            <w:tcBorders>
              <w:left w:val="nil"/>
              <w:right w:val="nil"/>
            </w:tcBorders>
          </w:tcPr>
          <w:p>
            <w:pPr>
              <w:pStyle w:val="TableParagraph"/>
              <w:spacing w:line="261" w:lineRule="auto" w:before="42"/>
              <w:ind w:left="132" w:right="228"/>
              <w:rPr>
                <w:sz w:val="16"/>
              </w:rPr>
            </w:pPr>
            <w:r>
              <w:rPr>
                <w:sz w:val="16"/>
              </w:rPr>
              <w:t>Skovdække, is- dække, havstig- ning</w:t>
            </w:r>
          </w:p>
        </w:tc>
        <w:tc>
          <w:tcPr>
            <w:tcW w:w="6837" w:type="dxa"/>
            <w:tcBorders>
              <w:left w:val="nil"/>
            </w:tcBorders>
          </w:tcPr>
          <w:p>
            <w:pPr>
              <w:pStyle w:val="TableParagraph"/>
              <w:spacing w:line="256" w:lineRule="auto" w:before="42"/>
              <w:ind w:left="148" w:right="170"/>
              <w:rPr>
                <w:i/>
                <w:sz w:val="16"/>
              </w:rPr>
            </w:pPr>
            <w:r>
              <w:rPr>
                <w:sz w:val="16"/>
              </w:rPr>
              <w:t>Data anvendes af forskere, som kan få bedre indsigt i isdækket ved polerne, </w:t>
            </w:r>
            <w:r>
              <w:rPr>
                <w:position w:val="2"/>
                <w:sz w:val="16"/>
              </w:rPr>
              <w:t>CryoSat og CO</w:t>
            </w:r>
            <w:r>
              <w:rPr>
                <w:sz w:val="10"/>
              </w:rPr>
              <w:t>2</w:t>
            </w:r>
            <w:r>
              <w:rPr>
                <w:position w:val="2"/>
                <w:sz w:val="16"/>
              </w:rPr>
              <w:t>-absorption i skove. Muligheden for at følge disse og andre para- </w:t>
            </w:r>
            <w:r>
              <w:rPr>
                <w:sz w:val="16"/>
              </w:rPr>
              <w:t>metre over tid øger præcisionen af beregninger. </w:t>
            </w:r>
            <w:r>
              <w:rPr>
                <w:i/>
                <w:sz w:val="16"/>
              </w:rPr>
              <w:t>Ikke kommerciel anvendelse.</w:t>
            </w:r>
          </w:p>
        </w:tc>
      </w:tr>
      <w:tr>
        <w:trPr>
          <w:trHeight w:val="722" w:hRule="atLeast"/>
        </w:trPr>
        <w:tc>
          <w:tcPr>
            <w:tcW w:w="1259" w:type="dxa"/>
            <w:tcBorders>
              <w:right w:val="nil"/>
            </w:tcBorders>
          </w:tcPr>
          <w:p>
            <w:pPr>
              <w:pStyle w:val="TableParagraph"/>
              <w:spacing w:line="261" w:lineRule="auto" w:before="42"/>
              <w:ind w:left="105" w:right="213"/>
              <w:rPr>
                <w:b/>
                <w:sz w:val="16"/>
              </w:rPr>
            </w:pPr>
            <w:r>
              <w:rPr>
                <w:b/>
                <w:sz w:val="16"/>
              </w:rPr>
              <w:t>Udvikling og samar- bejde</w:t>
            </w:r>
          </w:p>
        </w:tc>
        <w:tc>
          <w:tcPr>
            <w:tcW w:w="1687" w:type="dxa"/>
            <w:tcBorders>
              <w:left w:val="nil"/>
              <w:right w:val="nil"/>
            </w:tcBorders>
          </w:tcPr>
          <w:p>
            <w:pPr>
              <w:pStyle w:val="TableParagraph"/>
              <w:spacing w:line="261" w:lineRule="auto" w:before="42"/>
              <w:ind w:left="132" w:right="168"/>
              <w:rPr>
                <w:sz w:val="16"/>
              </w:rPr>
            </w:pPr>
            <w:r>
              <w:rPr>
                <w:sz w:val="16"/>
              </w:rPr>
              <w:t>Fødevaresikker- hed og landdæk- kende måling</w:t>
            </w:r>
          </w:p>
        </w:tc>
        <w:tc>
          <w:tcPr>
            <w:tcW w:w="6837" w:type="dxa"/>
            <w:tcBorders>
              <w:left w:val="nil"/>
            </w:tcBorders>
          </w:tcPr>
          <w:p>
            <w:pPr>
              <w:pStyle w:val="TableParagraph"/>
              <w:spacing w:line="261" w:lineRule="auto" w:before="42"/>
              <w:ind w:left="148" w:right="165"/>
              <w:jc w:val="both"/>
              <w:rPr>
                <w:i/>
                <w:sz w:val="16"/>
              </w:rPr>
            </w:pPr>
            <w:r>
              <w:rPr>
                <w:sz w:val="16"/>
              </w:rPr>
              <w:t>Bedre mulighed for at overvåge fødevaresikkerhed i ulande og dermed varsle og forebygge hungersnød. Overvågning af træfældning og ørkenspredning i næsten realtid giver mulighed for at modvirke ændringer. </w:t>
            </w:r>
            <w:r>
              <w:rPr>
                <w:i/>
                <w:sz w:val="16"/>
              </w:rPr>
              <w:t>Ikke kommerciel anvendelse.</w:t>
            </w:r>
          </w:p>
        </w:tc>
      </w:tr>
      <w:tr>
        <w:trPr>
          <w:trHeight w:val="1151" w:hRule="atLeast"/>
        </w:trPr>
        <w:tc>
          <w:tcPr>
            <w:tcW w:w="1259" w:type="dxa"/>
            <w:tcBorders>
              <w:right w:val="nil"/>
            </w:tcBorders>
          </w:tcPr>
          <w:p>
            <w:pPr>
              <w:pStyle w:val="TableParagraph"/>
              <w:spacing w:line="261" w:lineRule="auto" w:before="42"/>
              <w:ind w:left="105" w:right="214"/>
              <w:rPr>
                <w:b/>
                <w:sz w:val="16"/>
              </w:rPr>
            </w:pPr>
            <w:r>
              <w:rPr>
                <w:b/>
                <w:sz w:val="16"/>
              </w:rPr>
              <w:t>Energifor- syning</w:t>
            </w:r>
          </w:p>
        </w:tc>
        <w:tc>
          <w:tcPr>
            <w:tcW w:w="1687" w:type="dxa"/>
            <w:tcBorders>
              <w:left w:val="nil"/>
              <w:right w:val="nil"/>
            </w:tcBorders>
          </w:tcPr>
          <w:p>
            <w:pPr>
              <w:pStyle w:val="TableParagraph"/>
              <w:spacing w:line="264" w:lineRule="auto" w:before="42"/>
              <w:ind w:left="132" w:right="131"/>
              <w:rPr>
                <w:sz w:val="16"/>
              </w:rPr>
            </w:pPr>
            <w:r>
              <w:rPr>
                <w:sz w:val="16"/>
              </w:rPr>
              <w:t>Placering af energikilder samt</w:t>
            </w:r>
          </w:p>
          <w:p>
            <w:pPr>
              <w:pStyle w:val="TableParagraph"/>
              <w:spacing w:line="194" w:lineRule="exact" w:before="0"/>
              <w:ind w:left="132"/>
              <w:rPr>
                <w:sz w:val="16"/>
              </w:rPr>
            </w:pPr>
            <w:r>
              <w:rPr>
                <w:sz w:val="16"/>
              </w:rPr>
              <w:t>-forbrug</w:t>
            </w:r>
          </w:p>
        </w:tc>
        <w:tc>
          <w:tcPr>
            <w:tcW w:w="6837" w:type="dxa"/>
            <w:tcBorders>
              <w:left w:val="nil"/>
            </w:tcBorders>
          </w:tcPr>
          <w:p>
            <w:pPr>
              <w:pStyle w:val="TableParagraph"/>
              <w:spacing w:line="264" w:lineRule="auto" w:before="42"/>
              <w:ind w:left="148" w:right="103"/>
              <w:rPr>
                <w:sz w:val="16"/>
              </w:rPr>
            </w:pPr>
            <w:r>
              <w:rPr>
                <w:sz w:val="16"/>
              </w:rPr>
              <w:t>JO kan forbedre beslutningen om, hvor vind-, bølge-, sol- og andre energikilder placeres bedst baseret på oplysninger om vejr, hav og luftstrømme. Derudover kan varmetab beregnes vha. JO-data, så det er muligt at optimere bygninger. JO bruges til identificering af naturligt olieudslip, der informerer beslutninger om prøveboringer.</w:t>
            </w:r>
          </w:p>
        </w:tc>
      </w:tr>
    </w:tbl>
    <w:p>
      <w:pPr>
        <w:pStyle w:val="BodyText"/>
        <w:spacing w:before="4"/>
        <w:rPr>
          <w:b/>
          <w:sz w:val="15"/>
        </w:rPr>
      </w:pPr>
      <w:r>
        <w:rPr/>
        <w:pict>
          <v:line style="position:absolute;mso-position-horizontal-relative:page;mso-position-vertical-relative:paragraph;z-index:5312;mso-wrap-distance-left:0;mso-wrap-distance-right:0" from="85.103996pt,11.51998pt" to="229.123996pt,11.51998pt" stroked="true" strokeweight=".48004pt" strokecolor="#000000">
            <v:stroke dashstyle="solid"/>
            <w10:wrap type="topAndBottom"/>
          </v:line>
        </w:pict>
      </w:r>
    </w:p>
    <w:p>
      <w:pPr>
        <w:spacing w:before="99"/>
        <w:ind w:left="742" w:right="0" w:firstLine="0"/>
        <w:jc w:val="left"/>
        <w:rPr>
          <w:sz w:val="13"/>
        </w:rPr>
      </w:pPr>
      <w:r>
        <w:rPr>
          <w:position w:val="6"/>
          <w:sz w:val="8"/>
        </w:rPr>
        <w:t>109 </w:t>
      </w:r>
      <w:hyperlink r:id="rId126">
        <w:r>
          <w:rPr>
            <w:color w:val="009DDF"/>
            <w:sz w:val="13"/>
          </w:rPr>
          <w:t>http://www.business.dk/ejendom/tyveri-og-haervaerk-paa-byggepladser</w:t>
        </w:r>
      </w:hyperlink>
    </w:p>
    <w:p>
      <w:pPr>
        <w:spacing w:after="0"/>
        <w:jc w:val="left"/>
        <w:rPr>
          <w:sz w:val="13"/>
        </w:rPr>
        <w:sectPr>
          <w:footerReference w:type="default" r:id="rId124"/>
          <w:pgSz w:w="11910" w:h="16840"/>
          <w:pgMar w:footer="619" w:header="0" w:top="1580" w:bottom="800" w:left="960" w:right="0"/>
          <w:pgNumType w:start="63"/>
        </w:sectPr>
      </w:pPr>
    </w:p>
    <w:p>
      <w:pPr>
        <w:pStyle w:val="BodyText"/>
        <w:spacing w:before="5" w:after="1"/>
        <w:rPr>
          <w:sz w:val="8"/>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1274"/>
        <w:gridCol w:w="1687"/>
        <w:gridCol w:w="6822"/>
      </w:tblGrid>
      <w:tr>
        <w:trPr>
          <w:trHeight w:val="314" w:hRule="atLeast"/>
        </w:trPr>
        <w:tc>
          <w:tcPr>
            <w:tcW w:w="1274" w:type="dxa"/>
            <w:tcBorders>
              <w:top w:val="nil"/>
              <w:left w:val="nil"/>
              <w:bottom w:val="nil"/>
              <w:right w:val="nil"/>
            </w:tcBorders>
            <w:shd w:val="clear" w:color="auto" w:fill="A7D2F5"/>
          </w:tcPr>
          <w:p>
            <w:pPr>
              <w:pStyle w:val="TableParagraph"/>
              <w:spacing w:before="60"/>
              <w:ind w:left="115"/>
              <w:rPr>
                <w:b/>
                <w:sz w:val="16"/>
              </w:rPr>
            </w:pPr>
            <w:r>
              <w:rPr>
                <w:b/>
                <w:color w:val="FFFFFF"/>
                <w:sz w:val="16"/>
              </w:rPr>
              <w:t>Gruppe</w:t>
            </w:r>
          </w:p>
        </w:tc>
        <w:tc>
          <w:tcPr>
            <w:tcW w:w="1687" w:type="dxa"/>
            <w:tcBorders>
              <w:top w:val="nil"/>
              <w:left w:val="nil"/>
              <w:bottom w:val="nil"/>
              <w:right w:val="nil"/>
            </w:tcBorders>
            <w:shd w:val="clear" w:color="auto" w:fill="A7D2F5"/>
          </w:tcPr>
          <w:p>
            <w:pPr>
              <w:pStyle w:val="TableParagraph"/>
              <w:spacing w:before="60"/>
              <w:ind w:left="117"/>
              <w:rPr>
                <w:b/>
                <w:sz w:val="16"/>
              </w:rPr>
            </w:pPr>
            <w:r>
              <w:rPr>
                <w:b/>
                <w:color w:val="FFFFFF"/>
                <w:sz w:val="16"/>
              </w:rPr>
              <w:t>Applikation</w:t>
            </w:r>
          </w:p>
        </w:tc>
        <w:tc>
          <w:tcPr>
            <w:tcW w:w="6822" w:type="dxa"/>
            <w:tcBorders>
              <w:top w:val="nil"/>
              <w:left w:val="nil"/>
              <w:bottom w:val="nil"/>
              <w:right w:val="nil"/>
            </w:tcBorders>
            <w:shd w:val="clear" w:color="auto" w:fill="A7D2F5"/>
          </w:tcPr>
          <w:p>
            <w:pPr>
              <w:pStyle w:val="TableParagraph"/>
              <w:spacing w:before="60"/>
              <w:ind w:left="133"/>
              <w:rPr>
                <w:b/>
                <w:sz w:val="16"/>
              </w:rPr>
            </w:pPr>
            <w:r>
              <w:rPr>
                <w:b/>
                <w:color w:val="FFFFFF"/>
                <w:sz w:val="16"/>
              </w:rPr>
              <w:t>Beskrivelse</w:t>
            </w:r>
          </w:p>
        </w:tc>
      </w:tr>
      <w:tr>
        <w:trPr>
          <w:trHeight w:val="933" w:hRule="atLeast"/>
        </w:trPr>
        <w:tc>
          <w:tcPr>
            <w:tcW w:w="1274" w:type="dxa"/>
            <w:tcBorders>
              <w:top w:val="nil"/>
              <w:right w:val="nil"/>
            </w:tcBorders>
          </w:tcPr>
          <w:p>
            <w:pPr>
              <w:pStyle w:val="TableParagraph"/>
              <w:ind w:left="105"/>
              <w:rPr>
                <w:b/>
                <w:sz w:val="16"/>
              </w:rPr>
            </w:pPr>
            <w:r>
              <w:rPr>
                <w:b/>
                <w:sz w:val="16"/>
              </w:rPr>
              <w:t>Miljø</w:t>
            </w:r>
          </w:p>
        </w:tc>
        <w:tc>
          <w:tcPr>
            <w:tcW w:w="1687" w:type="dxa"/>
            <w:tcBorders>
              <w:top w:val="nil"/>
              <w:left w:val="nil"/>
              <w:right w:val="nil"/>
            </w:tcBorders>
          </w:tcPr>
          <w:p>
            <w:pPr>
              <w:pStyle w:val="TableParagraph"/>
              <w:spacing w:line="261" w:lineRule="auto"/>
              <w:ind w:left="117" w:right="297"/>
              <w:rPr>
                <w:sz w:val="16"/>
              </w:rPr>
            </w:pPr>
            <w:r>
              <w:rPr>
                <w:sz w:val="16"/>
              </w:rPr>
              <w:t>Overholdelse af landbrugslove, kystsikring</w:t>
            </w:r>
          </w:p>
        </w:tc>
        <w:tc>
          <w:tcPr>
            <w:tcW w:w="6822" w:type="dxa"/>
            <w:tcBorders>
              <w:top w:val="nil"/>
              <w:left w:val="nil"/>
            </w:tcBorders>
          </w:tcPr>
          <w:p>
            <w:pPr>
              <w:pStyle w:val="TableParagraph"/>
              <w:spacing w:line="264" w:lineRule="auto"/>
              <w:ind w:left="133" w:right="149"/>
              <w:rPr>
                <w:i/>
                <w:sz w:val="16"/>
              </w:rPr>
            </w:pPr>
            <w:r>
              <w:rPr>
                <w:sz w:val="16"/>
              </w:rPr>
              <w:t>Ud over de anvendelser der er diskuteret i klimaforandringer, anvendes JO til monitorering af kysterosion og til at overvåge, om landbrug og fiskere overhol- der gældende regler (fx gennem tracking af fiskere). </w:t>
            </w:r>
            <w:r>
              <w:rPr>
                <w:i/>
                <w:sz w:val="16"/>
              </w:rPr>
              <w:t>Ikke kommerciel anvendel- </w:t>
            </w:r>
            <w:r>
              <w:rPr>
                <w:i/>
                <w:sz w:val="16"/>
              </w:rPr>
              <w:t>se.</w:t>
            </w:r>
          </w:p>
        </w:tc>
      </w:tr>
      <w:tr>
        <w:trPr>
          <w:trHeight w:val="721" w:hRule="atLeast"/>
        </w:trPr>
        <w:tc>
          <w:tcPr>
            <w:tcW w:w="1274" w:type="dxa"/>
            <w:tcBorders>
              <w:right w:val="nil"/>
            </w:tcBorders>
          </w:tcPr>
          <w:p>
            <w:pPr>
              <w:pStyle w:val="TableParagraph"/>
              <w:spacing w:before="42"/>
              <w:ind w:left="105"/>
              <w:rPr>
                <w:b/>
                <w:sz w:val="16"/>
              </w:rPr>
            </w:pPr>
            <w:r>
              <w:rPr>
                <w:b/>
                <w:sz w:val="16"/>
              </w:rPr>
              <w:t>Sundhed</w:t>
            </w:r>
          </w:p>
        </w:tc>
        <w:tc>
          <w:tcPr>
            <w:tcW w:w="1687" w:type="dxa"/>
            <w:tcBorders>
              <w:left w:val="nil"/>
              <w:right w:val="nil"/>
            </w:tcBorders>
          </w:tcPr>
          <w:p>
            <w:pPr>
              <w:pStyle w:val="TableParagraph"/>
              <w:spacing w:line="264" w:lineRule="auto" w:before="42"/>
              <w:ind w:left="117" w:right="339"/>
              <w:rPr>
                <w:sz w:val="16"/>
              </w:rPr>
            </w:pPr>
            <w:r>
              <w:rPr>
                <w:sz w:val="16"/>
              </w:rPr>
              <w:t>Overvågning af luft- og anden forurening</w:t>
            </w:r>
          </w:p>
        </w:tc>
        <w:tc>
          <w:tcPr>
            <w:tcW w:w="6822" w:type="dxa"/>
            <w:tcBorders>
              <w:left w:val="nil"/>
            </w:tcBorders>
          </w:tcPr>
          <w:p>
            <w:pPr>
              <w:pStyle w:val="TableParagraph"/>
              <w:spacing w:line="264" w:lineRule="auto" w:before="42"/>
              <w:ind w:left="133" w:right="392"/>
              <w:rPr>
                <w:i/>
                <w:sz w:val="16"/>
              </w:rPr>
            </w:pPr>
            <w:r>
              <w:rPr>
                <w:sz w:val="16"/>
              </w:rPr>
              <w:t>JO-data kan bruges til at beregne luftforurening og tillade, at der gøres noget ved det. Kan algevækst observeres fra rummet, og badestrande lukkes som følge deraf. </w:t>
            </w:r>
            <w:r>
              <w:rPr>
                <w:i/>
                <w:sz w:val="16"/>
              </w:rPr>
              <w:t>Ikke kommerciel anvendelse.</w:t>
            </w:r>
          </w:p>
        </w:tc>
      </w:tr>
      <w:tr>
        <w:trPr>
          <w:trHeight w:val="721" w:hRule="atLeast"/>
        </w:trPr>
        <w:tc>
          <w:tcPr>
            <w:tcW w:w="1274" w:type="dxa"/>
            <w:tcBorders>
              <w:right w:val="nil"/>
            </w:tcBorders>
          </w:tcPr>
          <w:p>
            <w:pPr>
              <w:pStyle w:val="TableParagraph"/>
              <w:spacing w:before="42"/>
              <w:ind w:left="105"/>
              <w:rPr>
                <w:b/>
                <w:sz w:val="16"/>
              </w:rPr>
            </w:pPr>
            <w:r>
              <w:rPr>
                <w:b/>
                <w:sz w:val="16"/>
              </w:rPr>
              <w:t>Forsikring</w:t>
            </w:r>
          </w:p>
        </w:tc>
        <w:tc>
          <w:tcPr>
            <w:tcW w:w="1687" w:type="dxa"/>
            <w:tcBorders>
              <w:left w:val="nil"/>
              <w:right w:val="nil"/>
            </w:tcBorders>
          </w:tcPr>
          <w:p>
            <w:pPr>
              <w:pStyle w:val="TableParagraph"/>
              <w:spacing w:line="264" w:lineRule="auto" w:before="42"/>
              <w:ind w:left="117" w:right="151"/>
              <w:rPr>
                <w:sz w:val="16"/>
              </w:rPr>
            </w:pPr>
            <w:r>
              <w:rPr>
                <w:sz w:val="16"/>
              </w:rPr>
              <w:t>Vurdering af ska- der og præmie- beregning</w:t>
            </w:r>
          </w:p>
        </w:tc>
        <w:tc>
          <w:tcPr>
            <w:tcW w:w="6822" w:type="dxa"/>
            <w:tcBorders>
              <w:left w:val="nil"/>
            </w:tcBorders>
          </w:tcPr>
          <w:p>
            <w:pPr>
              <w:pStyle w:val="TableParagraph"/>
              <w:spacing w:line="264" w:lineRule="auto" w:before="42"/>
              <w:ind w:left="133" w:right="261"/>
              <w:rPr>
                <w:sz w:val="16"/>
              </w:rPr>
            </w:pPr>
            <w:r>
              <w:rPr>
                <w:sz w:val="16"/>
              </w:rPr>
              <w:t>Skader ved oversvømmelser kan vurderes vha. JO-data, og en bygnings risiko- profil i forhold til oversvømmelse kan beregnes.</w:t>
            </w:r>
          </w:p>
        </w:tc>
      </w:tr>
      <w:tr>
        <w:trPr>
          <w:trHeight w:val="507" w:hRule="atLeast"/>
        </w:trPr>
        <w:tc>
          <w:tcPr>
            <w:tcW w:w="1274" w:type="dxa"/>
            <w:tcBorders>
              <w:right w:val="nil"/>
            </w:tcBorders>
          </w:tcPr>
          <w:p>
            <w:pPr>
              <w:pStyle w:val="TableParagraph"/>
              <w:spacing w:line="264" w:lineRule="auto" w:before="42"/>
              <w:ind w:left="105" w:right="122"/>
              <w:rPr>
                <w:b/>
                <w:sz w:val="16"/>
              </w:rPr>
            </w:pPr>
            <w:r>
              <w:rPr>
                <w:b/>
                <w:sz w:val="16"/>
              </w:rPr>
              <w:t>Marineøko- nomien</w:t>
            </w:r>
          </w:p>
        </w:tc>
        <w:tc>
          <w:tcPr>
            <w:tcW w:w="1687" w:type="dxa"/>
            <w:tcBorders>
              <w:left w:val="nil"/>
              <w:right w:val="nil"/>
            </w:tcBorders>
          </w:tcPr>
          <w:p>
            <w:pPr>
              <w:pStyle w:val="TableParagraph"/>
              <w:spacing w:line="264" w:lineRule="auto" w:before="42"/>
              <w:ind w:left="117" w:right="558"/>
              <w:rPr>
                <w:sz w:val="16"/>
              </w:rPr>
            </w:pPr>
            <w:r>
              <w:rPr>
                <w:sz w:val="16"/>
              </w:rPr>
              <w:t>Havmiljø- overvågning</w:t>
            </w:r>
          </w:p>
        </w:tc>
        <w:tc>
          <w:tcPr>
            <w:tcW w:w="6822" w:type="dxa"/>
            <w:tcBorders>
              <w:left w:val="nil"/>
            </w:tcBorders>
          </w:tcPr>
          <w:p>
            <w:pPr>
              <w:pStyle w:val="TableParagraph"/>
              <w:spacing w:line="264" w:lineRule="auto" w:before="42"/>
              <w:ind w:left="133" w:right="100"/>
              <w:rPr>
                <w:i/>
                <w:sz w:val="16"/>
              </w:rPr>
            </w:pPr>
            <w:r>
              <w:rPr>
                <w:sz w:val="16"/>
              </w:rPr>
              <w:t>Kendskab til havmiljøet giver mulighed for at udvikle lovgivning, der kan modvir- ke udfald. </w:t>
            </w:r>
            <w:r>
              <w:rPr>
                <w:i/>
                <w:sz w:val="16"/>
              </w:rPr>
              <w:t>Ikke kommerciel anvendelse.</w:t>
            </w:r>
          </w:p>
        </w:tc>
      </w:tr>
      <w:tr>
        <w:trPr>
          <w:trHeight w:val="722" w:hRule="atLeast"/>
        </w:trPr>
        <w:tc>
          <w:tcPr>
            <w:tcW w:w="1274" w:type="dxa"/>
            <w:tcBorders>
              <w:right w:val="nil"/>
            </w:tcBorders>
          </w:tcPr>
          <w:p>
            <w:pPr>
              <w:pStyle w:val="TableParagraph"/>
              <w:spacing w:before="42"/>
              <w:ind w:left="105"/>
              <w:rPr>
                <w:b/>
                <w:sz w:val="16"/>
              </w:rPr>
            </w:pPr>
            <w:r>
              <w:rPr>
                <w:b/>
                <w:sz w:val="16"/>
              </w:rPr>
              <w:t>Turisme</w:t>
            </w:r>
          </w:p>
        </w:tc>
        <w:tc>
          <w:tcPr>
            <w:tcW w:w="1687" w:type="dxa"/>
            <w:tcBorders>
              <w:left w:val="nil"/>
              <w:right w:val="nil"/>
            </w:tcBorders>
          </w:tcPr>
          <w:p>
            <w:pPr>
              <w:pStyle w:val="TableParagraph"/>
              <w:spacing w:line="264" w:lineRule="auto" w:before="42"/>
              <w:ind w:left="117" w:right="144"/>
              <w:rPr>
                <w:sz w:val="16"/>
              </w:rPr>
            </w:pPr>
            <w:r>
              <w:rPr>
                <w:sz w:val="16"/>
              </w:rPr>
              <w:t>Kysterosion, sne- dække og bade- vand</w:t>
            </w:r>
          </w:p>
        </w:tc>
        <w:tc>
          <w:tcPr>
            <w:tcW w:w="6822" w:type="dxa"/>
            <w:tcBorders>
              <w:left w:val="nil"/>
            </w:tcBorders>
          </w:tcPr>
          <w:p>
            <w:pPr>
              <w:pStyle w:val="TableParagraph"/>
              <w:spacing w:line="264" w:lineRule="auto" w:before="42"/>
              <w:ind w:left="133" w:right="194"/>
              <w:rPr>
                <w:i/>
                <w:sz w:val="16"/>
              </w:rPr>
            </w:pPr>
            <w:r>
              <w:rPr>
                <w:sz w:val="16"/>
              </w:rPr>
              <w:t>Som nævnt andetsteds; overvågning af algevækst kan forebygge sygdom, også blandt turister, og snedække og kysterosion er vigtige parametre for mange turistdestinationer i ind- og udland. </w:t>
            </w:r>
            <w:r>
              <w:rPr>
                <w:i/>
                <w:sz w:val="16"/>
              </w:rPr>
              <w:t>Ikke kommerciel anvendelse.</w:t>
            </w:r>
          </w:p>
        </w:tc>
      </w:tr>
      <w:tr>
        <w:trPr>
          <w:trHeight w:val="721" w:hRule="atLeast"/>
        </w:trPr>
        <w:tc>
          <w:tcPr>
            <w:tcW w:w="1274" w:type="dxa"/>
            <w:tcBorders>
              <w:right w:val="nil"/>
            </w:tcBorders>
          </w:tcPr>
          <w:p>
            <w:pPr>
              <w:pStyle w:val="TableParagraph"/>
              <w:spacing w:line="264" w:lineRule="auto" w:before="42"/>
              <w:ind w:left="105" w:right="237"/>
              <w:rPr>
                <w:b/>
                <w:sz w:val="16"/>
              </w:rPr>
            </w:pPr>
            <w:r>
              <w:rPr>
                <w:b/>
                <w:sz w:val="16"/>
              </w:rPr>
              <w:t>Lufttrans- port</w:t>
            </w:r>
          </w:p>
        </w:tc>
        <w:tc>
          <w:tcPr>
            <w:tcW w:w="1687" w:type="dxa"/>
            <w:tcBorders>
              <w:left w:val="nil"/>
              <w:right w:val="nil"/>
            </w:tcBorders>
          </w:tcPr>
          <w:p>
            <w:pPr>
              <w:pStyle w:val="TableParagraph"/>
              <w:spacing w:line="264" w:lineRule="auto" w:before="42"/>
              <w:ind w:left="117" w:right="448"/>
              <w:rPr>
                <w:sz w:val="16"/>
              </w:rPr>
            </w:pPr>
            <w:r>
              <w:rPr>
                <w:sz w:val="16"/>
              </w:rPr>
              <w:t>Luftstrømme, vulkanudbrud</w:t>
            </w:r>
          </w:p>
        </w:tc>
        <w:tc>
          <w:tcPr>
            <w:tcW w:w="6822" w:type="dxa"/>
            <w:tcBorders>
              <w:left w:val="nil"/>
            </w:tcBorders>
          </w:tcPr>
          <w:p>
            <w:pPr>
              <w:pStyle w:val="TableParagraph"/>
              <w:spacing w:line="264" w:lineRule="auto" w:before="42"/>
              <w:ind w:left="133" w:right="97"/>
              <w:rPr>
                <w:sz w:val="16"/>
              </w:rPr>
            </w:pPr>
            <w:r>
              <w:rPr>
                <w:sz w:val="16"/>
              </w:rPr>
              <w:t>Måling af luftstrømme er af væsentlig betydning for fastlæggelse af flys ruter, som sparer brændstof. Derudover var det JO-data, der blev brugt til overvågning af askeskyen fra den islandske vulkan Eyjafjallajökull i 2010.</w:t>
            </w:r>
          </w:p>
        </w:tc>
      </w:tr>
      <w:tr>
        <w:trPr>
          <w:trHeight w:val="507" w:hRule="atLeast"/>
        </w:trPr>
        <w:tc>
          <w:tcPr>
            <w:tcW w:w="1274" w:type="dxa"/>
            <w:tcBorders>
              <w:right w:val="nil"/>
            </w:tcBorders>
          </w:tcPr>
          <w:p>
            <w:pPr>
              <w:pStyle w:val="TableParagraph"/>
              <w:spacing w:line="264" w:lineRule="auto" w:before="42"/>
              <w:ind w:left="105" w:right="249"/>
              <w:rPr>
                <w:b/>
                <w:sz w:val="16"/>
              </w:rPr>
            </w:pPr>
            <w:r>
              <w:rPr>
                <w:b/>
                <w:sz w:val="16"/>
              </w:rPr>
              <w:t>Havtrans- port</w:t>
            </w:r>
          </w:p>
        </w:tc>
        <w:tc>
          <w:tcPr>
            <w:tcW w:w="1687" w:type="dxa"/>
            <w:tcBorders>
              <w:left w:val="nil"/>
              <w:right w:val="nil"/>
            </w:tcBorders>
          </w:tcPr>
          <w:p>
            <w:pPr>
              <w:pStyle w:val="TableParagraph"/>
              <w:spacing w:before="42"/>
              <w:ind w:left="117"/>
              <w:rPr>
                <w:sz w:val="16"/>
              </w:rPr>
            </w:pPr>
            <w:r>
              <w:rPr>
                <w:sz w:val="16"/>
              </w:rPr>
              <w:t>Havstrømme</w:t>
            </w:r>
          </w:p>
        </w:tc>
        <w:tc>
          <w:tcPr>
            <w:tcW w:w="6822" w:type="dxa"/>
            <w:tcBorders>
              <w:left w:val="nil"/>
            </w:tcBorders>
          </w:tcPr>
          <w:p>
            <w:pPr>
              <w:pStyle w:val="TableParagraph"/>
              <w:spacing w:line="264" w:lineRule="auto" w:before="42"/>
              <w:ind w:left="133" w:right="281"/>
              <w:rPr>
                <w:sz w:val="16"/>
              </w:rPr>
            </w:pPr>
            <w:r>
              <w:rPr>
                <w:sz w:val="16"/>
              </w:rPr>
              <w:t>Tilsvarende lufttransport har havstrømme stor betydning for skibes brændstof- forbrug, så god information herom er vigtig for rederier.</w:t>
            </w:r>
          </w:p>
        </w:tc>
      </w:tr>
      <w:tr>
        <w:trPr>
          <w:trHeight w:val="937" w:hRule="atLeast"/>
        </w:trPr>
        <w:tc>
          <w:tcPr>
            <w:tcW w:w="1274" w:type="dxa"/>
            <w:tcBorders>
              <w:right w:val="nil"/>
            </w:tcBorders>
          </w:tcPr>
          <w:p>
            <w:pPr>
              <w:pStyle w:val="TableParagraph"/>
              <w:spacing w:line="261" w:lineRule="auto" w:before="42"/>
              <w:ind w:left="105" w:right="159"/>
              <w:rPr>
                <w:b/>
                <w:sz w:val="16"/>
              </w:rPr>
            </w:pPr>
            <w:r>
              <w:rPr>
                <w:b/>
                <w:sz w:val="16"/>
              </w:rPr>
              <w:t>Landtrans- port</w:t>
            </w:r>
          </w:p>
        </w:tc>
        <w:tc>
          <w:tcPr>
            <w:tcW w:w="1687" w:type="dxa"/>
            <w:tcBorders>
              <w:left w:val="nil"/>
              <w:right w:val="nil"/>
            </w:tcBorders>
          </w:tcPr>
          <w:p>
            <w:pPr>
              <w:pStyle w:val="TableParagraph"/>
              <w:spacing w:line="261" w:lineRule="auto" w:before="42"/>
              <w:ind w:left="117" w:right="96"/>
              <w:rPr>
                <w:sz w:val="16"/>
              </w:rPr>
            </w:pPr>
            <w:r>
              <w:rPr>
                <w:sz w:val="16"/>
              </w:rPr>
              <w:t>Kortlægning af offentlig transport</w:t>
            </w:r>
          </w:p>
        </w:tc>
        <w:tc>
          <w:tcPr>
            <w:tcW w:w="6822" w:type="dxa"/>
            <w:tcBorders>
              <w:left w:val="nil"/>
            </w:tcBorders>
          </w:tcPr>
          <w:p>
            <w:pPr>
              <w:pStyle w:val="TableParagraph"/>
              <w:spacing w:line="264" w:lineRule="auto" w:before="42"/>
              <w:ind w:left="133" w:right="149"/>
              <w:rPr>
                <w:i/>
                <w:sz w:val="16"/>
              </w:rPr>
            </w:pPr>
            <w:r>
              <w:rPr>
                <w:sz w:val="16"/>
              </w:rPr>
              <w:t>European Environment Agency har kortlagt offentlige transportmuligheder i en række europæiske byer og fundet, at i København har den største andel af be- folkningen ”meget stor” adgang til offentlig transport.</w:t>
            </w:r>
            <w:r>
              <w:rPr>
                <w:position w:val="6"/>
                <w:sz w:val="8"/>
              </w:rPr>
              <w:t>110 </w:t>
            </w:r>
            <w:r>
              <w:rPr>
                <w:i/>
                <w:sz w:val="16"/>
              </w:rPr>
              <w:t>Ikke kommerciel anven- </w:t>
            </w:r>
            <w:r>
              <w:rPr>
                <w:i/>
                <w:sz w:val="16"/>
              </w:rPr>
              <w:t>delse.</w:t>
            </w:r>
          </w:p>
        </w:tc>
      </w:tr>
      <w:tr>
        <w:trPr>
          <w:trHeight w:val="721" w:hRule="atLeast"/>
        </w:trPr>
        <w:tc>
          <w:tcPr>
            <w:tcW w:w="1274" w:type="dxa"/>
            <w:tcBorders>
              <w:right w:val="nil"/>
            </w:tcBorders>
          </w:tcPr>
          <w:p>
            <w:pPr>
              <w:pStyle w:val="TableParagraph"/>
              <w:ind w:left="105"/>
              <w:rPr>
                <w:b/>
                <w:sz w:val="16"/>
              </w:rPr>
            </w:pPr>
            <w:r>
              <w:rPr>
                <w:b/>
                <w:sz w:val="16"/>
              </w:rPr>
              <w:t>Sikkerhed</w:t>
            </w:r>
          </w:p>
        </w:tc>
        <w:tc>
          <w:tcPr>
            <w:tcW w:w="1687" w:type="dxa"/>
            <w:tcBorders>
              <w:left w:val="nil"/>
              <w:right w:val="nil"/>
            </w:tcBorders>
          </w:tcPr>
          <w:p>
            <w:pPr>
              <w:pStyle w:val="TableParagraph"/>
              <w:spacing w:line="264" w:lineRule="auto"/>
              <w:ind w:left="117" w:right="405"/>
              <w:rPr>
                <w:sz w:val="16"/>
              </w:rPr>
            </w:pPr>
            <w:r>
              <w:rPr>
                <w:sz w:val="16"/>
              </w:rPr>
              <w:t>Suverænitets- hævdelse</w:t>
            </w:r>
          </w:p>
        </w:tc>
        <w:tc>
          <w:tcPr>
            <w:tcW w:w="6822" w:type="dxa"/>
            <w:tcBorders>
              <w:left w:val="nil"/>
            </w:tcBorders>
          </w:tcPr>
          <w:p>
            <w:pPr>
              <w:pStyle w:val="TableParagraph"/>
              <w:spacing w:line="264" w:lineRule="auto"/>
              <w:ind w:left="133" w:right="81"/>
              <w:rPr>
                <w:i/>
                <w:sz w:val="16"/>
              </w:rPr>
            </w:pPr>
            <w:r>
              <w:rPr>
                <w:sz w:val="16"/>
              </w:rPr>
              <w:t>JO-data er en billig måde at overvåge et lands grænser og sikre, at landets suve- rænitet ikke kompromitteres af skibe, køretøjer eller grupper af individer. </w:t>
            </w:r>
            <w:r>
              <w:rPr>
                <w:i/>
                <w:sz w:val="16"/>
              </w:rPr>
              <w:t>Ikke </w:t>
            </w:r>
            <w:r>
              <w:rPr>
                <w:i/>
                <w:sz w:val="16"/>
              </w:rPr>
              <w:t>kommerciel anvendelse.</w:t>
            </w:r>
          </w:p>
        </w:tc>
      </w:tr>
      <w:tr>
        <w:trPr>
          <w:trHeight w:val="722" w:hRule="atLeast"/>
        </w:trPr>
        <w:tc>
          <w:tcPr>
            <w:tcW w:w="1274" w:type="dxa"/>
            <w:tcBorders>
              <w:right w:val="nil"/>
            </w:tcBorders>
          </w:tcPr>
          <w:p>
            <w:pPr>
              <w:pStyle w:val="TableParagraph"/>
              <w:spacing w:line="264" w:lineRule="auto"/>
              <w:ind w:left="105" w:right="119"/>
              <w:rPr>
                <w:b/>
                <w:sz w:val="16"/>
              </w:rPr>
            </w:pPr>
            <w:r>
              <w:rPr>
                <w:b/>
                <w:sz w:val="16"/>
              </w:rPr>
              <w:t>Byplanlæg- ning</w:t>
            </w:r>
          </w:p>
        </w:tc>
        <w:tc>
          <w:tcPr>
            <w:tcW w:w="1687" w:type="dxa"/>
            <w:tcBorders>
              <w:left w:val="nil"/>
              <w:right w:val="nil"/>
            </w:tcBorders>
          </w:tcPr>
          <w:p>
            <w:pPr>
              <w:pStyle w:val="TableParagraph"/>
              <w:spacing w:line="264" w:lineRule="auto"/>
              <w:ind w:left="117" w:right="229"/>
              <w:rPr>
                <w:sz w:val="16"/>
              </w:rPr>
            </w:pPr>
            <w:r>
              <w:rPr>
                <w:sz w:val="16"/>
              </w:rPr>
              <w:t>Detaljeret kort- lægning af land- dække</w:t>
            </w:r>
          </w:p>
        </w:tc>
        <w:tc>
          <w:tcPr>
            <w:tcW w:w="6822" w:type="dxa"/>
            <w:tcBorders>
              <w:left w:val="nil"/>
            </w:tcBorders>
          </w:tcPr>
          <w:p>
            <w:pPr>
              <w:pStyle w:val="TableParagraph"/>
              <w:spacing w:line="264" w:lineRule="auto"/>
              <w:ind w:left="133" w:right="110"/>
              <w:rPr>
                <w:i/>
                <w:sz w:val="16"/>
              </w:rPr>
            </w:pPr>
            <w:r>
              <w:rPr>
                <w:sz w:val="16"/>
              </w:rPr>
              <w:t>Overvågning af jordoverfladens komposition giver mulighed for beregning af vandafløb i tilfælde af nedbør og hjælper byplanlæggere med at beslutte, om der er tilstrækkeligt med grønne områder mv. </w:t>
            </w:r>
            <w:r>
              <w:rPr>
                <w:i/>
                <w:sz w:val="16"/>
              </w:rPr>
              <w:t>Ikke kommerciel anvendelse.</w:t>
            </w:r>
          </w:p>
        </w:tc>
      </w:tr>
      <w:tr>
        <w:trPr>
          <w:trHeight w:val="721" w:hRule="atLeast"/>
        </w:trPr>
        <w:tc>
          <w:tcPr>
            <w:tcW w:w="1274" w:type="dxa"/>
            <w:tcBorders>
              <w:right w:val="nil"/>
            </w:tcBorders>
          </w:tcPr>
          <w:p>
            <w:pPr>
              <w:pStyle w:val="TableParagraph"/>
              <w:spacing w:line="264" w:lineRule="auto"/>
              <w:ind w:left="105" w:right="81"/>
              <w:rPr>
                <w:b/>
                <w:sz w:val="16"/>
              </w:rPr>
            </w:pPr>
            <w:r>
              <w:rPr>
                <w:b/>
                <w:sz w:val="16"/>
              </w:rPr>
              <w:t>Landmålere og karto- grafer</w:t>
            </w:r>
          </w:p>
        </w:tc>
        <w:tc>
          <w:tcPr>
            <w:tcW w:w="1687" w:type="dxa"/>
            <w:tcBorders>
              <w:left w:val="nil"/>
              <w:right w:val="nil"/>
            </w:tcBorders>
          </w:tcPr>
          <w:p>
            <w:pPr>
              <w:pStyle w:val="TableParagraph"/>
              <w:ind w:left="117"/>
              <w:rPr>
                <w:sz w:val="16"/>
              </w:rPr>
            </w:pPr>
            <w:r>
              <w:rPr>
                <w:sz w:val="16"/>
              </w:rPr>
              <w:t>Kortlægning</w:t>
            </w:r>
          </w:p>
        </w:tc>
        <w:tc>
          <w:tcPr>
            <w:tcW w:w="6822" w:type="dxa"/>
            <w:tcBorders>
              <w:left w:val="nil"/>
            </w:tcBorders>
          </w:tcPr>
          <w:p>
            <w:pPr>
              <w:pStyle w:val="TableParagraph"/>
              <w:spacing w:line="264" w:lineRule="auto"/>
              <w:ind w:left="133" w:right="359"/>
              <w:rPr>
                <w:sz w:val="16"/>
              </w:rPr>
            </w:pPr>
            <w:r>
              <w:rPr>
                <w:sz w:val="16"/>
              </w:rPr>
              <w:t>Landmålere og kartografer kan bruge JO-data til at producere kort, og private virksomheder anvender satellitdata, for eksempel til Google eller Bing maps.</w:t>
            </w:r>
          </w:p>
        </w:tc>
      </w:tr>
    </w:tbl>
    <w:p>
      <w:pPr>
        <w:spacing w:line="295" w:lineRule="auto" w:before="48"/>
        <w:ind w:left="175" w:right="1521" w:firstLine="0"/>
        <w:jc w:val="left"/>
        <w:rPr>
          <w:sz w:val="16"/>
        </w:rPr>
      </w:pPr>
      <w:r>
        <w:rPr>
          <w:sz w:val="16"/>
        </w:rPr>
        <w:t>Kilde: Europa-Kommissionen (2015) </w:t>
      </w:r>
      <w:r>
        <w:rPr>
          <w:i/>
          <w:sz w:val="16"/>
        </w:rPr>
        <w:t>Copernicus Brochure</w:t>
      </w:r>
      <w:r>
        <w:rPr>
          <w:sz w:val="16"/>
        </w:rPr>
        <w:t>, </w:t>
      </w:r>
      <w:hyperlink r:id="rId127">
        <w:r>
          <w:rPr>
            <w:color w:val="009DDF"/>
            <w:sz w:val="16"/>
          </w:rPr>
          <w:t>http://www.copernicus.eu/main/brochure </w:t>
        </w:r>
      </w:hyperlink>
      <w:r>
        <w:rPr>
          <w:sz w:val="16"/>
        </w:rPr>
        <w:t>samt London Economics’ supplement.</w:t>
      </w:r>
    </w:p>
    <w:p>
      <w:pPr>
        <w:pStyle w:val="BodyText"/>
        <w:spacing w:before="10"/>
        <w:rPr>
          <w:sz w:val="17"/>
        </w:rPr>
      </w:pPr>
    </w:p>
    <w:p>
      <w:pPr>
        <w:pStyle w:val="BodyText"/>
        <w:spacing w:line="264" w:lineRule="auto"/>
        <w:ind w:left="742" w:right="1242"/>
      </w:pPr>
      <w:r>
        <w:rPr/>
        <w:t>De seneste års udvikling i kvaliteten af satellitbilleder er bemærkelsesværdig. Opløsningen i satel- litbillederne er i dag så høj, at data, der tidligere er indsamlet via fly, skibe eller fra landjorden, i dag i vid udtrækning kan afløses af satellitdata. Disse satellitter bruger helt ned til halvanden time på at komme en tur rundt om jorden, hvilket giver danske virksomheder helt nye muligheder.</w:t>
      </w:r>
    </w:p>
    <w:p>
      <w:pPr>
        <w:pStyle w:val="BodyText"/>
        <w:spacing w:before="6"/>
        <w:rPr>
          <w:sz w:val="19"/>
        </w:rPr>
      </w:pPr>
    </w:p>
    <w:p>
      <w:pPr>
        <w:pStyle w:val="BodyText"/>
        <w:spacing w:line="264" w:lineRule="auto"/>
        <w:ind w:left="742" w:right="1150"/>
      </w:pPr>
      <w:r>
        <w:rPr/>
        <w:t>En branche, der allerede i dag udnytter rumteknologiens potentialer, men til stadighed udforsker nye kommercielle anvendelsesmuligheder, er landbruget. SEGES og NaturErhvervstyrelsen købte i 2015 i fællesskab programmet CropSAT, der er et program på nettet, som de svenske landmænd har haft adgang til de seneste to år. Ideen med købet af programmet, som siden 19. januar har været stillet gratis til rådighed på nettet, er bedre udnyttelse af de informationer, der er i satellit- billeder – og derved skabe merværdi for dansk landbrug. Forventningen er, at satellitdata kan blive udgangspunkt for positionsbestemt tilførsel af kvælstof, overvågning af tilvækst på markerne mv.</w:t>
      </w:r>
    </w:p>
    <w:p>
      <w:pPr>
        <w:pStyle w:val="BodyText"/>
        <w:spacing w:before="8"/>
        <w:rPr>
          <w:sz w:val="17"/>
        </w:rPr>
      </w:pPr>
      <w:r>
        <w:rPr/>
        <w:pict>
          <v:line style="position:absolute;mso-position-horizontal-relative:page;mso-position-vertical-relative:paragraph;z-index:5336;mso-wrap-distance-left:0;mso-wrap-distance-right:0" from="85.103996pt,12.966611pt" to="229.123996pt,12.966611pt" stroked="true" strokeweight=".48004pt" strokecolor="#000000">
            <v:stroke dashstyle="solid"/>
            <w10:wrap type="topAndBottom"/>
          </v:line>
        </w:pict>
      </w:r>
    </w:p>
    <w:p>
      <w:pPr>
        <w:spacing w:before="99"/>
        <w:ind w:left="742" w:right="0" w:firstLine="0"/>
        <w:jc w:val="left"/>
        <w:rPr>
          <w:sz w:val="13"/>
        </w:rPr>
      </w:pPr>
      <w:r>
        <w:rPr>
          <w:position w:val="6"/>
          <w:sz w:val="8"/>
        </w:rPr>
        <w:t>110 </w:t>
      </w:r>
      <w:r>
        <w:rPr>
          <w:sz w:val="13"/>
        </w:rPr>
        <w:t>Hans Dufourmont, EEA, Copernicus Land Monitoring Services &amp; Hugo Poelman, REGIO-GIS DG Regional and Urban Policy (2014)</w:t>
      </w:r>
    </w:p>
    <w:p>
      <w:pPr>
        <w:spacing w:before="51"/>
        <w:ind w:left="742" w:right="0" w:firstLine="0"/>
        <w:jc w:val="left"/>
        <w:rPr>
          <w:sz w:val="13"/>
        </w:rPr>
      </w:pPr>
      <w:r>
        <w:rPr>
          <w:i/>
          <w:sz w:val="13"/>
        </w:rPr>
        <w:t>Measuring access to public transport in European cities</w:t>
      </w:r>
      <w:r>
        <w:rPr>
          <w:sz w:val="13"/>
        </w:rPr>
        <w:t>. Præsentation ved European Space Solution 2014.</w:t>
      </w:r>
    </w:p>
    <w:p>
      <w:pPr>
        <w:spacing w:after="0"/>
        <w:jc w:val="left"/>
        <w:rPr>
          <w:sz w:val="13"/>
        </w:rPr>
        <w:sectPr>
          <w:pgSz w:w="11910" w:h="16840"/>
          <w:pgMar w:header="0" w:footer="619" w:top="1580" w:bottom="800" w:left="960" w:right="0"/>
        </w:sectPr>
      </w:pPr>
    </w:p>
    <w:p>
      <w:pPr>
        <w:pStyle w:val="BodyText"/>
        <w:spacing w:line="264" w:lineRule="auto" w:before="126"/>
        <w:ind w:left="742" w:right="1133"/>
      </w:pPr>
      <w:r>
        <w:rPr/>
        <w:t>Nedenstående case illustrerer med indikative beregninger de potentielle besparelser, der kan opnås i branchen.</w:t>
      </w:r>
    </w:p>
    <w:p>
      <w:pPr>
        <w:pStyle w:val="BodyText"/>
        <w:spacing w:before="8"/>
        <w:rPr>
          <w:sz w:val="19"/>
        </w:rPr>
      </w:pPr>
    </w:p>
    <w:p>
      <w:pPr>
        <w:pStyle w:val="ListParagraph"/>
        <w:numPr>
          <w:ilvl w:val="2"/>
          <w:numId w:val="15"/>
        </w:numPr>
        <w:tabs>
          <w:tab w:pos="743" w:val="left" w:leader="none"/>
        </w:tabs>
        <w:spacing w:line="240" w:lineRule="auto" w:before="0" w:after="0"/>
        <w:ind w:left="742" w:right="0" w:hanging="624"/>
        <w:jc w:val="left"/>
        <w:rPr>
          <w:b/>
          <w:sz w:val="18"/>
        </w:rPr>
      </w:pPr>
      <w:bookmarkStart w:name="_bookmark50" w:id="51"/>
      <w:bookmarkEnd w:id="51"/>
      <w:r>
        <w:rPr>
          <w:b/>
          <w:sz w:val="18"/>
        </w:rPr>
        <w:t>C</w:t>
      </w:r>
      <w:r>
        <w:rPr>
          <w:b/>
          <w:sz w:val="18"/>
        </w:rPr>
        <w:t>ase: Landbrug – billigere og renere produktion</w:t>
      </w:r>
    </w:p>
    <w:p>
      <w:pPr>
        <w:pStyle w:val="BodyText"/>
        <w:spacing w:line="264" w:lineRule="auto" w:before="21"/>
        <w:ind w:left="742" w:right="1249"/>
      </w:pPr>
      <w:r>
        <w:rPr/>
        <w:t>For at maksimere udbyttet af deres produktion bruger danske landmænd adskillige ressourcer på gødning og sprøjtegifte. Brugen af både gødning og sprøjtegifte kan potentielt optimeres ved brug af nøjagtige GPS-informationer og satellitbilleder. Denne reduktion vil både være til gavn for land- mænd og andre (miljøet). Helt konkret vil satellitteknologi potentielt forbedre landbruget på to områder.</w:t>
      </w:r>
    </w:p>
    <w:p>
      <w:pPr>
        <w:pStyle w:val="BodyText"/>
        <w:spacing w:before="6"/>
        <w:rPr>
          <w:sz w:val="19"/>
        </w:rPr>
      </w:pPr>
    </w:p>
    <w:p>
      <w:pPr>
        <w:pStyle w:val="BodyText"/>
        <w:spacing w:line="264" w:lineRule="auto"/>
        <w:ind w:left="742" w:right="1181"/>
      </w:pPr>
      <w:r>
        <w:rPr/>
        <w:t>I afgrødeproduktionen anvender landmændene store landbrugsmaskiner, for eksempel mejetær- skere og traktorer. I dag kan kørslen med landbrugsmaskinerne ikke undgå at lede til skader på afgrøderne og dermed tabt produktion. Dette problem kan undgås ved at styre landbrugsmaskiner ved hjælp af GPS-teknologi. Denne type systemer kaldes også Controlled Traffic Farming (CTF) og er så småt begyndt at vinde indpas i landbrugssektoren.</w:t>
      </w:r>
    </w:p>
    <w:p>
      <w:pPr>
        <w:pStyle w:val="BodyText"/>
        <w:spacing w:before="7"/>
        <w:rPr>
          <w:sz w:val="19"/>
        </w:rPr>
      </w:pPr>
    </w:p>
    <w:p>
      <w:pPr>
        <w:pStyle w:val="BodyText"/>
        <w:spacing w:line="264" w:lineRule="auto"/>
        <w:ind w:left="742" w:right="1139"/>
      </w:pPr>
      <w:r>
        <w:rPr/>
        <w:t>Derudover kan landbrugets forbrug af gødning også reduceres ved hjælp af satellitteknologi. I dag spreder landmanden gødning ud på markerne uden at have et klart billede af planternes konkrete behov. Ved at anvende satellitbilleder af markederne kan landmanden målrette gødningsmængden, så den passer planternes behov. Dette betyder, at bestemte dele af den samme mark kan have vidt forskellige gødningsbehov. Ved at målrette gødningen kan landmanden omfordele gødningen med henblik på at optimere udbyttet. Denne teknologi kaldes også for Variable Rate Technology (VRT).</w:t>
      </w:r>
    </w:p>
    <w:p>
      <w:pPr>
        <w:pStyle w:val="BodyText"/>
        <w:spacing w:before="4"/>
        <w:rPr>
          <w:sz w:val="19"/>
        </w:rPr>
      </w:pPr>
    </w:p>
    <w:p>
      <w:pPr>
        <w:pStyle w:val="BodyText"/>
        <w:spacing w:line="264" w:lineRule="auto"/>
        <w:ind w:left="742" w:right="1240"/>
      </w:pPr>
      <w:r>
        <w:rPr/>
        <w:t>Landbrugsorganisationen SEGES skønner på baggrund af beregninger af potentielle gevinster ved at graduere doseringen af planteværnsmidler, at den samlede gevinst ved brug af teknologien vil udgøre 380 DKK pr. hektar. I Danmark er der 38.829 landbrug med en gennemsnitlig størrelse på 62,9 hektar (kilde: Danmarks Statistik). Med afsæt i disse grundoplysninger, svarer det til en årlig samfundsøkonomisk besparelse på omkring 930 mio. DKK for de danske landbrug.</w:t>
      </w:r>
    </w:p>
    <w:p>
      <w:pPr>
        <w:pStyle w:val="BodyText"/>
        <w:spacing w:before="7"/>
        <w:rPr>
          <w:sz w:val="19"/>
        </w:rPr>
      </w:pPr>
    </w:p>
    <w:p>
      <w:pPr>
        <w:pStyle w:val="BodyText"/>
        <w:spacing w:line="264" w:lineRule="auto"/>
        <w:ind w:left="742" w:right="1282"/>
      </w:pPr>
      <w:r>
        <w:rPr/>
        <w:t>Ud over de direkte besparelser for de danske landbrug vil reduktionen i brugen af gødning og sprøjtegifte også medfører miljøforbedringer. En reduktion af gødnings- og sprøjtemængde kunne for eksempel medføre renere drikkevand.</w:t>
      </w:r>
    </w:p>
    <w:p>
      <w:pPr>
        <w:pStyle w:val="BodyText"/>
        <w:spacing w:before="4"/>
        <w:rPr>
          <w:sz w:val="14"/>
        </w:rPr>
      </w:pPr>
      <w:r>
        <w:rPr/>
        <w:drawing>
          <wp:anchor distT="0" distB="0" distL="0" distR="0" allowOverlap="1" layoutInCell="1" locked="0" behindDoc="0" simplePos="0" relativeHeight="266">
            <wp:simplePos x="0" y="0"/>
            <wp:positionH relativeFrom="page">
              <wp:posOffset>1778635</wp:posOffset>
            </wp:positionH>
            <wp:positionV relativeFrom="paragraph">
              <wp:posOffset>135705</wp:posOffset>
            </wp:positionV>
            <wp:extent cx="4322270" cy="1911095"/>
            <wp:effectExtent l="0" t="0" r="0" b="0"/>
            <wp:wrapTopAndBottom/>
            <wp:docPr id="73" name="image59.png" descr=""/>
            <wp:cNvGraphicFramePr>
              <a:graphicFrameLocks noChangeAspect="1"/>
            </wp:cNvGraphicFramePr>
            <a:graphic>
              <a:graphicData uri="http://schemas.openxmlformats.org/drawingml/2006/picture">
                <pic:pic>
                  <pic:nvPicPr>
                    <pic:cNvPr id="74" name="image59.png"/>
                    <pic:cNvPicPr/>
                  </pic:nvPicPr>
                  <pic:blipFill>
                    <a:blip r:embed="rId128" cstate="print"/>
                    <a:stretch>
                      <a:fillRect/>
                    </a:stretch>
                  </pic:blipFill>
                  <pic:spPr>
                    <a:xfrm>
                      <a:off x="0" y="0"/>
                      <a:ext cx="4322270" cy="1911095"/>
                    </a:xfrm>
                    <a:prstGeom prst="rect">
                      <a:avLst/>
                    </a:prstGeom>
                  </pic:spPr>
                </pic:pic>
              </a:graphicData>
            </a:graphic>
          </wp:anchor>
        </w:drawing>
      </w:r>
    </w:p>
    <w:p>
      <w:pPr>
        <w:spacing w:after="0"/>
        <w:rPr>
          <w:sz w:val="14"/>
        </w:rPr>
        <w:sectPr>
          <w:pgSz w:w="11910" w:h="16840"/>
          <w:pgMar w:header="0" w:footer="619" w:top="1580" w:bottom="800" w:left="960" w:right="0"/>
        </w:sectPr>
      </w:pPr>
    </w:p>
    <w:p>
      <w:pPr>
        <w:spacing w:before="126"/>
        <w:ind w:left="742" w:right="0" w:firstLine="0"/>
        <w:jc w:val="left"/>
        <w:rPr>
          <w:b/>
          <w:sz w:val="8"/>
        </w:rPr>
      </w:pPr>
      <w:r>
        <w:rPr>
          <w:b/>
          <w:sz w:val="18"/>
        </w:rPr>
        <w:t>Fi</w:t>
      </w:r>
      <w:r>
        <w:rPr>
          <w:b/>
          <w:spacing w:val="-1"/>
          <w:sz w:val="18"/>
        </w:rPr>
        <w:t>e</w:t>
      </w:r>
      <w:r>
        <w:rPr>
          <w:b/>
          <w:spacing w:val="1"/>
          <w:sz w:val="18"/>
        </w:rPr>
        <w:t>l</w:t>
      </w:r>
      <w:r>
        <w:rPr>
          <w:b/>
          <w:spacing w:val="-2"/>
          <w:sz w:val="18"/>
        </w:rPr>
        <w:t>d</w:t>
      </w:r>
      <w:r>
        <w:rPr>
          <w:b/>
          <w:spacing w:val="-1"/>
          <w:sz w:val="18"/>
        </w:rPr>
        <w:t>Sen</w:t>
      </w:r>
      <w:r>
        <w:rPr>
          <w:b/>
          <w:spacing w:val="-2"/>
          <w:sz w:val="18"/>
        </w:rPr>
        <w:t>s</w:t>
      </w:r>
      <w:r>
        <w:rPr>
          <w:b/>
          <w:sz w:val="18"/>
        </w:rPr>
        <w:t>e</w:t>
      </w:r>
      <w:r>
        <w:rPr>
          <w:b/>
          <w:spacing w:val="1"/>
          <w:sz w:val="18"/>
        </w:rPr>
        <w:t> </w:t>
      </w:r>
      <w:r>
        <w:rPr>
          <w:b/>
          <w:sz w:val="18"/>
        </w:rPr>
        <w:t>- N</w:t>
      </w:r>
      <w:r>
        <w:rPr>
          <w:b/>
          <w:spacing w:val="-1"/>
          <w:sz w:val="18"/>
        </w:rPr>
        <w:t>e</w:t>
      </w:r>
      <w:r>
        <w:rPr>
          <w:b/>
          <w:sz w:val="18"/>
        </w:rPr>
        <w:t>m </w:t>
      </w:r>
      <w:r>
        <w:rPr>
          <w:b/>
          <w:spacing w:val="-1"/>
          <w:sz w:val="18"/>
        </w:rPr>
        <w:t>o</w:t>
      </w:r>
      <w:r>
        <w:rPr>
          <w:b/>
          <w:sz w:val="18"/>
        </w:rPr>
        <w:t>v</w:t>
      </w:r>
      <w:r>
        <w:rPr>
          <w:b/>
          <w:spacing w:val="-1"/>
          <w:sz w:val="18"/>
        </w:rPr>
        <w:t>er</w:t>
      </w:r>
      <w:r>
        <w:rPr>
          <w:b/>
          <w:spacing w:val="-2"/>
          <w:sz w:val="18"/>
        </w:rPr>
        <w:t>v</w:t>
      </w:r>
      <w:r>
        <w:rPr>
          <w:b/>
          <w:sz w:val="18"/>
        </w:rPr>
        <w:t>å</w:t>
      </w:r>
      <w:r>
        <w:rPr>
          <w:b/>
          <w:spacing w:val="-2"/>
          <w:sz w:val="18"/>
        </w:rPr>
        <w:t>g</w:t>
      </w:r>
      <w:r>
        <w:rPr>
          <w:b/>
          <w:spacing w:val="-1"/>
          <w:sz w:val="18"/>
        </w:rPr>
        <w:t>n</w:t>
      </w:r>
      <w:r>
        <w:rPr>
          <w:b/>
          <w:sz w:val="18"/>
        </w:rPr>
        <w:t>i</w:t>
      </w:r>
      <w:r>
        <w:rPr>
          <w:b/>
          <w:spacing w:val="-1"/>
          <w:sz w:val="18"/>
        </w:rPr>
        <w:t>n</w:t>
      </w:r>
      <w:r>
        <w:rPr>
          <w:b/>
          <w:sz w:val="18"/>
        </w:rPr>
        <w:t>g</w:t>
      </w:r>
      <w:r>
        <w:rPr>
          <w:b/>
          <w:spacing w:val="-1"/>
          <w:sz w:val="18"/>
        </w:rPr>
        <w:t> </w:t>
      </w:r>
      <w:r>
        <w:rPr>
          <w:b/>
          <w:sz w:val="18"/>
        </w:rPr>
        <w:t>af</w:t>
      </w:r>
      <w:r>
        <w:rPr>
          <w:b/>
          <w:spacing w:val="1"/>
          <w:sz w:val="18"/>
        </w:rPr>
        <w:t> </w:t>
      </w:r>
      <w:r>
        <w:rPr>
          <w:b/>
          <w:sz w:val="18"/>
        </w:rPr>
        <w:t>af</w:t>
      </w:r>
      <w:r>
        <w:rPr>
          <w:b/>
          <w:spacing w:val="-2"/>
          <w:sz w:val="18"/>
        </w:rPr>
        <w:t>g</w:t>
      </w:r>
      <w:r>
        <w:rPr>
          <w:b/>
          <w:spacing w:val="1"/>
          <w:sz w:val="18"/>
        </w:rPr>
        <w:t>r</w:t>
      </w:r>
      <w:r>
        <w:rPr>
          <w:b/>
          <w:spacing w:val="-2"/>
          <w:sz w:val="18"/>
        </w:rPr>
        <w:t>ød</w:t>
      </w:r>
      <w:r>
        <w:rPr>
          <w:b/>
          <w:spacing w:val="-1"/>
          <w:sz w:val="18"/>
        </w:rPr>
        <w:t>e</w:t>
      </w:r>
      <w:r>
        <w:rPr>
          <w:b/>
          <w:sz w:val="18"/>
        </w:rPr>
        <w:t>r v</w:t>
      </w:r>
      <w:r>
        <w:rPr>
          <w:b/>
          <w:spacing w:val="-1"/>
          <w:sz w:val="18"/>
        </w:rPr>
        <w:t>e</w:t>
      </w:r>
      <w:r>
        <w:rPr>
          <w:b/>
          <w:sz w:val="18"/>
        </w:rPr>
        <w:t>d </w:t>
      </w:r>
      <w:r>
        <w:rPr>
          <w:b/>
          <w:spacing w:val="-1"/>
          <w:sz w:val="18"/>
        </w:rPr>
        <w:t>br</w:t>
      </w:r>
      <w:r>
        <w:rPr>
          <w:b/>
          <w:spacing w:val="1"/>
          <w:sz w:val="18"/>
        </w:rPr>
        <w:t>u</w:t>
      </w:r>
      <w:r>
        <w:rPr>
          <w:b/>
          <w:sz w:val="18"/>
        </w:rPr>
        <w:t>g</w:t>
      </w:r>
      <w:r>
        <w:rPr>
          <w:b/>
          <w:spacing w:val="-1"/>
          <w:sz w:val="18"/>
        </w:rPr>
        <w:t> </w:t>
      </w:r>
      <w:r>
        <w:rPr>
          <w:b/>
          <w:sz w:val="18"/>
        </w:rPr>
        <w:t>af</w:t>
      </w:r>
      <w:r>
        <w:rPr>
          <w:b/>
          <w:spacing w:val="4"/>
          <w:sz w:val="18"/>
        </w:rPr>
        <w:t> </w:t>
      </w:r>
      <w:r>
        <w:rPr>
          <w:b/>
          <w:spacing w:val="-1"/>
          <w:sz w:val="18"/>
        </w:rPr>
        <w:t>j</w:t>
      </w:r>
      <w:r>
        <w:rPr>
          <w:b/>
          <w:spacing w:val="-2"/>
          <w:sz w:val="18"/>
        </w:rPr>
        <w:t>o</w:t>
      </w:r>
      <w:r>
        <w:rPr>
          <w:b/>
          <w:spacing w:val="-1"/>
          <w:sz w:val="18"/>
        </w:rPr>
        <w:t>r</w:t>
      </w:r>
      <w:r>
        <w:rPr>
          <w:b/>
          <w:spacing w:val="1"/>
          <w:sz w:val="18"/>
        </w:rPr>
        <w:t>d</w:t>
      </w:r>
      <w:r>
        <w:rPr>
          <w:b/>
          <w:spacing w:val="-2"/>
          <w:sz w:val="18"/>
        </w:rPr>
        <w:t>o</w:t>
      </w:r>
      <w:r>
        <w:rPr>
          <w:b/>
          <w:spacing w:val="1"/>
          <w:sz w:val="18"/>
        </w:rPr>
        <w:t>b</w:t>
      </w:r>
      <w:r>
        <w:rPr>
          <w:b/>
          <w:spacing w:val="-2"/>
          <w:sz w:val="18"/>
        </w:rPr>
        <w:t>s</w:t>
      </w:r>
      <w:r>
        <w:rPr>
          <w:b/>
          <w:spacing w:val="-1"/>
          <w:sz w:val="18"/>
        </w:rPr>
        <w:t>ervatio</w:t>
      </w:r>
      <w:r>
        <w:rPr>
          <w:b/>
          <w:spacing w:val="2"/>
          <w:sz w:val="18"/>
        </w:rPr>
        <w:t>n</w:t>
      </w:r>
      <w:r>
        <w:rPr>
          <w:b/>
          <w:spacing w:val="-2"/>
          <w:w w:val="99"/>
          <w:position w:val="6"/>
          <w:sz w:val="8"/>
        </w:rPr>
        <w:t>111</w:t>
      </w:r>
    </w:p>
    <w:p>
      <w:pPr>
        <w:pStyle w:val="BodyText"/>
        <w:spacing w:line="264" w:lineRule="auto" w:before="22"/>
        <w:ind w:left="742" w:right="1126"/>
        <w:jc w:val="both"/>
      </w:pPr>
      <w:r>
        <w:rPr/>
        <w:t>FieldSense er en applikation til web, smartphone og tablet, der ved hjælp af jordobservation gør det muligt for landmænd og planteavlskonsulenter at overvåge afgrøders biomasse. Applikationen muliggør, at problemer kan behandles tidligt i vækstsæsonen. Det betyder, at brugerne</w:t>
      </w:r>
      <w:r>
        <w:rPr>
          <w:spacing w:val="-24"/>
        </w:rPr>
        <w:t> </w:t>
      </w:r>
      <w:r>
        <w:rPr/>
        <w:t>vil:</w:t>
      </w:r>
    </w:p>
    <w:p>
      <w:pPr>
        <w:pStyle w:val="ListParagraph"/>
        <w:numPr>
          <w:ilvl w:val="3"/>
          <w:numId w:val="15"/>
        </w:numPr>
        <w:tabs>
          <w:tab w:pos="1083" w:val="left" w:leader="none"/>
        </w:tabs>
        <w:spacing w:line="240" w:lineRule="auto" w:before="17" w:after="0"/>
        <w:ind w:left="1082" w:right="0" w:hanging="340"/>
        <w:jc w:val="both"/>
        <w:rPr>
          <w:sz w:val="18"/>
        </w:rPr>
      </w:pPr>
      <w:r>
        <w:rPr>
          <w:sz w:val="18"/>
        </w:rPr>
        <w:t>Spare penge ved at reducere deres brug af gødning og</w:t>
      </w:r>
      <w:r>
        <w:rPr>
          <w:spacing w:val="-13"/>
          <w:sz w:val="18"/>
        </w:rPr>
        <w:t> </w:t>
      </w:r>
      <w:r>
        <w:rPr>
          <w:sz w:val="18"/>
        </w:rPr>
        <w:t>pesticider.</w:t>
      </w:r>
    </w:p>
    <w:p>
      <w:pPr>
        <w:pStyle w:val="ListParagraph"/>
        <w:numPr>
          <w:ilvl w:val="3"/>
          <w:numId w:val="15"/>
        </w:numPr>
        <w:tabs>
          <w:tab w:pos="1083" w:val="left" w:leader="none"/>
        </w:tabs>
        <w:spacing w:line="240" w:lineRule="auto" w:before="39" w:after="0"/>
        <w:ind w:left="1082" w:right="0" w:hanging="340"/>
        <w:jc w:val="both"/>
        <w:rPr>
          <w:sz w:val="18"/>
        </w:rPr>
      </w:pPr>
      <w:r>
        <w:rPr>
          <w:sz w:val="18"/>
        </w:rPr>
        <w:t>Spare tid ved at overvåge deres afgrøder mere</w:t>
      </w:r>
      <w:r>
        <w:rPr>
          <w:spacing w:val="-11"/>
          <w:sz w:val="18"/>
        </w:rPr>
        <w:t> </w:t>
      </w:r>
      <w:r>
        <w:rPr>
          <w:sz w:val="18"/>
        </w:rPr>
        <w:t>effektivt</w:t>
      </w:r>
    </w:p>
    <w:p>
      <w:pPr>
        <w:pStyle w:val="ListParagraph"/>
        <w:numPr>
          <w:ilvl w:val="3"/>
          <w:numId w:val="15"/>
        </w:numPr>
        <w:tabs>
          <w:tab w:pos="1083" w:val="left" w:leader="none"/>
        </w:tabs>
        <w:spacing w:line="240" w:lineRule="auto" w:before="38" w:after="0"/>
        <w:ind w:left="1082" w:right="0" w:hanging="340"/>
        <w:jc w:val="both"/>
        <w:rPr>
          <w:sz w:val="18"/>
        </w:rPr>
      </w:pPr>
      <w:r>
        <w:rPr>
          <w:sz w:val="18"/>
        </w:rPr>
        <w:t>Øge deres fortjeneste ved at formindske tab grundet uopdagede sygdomme i</w:t>
      </w:r>
      <w:r>
        <w:rPr>
          <w:spacing w:val="-18"/>
          <w:sz w:val="18"/>
        </w:rPr>
        <w:t> </w:t>
      </w:r>
      <w:r>
        <w:rPr>
          <w:sz w:val="18"/>
        </w:rPr>
        <w:t>afgrøderne</w:t>
      </w:r>
    </w:p>
    <w:p>
      <w:pPr>
        <w:pStyle w:val="BodyText"/>
        <w:rPr>
          <w:sz w:val="20"/>
        </w:rPr>
      </w:pPr>
    </w:p>
    <w:p>
      <w:pPr>
        <w:spacing w:after="0"/>
        <w:rPr>
          <w:sz w:val="20"/>
        </w:rPr>
        <w:sectPr>
          <w:pgSz w:w="11910" w:h="16840"/>
          <w:pgMar w:header="0" w:footer="619" w:top="1580" w:bottom="800" w:left="960" w:right="0"/>
        </w:sectPr>
      </w:pPr>
    </w:p>
    <w:p>
      <w:pPr>
        <w:pStyle w:val="BodyText"/>
        <w:spacing w:before="4"/>
        <w:rPr>
          <w:sz w:val="21"/>
        </w:rPr>
      </w:pPr>
    </w:p>
    <w:p>
      <w:pPr>
        <w:pStyle w:val="BodyText"/>
        <w:spacing w:line="264" w:lineRule="auto"/>
        <w:ind w:left="742"/>
        <w:jc w:val="both"/>
      </w:pPr>
      <w:r>
        <w:rPr/>
        <w:t>Applikationen bruger den nyeste teknologi inden for jordobservation (højopløsningsbilleder fra Sentinel-2A og -2B satellitter samt Landsat 8) kombineret med algoritmer til at måle planters fotosyntetiske aktivitet. På baggrund af jordob- servationerne genereres biomassekort, der med høj præcision indikerer markens helbredstil- stand. Dette illustreres herefter grafisk ved hjælp af farver – se eksemplet nedenfor. De mørke og brune farver indikerer en tilstand, hvor afgrødens vækst er lav; de lyse og grønne farver indikerer høj</w:t>
      </w:r>
      <w:r>
        <w:rPr>
          <w:spacing w:val="-3"/>
        </w:rPr>
        <w:t> </w:t>
      </w:r>
      <w:r>
        <w:rPr/>
        <w:t>vækst.</w:t>
      </w:r>
    </w:p>
    <w:p>
      <w:pPr>
        <w:pStyle w:val="BodyText"/>
        <w:spacing w:before="2" w:after="40"/>
        <w:rPr>
          <w:sz w:val="16"/>
        </w:rPr>
      </w:pPr>
      <w:r>
        <w:rPr/>
        <w:br w:type="column"/>
      </w:r>
      <w:r>
        <w:rPr>
          <w:sz w:val="16"/>
        </w:rPr>
      </w:r>
    </w:p>
    <w:p>
      <w:pPr>
        <w:pStyle w:val="BodyText"/>
        <w:ind w:left="258"/>
        <w:rPr>
          <w:sz w:val="20"/>
        </w:rPr>
      </w:pPr>
      <w:r>
        <w:rPr>
          <w:sz w:val="20"/>
        </w:rPr>
        <w:drawing>
          <wp:inline distT="0" distB="0" distL="0" distR="0">
            <wp:extent cx="2630574" cy="1747647"/>
            <wp:effectExtent l="0" t="0" r="0" b="0"/>
            <wp:docPr id="75" name="image60.jpeg" descr=""/>
            <wp:cNvGraphicFramePr>
              <a:graphicFrameLocks noChangeAspect="1"/>
            </wp:cNvGraphicFramePr>
            <a:graphic>
              <a:graphicData uri="http://schemas.openxmlformats.org/drawingml/2006/picture">
                <pic:pic>
                  <pic:nvPicPr>
                    <pic:cNvPr id="76" name="image60.jpeg"/>
                    <pic:cNvPicPr/>
                  </pic:nvPicPr>
                  <pic:blipFill>
                    <a:blip r:embed="rId129" cstate="print"/>
                    <a:stretch>
                      <a:fillRect/>
                    </a:stretch>
                  </pic:blipFill>
                  <pic:spPr>
                    <a:xfrm>
                      <a:off x="0" y="0"/>
                      <a:ext cx="2630574" cy="1747647"/>
                    </a:xfrm>
                    <a:prstGeom prst="rect">
                      <a:avLst/>
                    </a:prstGeom>
                  </pic:spPr>
                </pic:pic>
              </a:graphicData>
            </a:graphic>
          </wp:inline>
        </w:drawing>
      </w:r>
      <w:r>
        <w:rPr>
          <w:sz w:val="20"/>
        </w:rPr>
      </w:r>
    </w:p>
    <w:p>
      <w:pPr>
        <w:spacing w:before="26"/>
        <w:ind w:left="261" w:right="0" w:firstLine="0"/>
        <w:jc w:val="left"/>
        <w:rPr>
          <w:sz w:val="16"/>
        </w:rPr>
      </w:pPr>
      <w:r>
        <w:rPr>
          <w:sz w:val="16"/>
        </w:rPr>
        <w:t>Kilde: </w:t>
      </w:r>
      <w:hyperlink r:id="rId130">
        <w:r>
          <w:rPr>
            <w:color w:val="009DDF"/>
            <w:sz w:val="16"/>
          </w:rPr>
          <w:t>www.fieldsensapp.com</w:t>
        </w:r>
      </w:hyperlink>
    </w:p>
    <w:p>
      <w:pPr>
        <w:spacing w:after="0"/>
        <w:jc w:val="left"/>
        <w:rPr>
          <w:sz w:val="16"/>
        </w:rPr>
        <w:sectPr>
          <w:type w:val="continuous"/>
          <w:pgSz w:w="11910" w:h="16840"/>
          <w:pgMar w:top="1400" w:bottom="280" w:left="960" w:right="0"/>
          <w:cols w:num="2" w:equalWidth="0">
            <w:col w:w="5161" w:space="40"/>
            <w:col w:w="5749"/>
          </w:cols>
        </w:sectPr>
      </w:pPr>
    </w:p>
    <w:p>
      <w:pPr>
        <w:pStyle w:val="BodyText"/>
        <w:spacing w:line="264" w:lineRule="auto" w:before="170"/>
        <w:ind w:left="742" w:right="1124"/>
        <w:jc w:val="both"/>
      </w:pPr>
      <w:r>
        <w:rPr/>
        <w:t>FieldSense leverer på nuværende tidspunkt billeder, hvor hver pixel repræsenterer et areal på 30x30 og op til 10x10 meter. I 2018 forventes applikationen at levere billeder på daglig basis med langt højere opløsning (højere end 10x10 meter), således at præcisionslandbrug bliver nemt, til- gængeligt og pålideligt. Den historiske visning af billeder i applikationen gør det dertil muligt at se biomassekort fra 2013 og frem.</w:t>
      </w:r>
    </w:p>
    <w:p>
      <w:pPr>
        <w:pStyle w:val="BodyText"/>
        <w:spacing w:before="6"/>
        <w:rPr>
          <w:sz w:val="19"/>
        </w:rPr>
      </w:pPr>
    </w:p>
    <w:p>
      <w:pPr>
        <w:pStyle w:val="BodyText"/>
        <w:spacing w:line="264" w:lineRule="auto"/>
        <w:ind w:left="742" w:right="1124"/>
        <w:jc w:val="both"/>
      </w:pPr>
      <w:r>
        <w:rPr/>
        <w:t>I 2016 er virksomheden bag FieldSense, Ceptu, udvalgt til Innovationsfondens Iværksætterpilot- ordning. Virksomheden har i 2016 også modtaget en bevilling fra Innovationsfondens InnoBooster- investeringsprogram. I 2014 vandt FieldSense app-konkurrencen Space App Camp samt Coperni- cus CloudEO Master Farming Challenge, som Det Europæiske Rumagentur (ESA) står bag.</w:t>
      </w:r>
    </w:p>
    <w:p>
      <w:pPr>
        <w:pStyle w:val="BodyText"/>
        <w:spacing w:before="7"/>
        <w:rPr>
          <w:sz w:val="19"/>
        </w:rPr>
      </w:pPr>
    </w:p>
    <w:p>
      <w:pPr>
        <w:pStyle w:val="BodyText"/>
        <w:spacing w:line="264" w:lineRule="auto"/>
        <w:ind w:left="742" w:right="1124"/>
        <w:jc w:val="both"/>
      </w:pPr>
      <w:r>
        <w:rPr/>
        <w:t>Kommercialiseringspotentialet i danske såvel som i udenlandske landbrugsindustrier er stort, idet virksomheden i den nærmeste fremtid vil have større fokus på at automatisere detekteringen af plantesygdomme. Dette gør det muligt at diagnosticere afgrøde-relaterede problemer på stor ska- la, før synlige symptomer optræder. Tidlig detektering af plantesygdomme resulterer i tidlig </w:t>
      </w:r>
      <w:r>
        <w:rPr>
          <w:spacing w:val="2"/>
        </w:rPr>
        <w:t>be- </w:t>
      </w:r>
      <w:r>
        <w:rPr/>
        <w:t>handling, hvilket nedsætter omfanget af omsåning og derved udbyttetab. Det skønnes, at omkost- ningerne i 2015 i Danmark i forbindelse med omsåning af vinterhvede og vinterbyg pga. plante- sygdommen havrerødsot var op mod 150 mio. DKK. Bemærk, at dette skøn ikke tager højde for udbytte tab og omkostninger i forbindelse med andre plantesygdomme. FieldSense tilbyder hertil en økonomisk forsvarlig og let-skalérbar løsning, der for fremtidens landbrug vil kunne effektivise- rer på mange</w:t>
      </w:r>
      <w:r>
        <w:rPr>
          <w:spacing w:val="-4"/>
        </w:rPr>
        <w:t> </w:t>
      </w:r>
      <w:r>
        <w:rPr/>
        <w:t>områder.</w:t>
      </w: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5384;mso-wrap-distance-left:0;mso-wrap-distance-right:0" from="85.103996pt,11.575419pt" to="229.123996pt,11.575419pt" stroked="true" strokeweight=".48004pt" strokecolor="#000000">
            <v:stroke dashstyle="solid"/>
            <w10:wrap type="topAndBottom"/>
          </v:line>
        </w:pict>
      </w:r>
    </w:p>
    <w:p>
      <w:pPr>
        <w:spacing w:before="99"/>
        <w:ind w:left="742" w:right="0" w:firstLine="0"/>
        <w:jc w:val="left"/>
        <w:rPr>
          <w:sz w:val="13"/>
        </w:rPr>
      </w:pPr>
      <w:r>
        <w:rPr>
          <w:position w:val="6"/>
          <w:sz w:val="8"/>
        </w:rPr>
        <w:t>111 </w:t>
      </w:r>
      <w:r>
        <w:rPr>
          <w:sz w:val="13"/>
        </w:rPr>
        <w:t>Der er anvendt følgende kilder til dette afsnit:</w:t>
      </w:r>
    </w:p>
    <w:p>
      <w:pPr>
        <w:spacing w:line="364" w:lineRule="auto" w:before="84"/>
        <w:ind w:left="742" w:right="6297" w:firstLine="0"/>
        <w:jc w:val="left"/>
        <w:rPr>
          <w:sz w:val="13"/>
        </w:rPr>
      </w:pPr>
      <w:hyperlink r:id="rId130">
        <w:r>
          <w:rPr>
            <w:color w:val="009DDF"/>
            <w:sz w:val="13"/>
          </w:rPr>
          <w:t>www.fieldsensapp.com</w:t>
        </w:r>
      </w:hyperlink>
      <w:r>
        <w:rPr>
          <w:color w:val="009DDF"/>
          <w:sz w:val="13"/>
        </w:rPr>
        <w:t> </w:t>
      </w:r>
      <w:hyperlink r:id="rId131">
        <w:r>
          <w:rPr>
            <w:color w:val="009DDF"/>
            <w:w w:val="95"/>
            <w:sz w:val="13"/>
          </w:rPr>
          <w:t>www.innovationsfonden.dk/en/node/733</w:t>
        </w:r>
      </w:hyperlink>
    </w:p>
    <w:p>
      <w:pPr>
        <w:spacing w:line="364" w:lineRule="auto" w:before="0"/>
        <w:ind w:left="742" w:right="0" w:firstLine="0"/>
        <w:jc w:val="left"/>
        <w:rPr>
          <w:sz w:val="13"/>
        </w:rPr>
      </w:pPr>
      <w:hyperlink r:id="rId132">
        <w:r>
          <w:rPr>
            <w:color w:val="009DDF"/>
            <w:sz w:val="13"/>
          </w:rPr>
          <w:t>www.e-pages.dk/aarhusuniversitet/1133/fullpdf/1.pdf</w:t>
        </w:r>
      </w:hyperlink>
      <w:r>
        <w:rPr>
          <w:color w:val="009DDF"/>
          <w:sz w:val="13"/>
        </w:rPr>
        <w:t> </w:t>
      </w:r>
      <w:hyperlink r:id="rId133">
        <w:r>
          <w:rPr>
            <w:color w:val="009DDF"/>
            <w:w w:val="95"/>
            <w:sz w:val="13"/>
          </w:rPr>
          <w:t>https://projekter.vfl.dk/Projekter/erhvervsudviklingsordningen/2015/effektive_behovsbestemte_plantevaernsstrategier_2723/Filer/pl_15</w:t>
        </w:r>
      </w:hyperlink>
    </w:p>
    <w:p>
      <w:pPr>
        <w:spacing w:line="364" w:lineRule="auto" w:before="0"/>
        <w:ind w:left="742" w:right="2872" w:firstLine="0"/>
        <w:jc w:val="left"/>
        <w:rPr>
          <w:sz w:val="13"/>
        </w:rPr>
      </w:pPr>
      <w:hyperlink r:id="rId133">
        <w:r>
          <w:rPr>
            <w:color w:val="009DDF"/>
            <w:sz w:val="13"/>
          </w:rPr>
          <w:t>_2304_tabel_1.pdf</w:t>
        </w:r>
      </w:hyperlink>
      <w:r>
        <w:rPr>
          <w:color w:val="009DDF"/>
          <w:sz w:val="13"/>
        </w:rPr>
        <w:t> </w:t>
      </w:r>
      <w:hyperlink r:id="rId134">
        <w:r>
          <w:rPr>
            <w:color w:val="009DDF"/>
            <w:w w:val="95"/>
            <w:sz w:val="13"/>
          </w:rPr>
          <w:t>http://www.esa.int/Our_Activities/Observing_the_Earth/Copernicus/Help_bring_satellite_data_down_to_Earth</w:t>
        </w:r>
      </w:hyperlink>
    </w:p>
    <w:p>
      <w:pPr>
        <w:spacing w:after="0" w:line="364" w:lineRule="auto"/>
        <w:jc w:val="left"/>
        <w:rPr>
          <w:sz w:val="13"/>
        </w:rPr>
        <w:sectPr>
          <w:type w:val="continuous"/>
          <w:pgSz w:w="11910" w:h="16840"/>
          <w:pgMar w:top="1400" w:bottom="280" w:left="960" w:right="0"/>
        </w:sectPr>
      </w:pPr>
    </w:p>
    <w:p>
      <w:pPr>
        <w:pStyle w:val="BodyText"/>
        <w:spacing w:before="11"/>
        <w:rPr>
          <w:sz w:val="21"/>
        </w:rPr>
      </w:pPr>
    </w:p>
    <w:p>
      <w:pPr>
        <w:pStyle w:val="Heading2"/>
        <w:numPr>
          <w:ilvl w:val="1"/>
          <w:numId w:val="15"/>
        </w:numPr>
        <w:tabs>
          <w:tab w:pos="741" w:val="left" w:leader="none"/>
          <w:tab w:pos="743" w:val="left" w:leader="none"/>
        </w:tabs>
        <w:spacing w:line="240" w:lineRule="auto" w:before="100" w:after="0"/>
        <w:ind w:left="742" w:right="0" w:hanging="624"/>
        <w:jc w:val="left"/>
      </w:pPr>
      <w:bookmarkStart w:name="_bookmark51" w:id="52"/>
      <w:bookmarkEnd w:id="52"/>
      <w:r>
        <w:rPr/>
        <w:t>S</w:t>
      </w:r>
      <w:r>
        <w:rPr/>
        <w:t>atellitkommunikation</w:t>
      </w:r>
    </w:p>
    <w:p>
      <w:pPr>
        <w:pStyle w:val="BodyText"/>
        <w:spacing w:line="264" w:lineRule="auto" w:before="21"/>
        <w:ind w:left="742" w:right="1387"/>
      </w:pPr>
      <w:r>
        <w:rPr/>
        <w:t>De kommercielle anvendelsesmuligheder af satellitkommunikation er mange og højt udviklede. Generelt kan anvendelsen sammenfattes som behov for at kommunikere mellem steder, hvor de ikke har brugbare alternative forbindelser. </w:t>
      </w:r>
      <w:hyperlink w:history="true" w:anchor="_bookmark52">
        <w:r>
          <w:rPr/>
          <w:t>Tabel 14 </w:t>
        </w:r>
      </w:hyperlink>
      <w:r>
        <w:rPr/>
        <w:t>viser eksempler på, hvordan kommercielle virksomheder anvender satellitkommunikation.</w:t>
      </w:r>
    </w:p>
    <w:p>
      <w:pPr>
        <w:spacing w:before="143"/>
        <w:ind w:left="175" w:right="0" w:firstLine="0"/>
        <w:jc w:val="left"/>
        <w:rPr>
          <w:b/>
          <w:sz w:val="15"/>
        </w:rPr>
      </w:pPr>
      <w:bookmarkStart w:name="_bookmark52" w:id="53"/>
      <w:bookmarkEnd w:id="53"/>
      <w:r>
        <w:rPr/>
      </w:r>
      <w:r>
        <w:rPr>
          <w:b/>
          <w:color w:val="009DDF"/>
          <w:sz w:val="15"/>
        </w:rPr>
        <w:t>Tabel 14. Eksempler på anvendelse af satellitkommunikation og beskrivelse af gevinster</w:t>
      </w:r>
    </w:p>
    <w:p>
      <w:pPr>
        <w:pStyle w:val="BodyText"/>
        <w:spacing w:before="1"/>
        <w:rPr>
          <w:b/>
          <w:sz w:val="9"/>
        </w:rPr>
      </w:pPr>
    </w:p>
    <w:tbl>
      <w:tblPr>
        <w:tblW w:w="0" w:type="auto"/>
        <w:jc w:val="left"/>
        <w:tblInd w:w="186"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1548"/>
        <w:gridCol w:w="1423"/>
        <w:gridCol w:w="6810"/>
      </w:tblGrid>
      <w:tr>
        <w:trPr>
          <w:trHeight w:val="304" w:hRule="atLeast"/>
        </w:trPr>
        <w:tc>
          <w:tcPr>
            <w:tcW w:w="1548" w:type="dxa"/>
            <w:tcBorders>
              <w:top w:val="nil"/>
              <w:left w:val="nil"/>
              <w:bottom w:val="nil"/>
              <w:right w:val="nil"/>
            </w:tcBorders>
            <w:shd w:val="clear" w:color="auto" w:fill="A7D2F5"/>
          </w:tcPr>
          <w:p>
            <w:pPr>
              <w:pStyle w:val="TableParagraph"/>
              <w:spacing w:before="52"/>
              <w:ind w:left="115"/>
              <w:rPr>
                <w:b/>
                <w:sz w:val="16"/>
              </w:rPr>
            </w:pPr>
            <w:r>
              <w:rPr>
                <w:b/>
                <w:color w:val="FFFFFF"/>
                <w:sz w:val="16"/>
              </w:rPr>
              <w:t>Gruppe</w:t>
            </w:r>
          </w:p>
        </w:tc>
        <w:tc>
          <w:tcPr>
            <w:tcW w:w="1423" w:type="dxa"/>
            <w:tcBorders>
              <w:top w:val="nil"/>
              <w:left w:val="nil"/>
              <w:bottom w:val="nil"/>
              <w:right w:val="nil"/>
            </w:tcBorders>
            <w:shd w:val="clear" w:color="auto" w:fill="A7D2F5"/>
          </w:tcPr>
          <w:p>
            <w:pPr>
              <w:pStyle w:val="TableParagraph"/>
              <w:spacing w:before="52"/>
              <w:ind w:left="127"/>
              <w:rPr>
                <w:b/>
                <w:sz w:val="16"/>
              </w:rPr>
            </w:pPr>
            <w:r>
              <w:rPr>
                <w:b/>
                <w:color w:val="FFFFFF"/>
                <w:sz w:val="16"/>
              </w:rPr>
              <w:t>Applikation</w:t>
            </w:r>
          </w:p>
        </w:tc>
        <w:tc>
          <w:tcPr>
            <w:tcW w:w="6810" w:type="dxa"/>
            <w:tcBorders>
              <w:top w:val="nil"/>
              <w:left w:val="nil"/>
              <w:bottom w:val="nil"/>
              <w:right w:val="nil"/>
            </w:tcBorders>
            <w:shd w:val="clear" w:color="auto" w:fill="A7D2F5"/>
          </w:tcPr>
          <w:p>
            <w:pPr>
              <w:pStyle w:val="TableParagraph"/>
              <w:spacing w:before="52"/>
              <w:ind w:left="123"/>
              <w:rPr>
                <w:b/>
                <w:sz w:val="16"/>
              </w:rPr>
            </w:pPr>
            <w:r>
              <w:rPr>
                <w:b/>
                <w:color w:val="FFFFFF"/>
                <w:sz w:val="16"/>
              </w:rPr>
              <w:t>Beskrivelse</w:t>
            </w:r>
          </w:p>
        </w:tc>
      </w:tr>
      <w:tr>
        <w:trPr>
          <w:trHeight w:val="935" w:hRule="atLeast"/>
        </w:trPr>
        <w:tc>
          <w:tcPr>
            <w:tcW w:w="1548" w:type="dxa"/>
            <w:tcBorders>
              <w:right w:val="nil"/>
            </w:tcBorders>
          </w:tcPr>
          <w:p>
            <w:pPr>
              <w:pStyle w:val="TableParagraph"/>
              <w:ind w:left="105"/>
              <w:rPr>
                <w:b/>
                <w:sz w:val="16"/>
              </w:rPr>
            </w:pPr>
            <w:r>
              <w:rPr>
                <w:b/>
                <w:sz w:val="16"/>
              </w:rPr>
              <w:t>Tv-stationer</w:t>
            </w:r>
          </w:p>
        </w:tc>
        <w:tc>
          <w:tcPr>
            <w:tcW w:w="1423" w:type="dxa"/>
            <w:tcBorders>
              <w:left w:val="nil"/>
              <w:right w:val="nil"/>
            </w:tcBorders>
          </w:tcPr>
          <w:p>
            <w:pPr>
              <w:pStyle w:val="TableParagraph"/>
              <w:spacing w:line="264" w:lineRule="auto"/>
              <w:ind w:left="127" w:right="219"/>
              <w:rPr>
                <w:sz w:val="16"/>
              </w:rPr>
            </w:pPr>
            <w:r>
              <w:rPr>
                <w:sz w:val="16"/>
              </w:rPr>
              <w:t>Transmission af direkte tv</w:t>
            </w:r>
          </w:p>
        </w:tc>
        <w:tc>
          <w:tcPr>
            <w:tcW w:w="6810" w:type="dxa"/>
            <w:tcBorders>
              <w:left w:val="nil"/>
            </w:tcBorders>
          </w:tcPr>
          <w:p>
            <w:pPr>
              <w:pStyle w:val="TableParagraph"/>
              <w:spacing w:line="264" w:lineRule="auto"/>
              <w:ind w:left="123" w:right="185"/>
              <w:rPr>
                <w:sz w:val="16"/>
              </w:rPr>
            </w:pPr>
            <w:r>
              <w:rPr>
                <w:sz w:val="16"/>
              </w:rPr>
              <w:t>Direkte tv fra lokaliteter uden for studiet transmitteres gennem Outside Bro- adcast (OB)-vogne, som skaber forbindelse mellem optageudstyr og transmissi- onsnettet. Nyhedsudsendelser viser fra tid til anden interviews via internettet (Skype), og forskellen i kvalitet er tydelig.</w:t>
            </w:r>
          </w:p>
        </w:tc>
      </w:tr>
      <w:tr>
        <w:trPr>
          <w:trHeight w:val="1365" w:hRule="atLeast"/>
        </w:trPr>
        <w:tc>
          <w:tcPr>
            <w:tcW w:w="1548" w:type="dxa"/>
            <w:tcBorders>
              <w:right w:val="nil"/>
            </w:tcBorders>
          </w:tcPr>
          <w:p>
            <w:pPr>
              <w:pStyle w:val="TableParagraph"/>
              <w:ind w:left="105"/>
              <w:rPr>
                <w:b/>
                <w:sz w:val="16"/>
              </w:rPr>
            </w:pPr>
            <w:r>
              <w:rPr>
                <w:b/>
                <w:sz w:val="16"/>
              </w:rPr>
              <w:t>Havtransport</w:t>
            </w:r>
          </w:p>
        </w:tc>
        <w:tc>
          <w:tcPr>
            <w:tcW w:w="1423" w:type="dxa"/>
            <w:tcBorders>
              <w:left w:val="nil"/>
              <w:right w:val="nil"/>
            </w:tcBorders>
          </w:tcPr>
          <w:p>
            <w:pPr>
              <w:pStyle w:val="TableParagraph"/>
              <w:spacing w:line="264" w:lineRule="auto"/>
              <w:ind w:left="127" w:right="345"/>
              <w:rPr>
                <w:sz w:val="16"/>
              </w:rPr>
            </w:pPr>
            <w:r>
              <w:rPr>
                <w:sz w:val="16"/>
              </w:rPr>
              <w:t>Rederier og lystsejlere</w:t>
            </w:r>
          </w:p>
        </w:tc>
        <w:tc>
          <w:tcPr>
            <w:tcW w:w="6810" w:type="dxa"/>
            <w:tcBorders>
              <w:left w:val="nil"/>
            </w:tcBorders>
          </w:tcPr>
          <w:p>
            <w:pPr>
              <w:pStyle w:val="TableParagraph"/>
              <w:spacing w:line="264" w:lineRule="auto"/>
              <w:ind w:left="123" w:right="110"/>
              <w:rPr>
                <w:sz w:val="16"/>
              </w:rPr>
            </w:pPr>
            <w:r>
              <w:rPr>
                <w:sz w:val="16"/>
              </w:rPr>
              <w:t>De ovenfor beskrevne gevinster ved GNSS og JO kan kun realiseres på fragtski- be, der har adgang til information om havstrømme og uvejr og derfor kan ændre kurs. Det er derfor nødvendigt for fragtskibe at have forbindelse til hovedkonto- ret, og vigtigt at sikre, at de rigtige oplysninger er tilgængelige. Lystsejlere, der bevæger sig uden for mobildækning (eksempelvis på Atlanterhavet), anvender også satellitkommunikation.</w:t>
            </w:r>
          </w:p>
        </w:tc>
      </w:tr>
      <w:tr>
        <w:trPr>
          <w:trHeight w:val="721" w:hRule="atLeast"/>
        </w:trPr>
        <w:tc>
          <w:tcPr>
            <w:tcW w:w="1548" w:type="dxa"/>
            <w:tcBorders>
              <w:right w:val="nil"/>
            </w:tcBorders>
          </w:tcPr>
          <w:p>
            <w:pPr>
              <w:pStyle w:val="TableParagraph"/>
              <w:ind w:left="105"/>
              <w:rPr>
                <w:b/>
                <w:sz w:val="16"/>
              </w:rPr>
            </w:pPr>
            <w:r>
              <w:rPr>
                <w:b/>
                <w:sz w:val="16"/>
              </w:rPr>
              <w:t>Lufttransport</w:t>
            </w:r>
          </w:p>
        </w:tc>
        <w:tc>
          <w:tcPr>
            <w:tcW w:w="1423" w:type="dxa"/>
            <w:tcBorders>
              <w:left w:val="nil"/>
              <w:right w:val="nil"/>
            </w:tcBorders>
          </w:tcPr>
          <w:p>
            <w:pPr>
              <w:pStyle w:val="TableParagraph"/>
              <w:ind w:left="127"/>
              <w:rPr>
                <w:sz w:val="16"/>
              </w:rPr>
            </w:pPr>
            <w:r>
              <w:rPr>
                <w:sz w:val="16"/>
              </w:rPr>
              <w:t>Flyselskaber</w:t>
            </w:r>
          </w:p>
        </w:tc>
        <w:tc>
          <w:tcPr>
            <w:tcW w:w="6810" w:type="dxa"/>
            <w:tcBorders>
              <w:left w:val="nil"/>
            </w:tcBorders>
          </w:tcPr>
          <w:p>
            <w:pPr>
              <w:pStyle w:val="TableParagraph"/>
              <w:spacing w:line="264" w:lineRule="auto"/>
              <w:ind w:left="123" w:right="277"/>
              <w:jc w:val="both"/>
              <w:rPr>
                <w:sz w:val="16"/>
              </w:rPr>
            </w:pPr>
            <w:r>
              <w:rPr>
                <w:sz w:val="16"/>
              </w:rPr>
              <w:t>Kommunikation mellem flyvekontroltjenester og fly uden for rækkevidde til ra- diokommunikation finder sted via satellit, og de selskaber, der tilbyder internet til passagerer, bruger også satellitter til denne tjeneste.</w:t>
            </w:r>
          </w:p>
        </w:tc>
      </w:tr>
      <w:tr>
        <w:trPr>
          <w:trHeight w:val="1148" w:hRule="atLeast"/>
        </w:trPr>
        <w:tc>
          <w:tcPr>
            <w:tcW w:w="1548" w:type="dxa"/>
            <w:tcBorders>
              <w:right w:val="nil"/>
            </w:tcBorders>
          </w:tcPr>
          <w:p>
            <w:pPr>
              <w:pStyle w:val="TableParagraph"/>
              <w:ind w:left="105"/>
              <w:rPr>
                <w:b/>
                <w:sz w:val="16"/>
              </w:rPr>
            </w:pPr>
            <w:r>
              <w:rPr>
                <w:b/>
                <w:sz w:val="16"/>
              </w:rPr>
              <w:t>Energi</w:t>
            </w:r>
          </w:p>
        </w:tc>
        <w:tc>
          <w:tcPr>
            <w:tcW w:w="1423" w:type="dxa"/>
            <w:tcBorders>
              <w:left w:val="nil"/>
              <w:right w:val="nil"/>
            </w:tcBorders>
          </w:tcPr>
          <w:p>
            <w:pPr>
              <w:pStyle w:val="TableParagraph"/>
              <w:spacing w:line="264" w:lineRule="auto"/>
              <w:ind w:left="127" w:right="459"/>
              <w:rPr>
                <w:sz w:val="16"/>
              </w:rPr>
            </w:pPr>
            <w:r>
              <w:rPr>
                <w:sz w:val="16"/>
              </w:rPr>
              <w:t>Olie &amp; gas samt vind</w:t>
            </w:r>
          </w:p>
        </w:tc>
        <w:tc>
          <w:tcPr>
            <w:tcW w:w="6810" w:type="dxa"/>
            <w:tcBorders>
              <w:left w:val="nil"/>
            </w:tcBorders>
          </w:tcPr>
          <w:p>
            <w:pPr>
              <w:pStyle w:val="TableParagraph"/>
              <w:spacing w:line="264" w:lineRule="auto"/>
              <w:ind w:left="123" w:right="69"/>
              <w:rPr>
                <w:sz w:val="16"/>
              </w:rPr>
            </w:pPr>
            <w:r>
              <w:rPr>
                <w:sz w:val="16"/>
              </w:rPr>
              <w:t>Kommunikation ved prøveboringer i Nordsøen kræver satellitkommunikation for at sikre, at eksperter i hovedkvarteret kan analysere prøveboringerne i realtid og for at eksperterne an vejlede om retning. Offshore-vindparker bygges og service- res af medarbejdere, som kun kan kommunikere med hovedkvarteret gennem satellitkommunikation.</w:t>
            </w:r>
          </w:p>
        </w:tc>
      </w:tr>
      <w:tr>
        <w:trPr>
          <w:trHeight w:val="721" w:hRule="atLeast"/>
        </w:trPr>
        <w:tc>
          <w:tcPr>
            <w:tcW w:w="1548" w:type="dxa"/>
            <w:tcBorders>
              <w:right w:val="nil"/>
            </w:tcBorders>
          </w:tcPr>
          <w:p>
            <w:pPr>
              <w:pStyle w:val="TableParagraph"/>
              <w:ind w:left="105"/>
              <w:rPr>
                <w:b/>
                <w:sz w:val="16"/>
              </w:rPr>
            </w:pPr>
            <w:r>
              <w:rPr>
                <w:b/>
                <w:sz w:val="16"/>
              </w:rPr>
              <w:t>Vedligehold</w:t>
            </w:r>
          </w:p>
        </w:tc>
        <w:tc>
          <w:tcPr>
            <w:tcW w:w="1423" w:type="dxa"/>
            <w:tcBorders>
              <w:left w:val="nil"/>
              <w:right w:val="nil"/>
            </w:tcBorders>
          </w:tcPr>
          <w:p>
            <w:pPr>
              <w:pStyle w:val="TableParagraph"/>
              <w:spacing w:line="264" w:lineRule="auto"/>
              <w:ind w:left="127" w:right="138"/>
              <w:rPr>
                <w:sz w:val="16"/>
              </w:rPr>
            </w:pPr>
            <w:r>
              <w:rPr>
                <w:sz w:val="16"/>
              </w:rPr>
              <w:t>Aktiver uden for mobildæk- ning</w:t>
            </w:r>
          </w:p>
        </w:tc>
        <w:tc>
          <w:tcPr>
            <w:tcW w:w="6810" w:type="dxa"/>
            <w:tcBorders>
              <w:left w:val="nil"/>
            </w:tcBorders>
          </w:tcPr>
          <w:p>
            <w:pPr>
              <w:pStyle w:val="TableParagraph"/>
              <w:spacing w:line="264" w:lineRule="auto"/>
              <w:ind w:left="123" w:right="323"/>
              <w:rPr>
                <w:sz w:val="16"/>
              </w:rPr>
            </w:pPr>
            <w:r>
              <w:rPr>
                <w:sz w:val="16"/>
              </w:rPr>
              <w:t>Tilsvarende vindparker er medarbejdere, der vedligeholder andre aktiver uden for mobile dækningsområder, nødt til at bruge satellitkommunikation.</w:t>
            </w:r>
          </w:p>
        </w:tc>
      </w:tr>
      <w:tr>
        <w:trPr>
          <w:trHeight w:val="1149" w:hRule="atLeast"/>
        </w:trPr>
        <w:tc>
          <w:tcPr>
            <w:tcW w:w="1548" w:type="dxa"/>
            <w:tcBorders>
              <w:right w:val="nil"/>
            </w:tcBorders>
          </w:tcPr>
          <w:p>
            <w:pPr>
              <w:pStyle w:val="TableParagraph"/>
              <w:ind w:left="105"/>
              <w:rPr>
                <w:b/>
                <w:sz w:val="16"/>
              </w:rPr>
            </w:pPr>
            <w:r>
              <w:rPr>
                <w:b/>
                <w:sz w:val="16"/>
              </w:rPr>
              <w:t>Beredskabet</w:t>
            </w:r>
          </w:p>
        </w:tc>
        <w:tc>
          <w:tcPr>
            <w:tcW w:w="1423" w:type="dxa"/>
            <w:tcBorders>
              <w:left w:val="nil"/>
              <w:right w:val="nil"/>
            </w:tcBorders>
          </w:tcPr>
          <w:p>
            <w:pPr>
              <w:pStyle w:val="TableParagraph"/>
              <w:spacing w:line="264" w:lineRule="auto"/>
              <w:ind w:left="127" w:right="100"/>
              <w:rPr>
                <w:sz w:val="16"/>
              </w:rPr>
            </w:pPr>
            <w:r>
              <w:rPr>
                <w:sz w:val="16"/>
              </w:rPr>
              <w:t>Alternativ kommunikati- on ved ulykker</w:t>
            </w:r>
          </w:p>
        </w:tc>
        <w:tc>
          <w:tcPr>
            <w:tcW w:w="6810" w:type="dxa"/>
            <w:tcBorders>
              <w:left w:val="nil"/>
            </w:tcBorders>
          </w:tcPr>
          <w:p>
            <w:pPr>
              <w:pStyle w:val="TableParagraph"/>
              <w:spacing w:line="264" w:lineRule="auto"/>
              <w:ind w:left="123" w:right="258"/>
              <w:rPr>
                <w:sz w:val="16"/>
              </w:rPr>
            </w:pPr>
            <w:r>
              <w:rPr>
                <w:sz w:val="16"/>
              </w:rPr>
              <w:t>Når mange mennesker er samlet på ét sted, har mobilmaster ofte svært ved at klare belastningen i nødsituationer. I disse tilfælde kan et alternativt 3G/4G- netværk oprettes og sikre, at kommunikationslinjerne mellem beredskabets enheder holdes åbne, og den bedst mulige løsning af krisesituationen eksekve- res.</w:t>
            </w:r>
          </w:p>
        </w:tc>
      </w:tr>
      <w:tr>
        <w:trPr>
          <w:trHeight w:val="721" w:hRule="atLeast"/>
        </w:trPr>
        <w:tc>
          <w:tcPr>
            <w:tcW w:w="1548" w:type="dxa"/>
            <w:tcBorders>
              <w:right w:val="nil"/>
            </w:tcBorders>
          </w:tcPr>
          <w:p>
            <w:pPr>
              <w:pStyle w:val="TableParagraph"/>
              <w:spacing w:line="261" w:lineRule="auto" w:before="42"/>
              <w:ind w:left="105" w:right="105"/>
              <w:rPr>
                <w:b/>
                <w:sz w:val="16"/>
              </w:rPr>
            </w:pPr>
            <w:r>
              <w:rPr>
                <w:b/>
                <w:sz w:val="16"/>
              </w:rPr>
              <w:t>Forskere og korresponden- ter</w:t>
            </w:r>
          </w:p>
        </w:tc>
        <w:tc>
          <w:tcPr>
            <w:tcW w:w="1423" w:type="dxa"/>
            <w:tcBorders>
              <w:left w:val="nil"/>
              <w:right w:val="nil"/>
            </w:tcBorders>
          </w:tcPr>
          <w:p>
            <w:pPr>
              <w:pStyle w:val="TableParagraph"/>
              <w:spacing w:line="261" w:lineRule="auto" w:before="42"/>
              <w:ind w:left="127" w:right="229"/>
              <w:rPr>
                <w:sz w:val="16"/>
              </w:rPr>
            </w:pPr>
            <w:r>
              <w:rPr>
                <w:sz w:val="16"/>
              </w:rPr>
              <w:t>Fx i Arktis eller krigszo- ner</w:t>
            </w:r>
          </w:p>
        </w:tc>
        <w:tc>
          <w:tcPr>
            <w:tcW w:w="6810" w:type="dxa"/>
            <w:tcBorders>
              <w:left w:val="nil"/>
            </w:tcBorders>
          </w:tcPr>
          <w:p>
            <w:pPr>
              <w:pStyle w:val="TableParagraph"/>
              <w:spacing w:line="261" w:lineRule="auto" w:before="42"/>
              <w:ind w:left="123" w:right="222"/>
              <w:jc w:val="both"/>
              <w:rPr>
                <w:sz w:val="16"/>
              </w:rPr>
            </w:pPr>
            <w:r>
              <w:rPr>
                <w:sz w:val="16"/>
              </w:rPr>
              <w:t>Forskere på mission uden for mobildækning (eksempelvis i Arktis) bruger satel- litkommunikation til at holde sig i kontakt med hovedkvarteret. Krigskorrespon- denter og andre journalister uden for mobildækning bruger også satellitter.</w:t>
            </w:r>
          </w:p>
        </w:tc>
      </w:tr>
      <w:tr>
        <w:trPr>
          <w:trHeight w:val="724" w:hRule="atLeast"/>
        </w:trPr>
        <w:tc>
          <w:tcPr>
            <w:tcW w:w="1548" w:type="dxa"/>
            <w:tcBorders>
              <w:right w:val="nil"/>
            </w:tcBorders>
          </w:tcPr>
          <w:p>
            <w:pPr>
              <w:pStyle w:val="TableParagraph"/>
              <w:spacing w:line="261" w:lineRule="auto" w:before="42"/>
              <w:ind w:left="105" w:right="136"/>
              <w:rPr>
                <w:b/>
                <w:sz w:val="16"/>
              </w:rPr>
            </w:pPr>
            <w:r>
              <w:rPr>
                <w:b/>
                <w:sz w:val="16"/>
              </w:rPr>
              <w:t>Telekommuni- kationsvirk- somheder</w:t>
            </w:r>
          </w:p>
        </w:tc>
        <w:tc>
          <w:tcPr>
            <w:tcW w:w="1423" w:type="dxa"/>
            <w:tcBorders>
              <w:left w:val="nil"/>
              <w:right w:val="nil"/>
            </w:tcBorders>
          </w:tcPr>
          <w:p>
            <w:pPr>
              <w:pStyle w:val="TableParagraph"/>
              <w:spacing w:line="261" w:lineRule="auto" w:before="42"/>
              <w:ind w:left="127" w:right="159"/>
              <w:rPr>
                <w:sz w:val="16"/>
              </w:rPr>
            </w:pPr>
            <w:r>
              <w:rPr>
                <w:sz w:val="16"/>
              </w:rPr>
              <w:t>Forbindelse mellem lokale netværk</w:t>
            </w:r>
          </w:p>
        </w:tc>
        <w:tc>
          <w:tcPr>
            <w:tcW w:w="6810" w:type="dxa"/>
            <w:tcBorders>
              <w:left w:val="nil"/>
            </w:tcBorders>
          </w:tcPr>
          <w:p>
            <w:pPr>
              <w:pStyle w:val="TableParagraph"/>
              <w:spacing w:line="261" w:lineRule="auto" w:before="42"/>
              <w:ind w:left="123" w:right="406"/>
              <w:rPr>
                <w:sz w:val="16"/>
              </w:rPr>
            </w:pPr>
            <w:r>
              <w:rPr>
                <w:sz w:val="16"/>
              </w:rPr>
              <w:t>I Grønland, for eksempel, anvendes satellitkommunikation til at etablere net- værk mellem de forskellige lokale netværk omkring bygderne.</w:t>
            </w:r>
          </w:p>
        </w:tc>
      </w:tr>
    </w:tbl>
    <w:p>
      <w:pPr>
        <w:spacing w:before="48"/>
        <w:ind w:left="175" w:right="0" w:firstLine="0"/>
        <w:jc w:val="left"/>
        <w:rPr>
          <w:sz w:val="16"/>
        </w:rPr>
      </w:pPr>
      <w:r>
        <w:rPr>
          <w:sz w:val="16"/>
        </w:rPr>
        <w:t>Kilde: London Economics.</w:t>
      </w:r>
    </w:p>
    <w:p>
      <w:pPr>
        <w:pStyle w:val="BodyText"/>
        <w:spacing w:before="5"/>
        <w:rPr>
          <w:sz w:val="21"/>
        </w:rPr>
      </w:pPr>
    </w:p>
    <w:p>
      <w:pPr>
        <w:pStyle w:val="Heading2"/>
        <w:numPr>
          <w:ilvl w:val="1"/>
          <w:numId w:val="15"/>
        </w:numPr>
        <w:tabs>
          <w:tab w:pos="741" w:val="left" w:leader="none"/>
          <w:tab w:pos="743" w:val="left" w:leader="none"/>
        </w:tabs>
        <w:spacing w:line="240" w:lineRule="auto" w:before="0" w:after="0"/>
        <w:ind w:left="742" w:right="0" w:hanging="624"/>
        <w:jc w:val="left"/>
      </w:pPr>
      <w:bookmarkStart w:name="_bookmark53" w:id="54"/>
      <w:bookmarkEnd w:id="54"/>
      <w:r>
        <w:rPr/>
        <w:t>I</w:t>
      </w:r>
      <w:r>
        <w:rPr/>
        <w:t>ntegrerede applikationer</w:t>
      </w:r>
    </w:p>
    <w:p>
      <w:pPr>
        <w:pStyle w:val="BodyText"/>
        <w:spacing w:line="264" w:lineRule="auto" w:before="22"/>
        <w:ind w:left="742" w:right="1167"/>
      </w:pPr>
      <w:r>
        <w:rPr/>
        <w:t>Denne rapport har beskrevet anvendelsen af rummet data og produkter ud fra tre forskellige tek- nologier: Jordobservation, navigation og kommunikation, men som </w:t>
      </w:r>
      <w:hyperlink w:history="true" w:anchor="_bookmark46">
        <w:r>
          <w:rPr/>
          <w:t>Tabel 12</w:t>
        </w:r>
      </w:hyperlink>
      <w:r>
        <w:rPr/>
        <w:t>, </w:t>
      </w:r>
      <w:hyperlink w:history="true" w:anchor="_bookmark49">
        <w:r>
          <w:rPr/>
          <w:t>Tabel 13 </w:t>
        </w:r>
      </w:hyperlink>
      <w:r>
        <w:rPr/>
        <w:t>og </w:t>
      </w:r>
      <w:hyperlink w:history="true" w:anchor="_bookmark52">
        <w:r>
          <w:rPr/>
          <w:t>Tabel 14</w:t>
        </w:r>
      </w:hyperlink>
      <w:r>
        <w:rPr/>
        <w:t> indikerer (navnlig for havtransport og landbrug), er der yderligere gevinster at hente, hvis man kombinerer de forskellige teknologier. ESA’s Integrated Applications Programme</w:t>
      </w:r>
      <w:r>
        <w:rPr>
          <w:w w:val="99"/>
          <w:position w:val="6"/>
          <w:sz w:val="8"/>
        </w:rPr>
        <w:t>112</w:t>
      </w:r>
      <w:r>
        <w:rPr>
          <w:position w:val="6"/>
          <w:sz w:val="8"/>
        </w:rPr>
        <w:t>  </w:t>
      </w:r>
      <w:r>
        <w:rPr/>
        <w:t>er et andet ek- sempel på, hvordan man søger at forbedre udbyttet af rumapplikationer ved at kombinere teknolo- gier. Afsnit </w:t>
      </w:r>
      <w:hyperlink w:history="true" w:anchor="_bookmark62">
        <w:r>
          <w:rPr/>
          <w:t>7.8 </w:t>
        </w:r>
      </w:hyperlink>
      <w:r>
        <w:rPr/>
        <w:t>illustrerer et bredt casestudie om anvendelse af mange forskellige satellittjenester til brug ved byudvikling.</w:t>
      </w:r>
    </w:p>
    <w:p>
      <w:pPr>
        <w:pStyle w:val="BodyText"/>
        <w:spacing w:before="5"/>
      </w:pPr>
      <w:r>
        <w:rPr/>
        <w:pict>
          <v:line style="position:absolute;mso-position-horizontal-relative:page;mso-position-vertical-relative:paragraph;z-index:5408;mso-wrap-distance-left:0;mso-wrap-distance-right:0" from="85.103996pt,13.39584pt" to="229.123996pt,13.39584pt" stroked="true" strokeweight=".48004pt" strokecolor="#000000">
            <v:stroke dashstyle="solid"/>
            <w10:wrap type="topAndBottom"/>
          </v:line>
        </w:pict>
      </w:r>
    </w:p>
    <w:p>
      <w:pPr>
        <w:spacing w:before="99"/>
        <w:ind w:left="742" w:right="0" w:firstLine="0"/>
        <w:jc w:val="left"/>
        <w:rPr>
          <w:sz w:val="13"/>
        </w:rPr>
      </w:pPr>
      <w:r>
        <w:rPr>
          <w:position w:val="6"/>
          <w:sz w:val="8"/>
        </w:rPr>
        <w:t>112 </w:t>
      </w:r>
      <w:hyperlink r:id="rId135">
        <w:r>
          <w:rPr>
            <w:color w:val="009DDF"/>
            <w:sz w:val="13"/>
          </w:rPr>
          <w:t>http://www.esa.int/Our_Activities/Telecommunications_Integrated_Applications/Integrated_Applications_Promotion_IAP</w:t>
        </w:r>
      </w:hyperlink>
    </w:p>
    <w:p>
      <w:pPr>
        <w:spacing w:after="0"/>
        <w:jc w:val="left"/>
        <w:rPr>
          <w:sz w:val="13"/>
        </w:rPr>
        <w:sectPr>
          <w:pgSz w:w="11910" w:h="16840"/>
          <w:pgMar w:header="0" w:footer="619" w:top="1580" w:bottom="800" w:left="960" w:right="0"/>
        </w:sectPr>
      </w:pPr>
    </w:p>
    <w:p>
      <w:pPr>
        <w:pStyle w:val="Heading1"/>
        <w:numPr>
          <w:ilvl w:val="0"/>
          <w:numId w:val="15"/>
        </w:numPr>
        <w:tabs>
          <w:tab w:pos="741" w:val="left" w:leader="none"/>
          <w:tab w:pos="743" w:val="left" w:leader="none"/>
        </w:tabs>
        <w:spacing w:line="254" w:lineRule="auto" w:before="110" w:after="0"/>
        <w:ind w:left="742" w:right="1710" w:hanging="624"/>
        <w:jc w:val="left"/>
      </w:pPr>
      <w:bookmarkStart w:name="_bookmark54" w:id="55"/>
      <w:bookmarkEnd w:id="55"/>
      <w:r>
        <w:rPr>
          <w:color w:val="009DDF"/>
        </w:rPr>
        <w:t>MYN</w:t>
      </w:r>
      <w:r>
        <w:rPr>
          <w:color w:val="009DDF"/>
        </w:rPr>
        <w:t>DIGHEDERNES BEHOV FOR DATA OG PRODUKTER FRA</w:t>
      </w:r>
      <w:r>
        <w:rPr>
          <w:color w:val="009DDF"/>
          <w:spacing w:val="-3"/>
        </w:rPr>
        <w:t> </w:t>
      </w:r>
      <w:r>
        <w:rPr>
          <w:color w:val="009DDF"/>
        </w:rPr>
        <w:t>RUMOMRÅDET</w:t>
      </w:r>
    </w:p>
    <w:p>
      <w:pPr>
        <w:pStyle w:val="BodyText"/>
        <w:spacing w:line="264" w:lineRule="auto" w:before="255"/>
        <w:ind w:left="742" w:right="1184"/>
      </w:pPr>
      <w:r>
        <w:rPr/>
        <w:pict>
          <v:shape style="position:absolute;margin-left:302.829987pt;margin-top:68.478333pt;width:241.25pt;height:324.650pt;mso-position-horizontal-relative:page;mso-position-vertical-relative:paragraph;z-index:-176224" type="#_x0000_t202" filled="false" stroked="true" strokeweight=".47998pt" strokecolor="#000000">
            <v:textbox inset="0,0,0,0">
              <w:txbxContent>
                <w:p>
                  <w:pPr>
                    <w:spacing w:before="48"/>
                    <w:ind w:left="103" w:right="0" w:firstLine="0"/>
                    <w:jc w:val="left"/>
                    <w:rPr>
                      <w:b/>
                      <w:sz w:val="16"/>
                    </w:rPr>
                  </w:pPr>
                  <w:r>
                    <w:rPr>
                      <w:b/>
                      <w:color w:val="009DDF"/>
                      <w:sz w:val="16"/>
                    </w:rPr>
                    <w:t>Kontoret for rum</w:t>
                  </w:r>
                </w:p>
                <w:p>
                  <w:pPr>
                    <w:spacing w:line="295" w:lineRule="auto" w:before="45"/>
                    <w:ind w:left="103" w:right="110" w:firstLine="0"/>
                    <w:jc w:val="left"/>
                    <w:rPr>
                      <w:sz w:val="16"/>
                    </w:rPr>
                  </w:pPr>
                  <w:r>
                    <w:rPr>
                      <w:sz w:val="16"/>
                    </w:rPr>
                    <w:t>Som et led i indsatsen for at styrke varetagelsen af rumområdet er der blevet etableret et nyt kontor for rum i Styrelsen for Forskning og Innovation. Kontoret varetager myndighedsopgaven vedrørende rummet, dvs. opgaver i forbindelse med regulering af danske aktiviteter i det ydre rum, herunder spørgsmål vedrø- rende godkendelse, kontrol og registrering af opsendelse af rumgenstande, ansvaret for deltagelse i internationalt samarbejde om aktiviteter i det ydre rum samt for koor- dinering og samarbejde mellem danske myndigheder med rumrelaterede</w:t>
                  </w:r>
                  <w:r>
                    <w:rPr>
                      <w:spacing w:val="-4"/>
                      <w:sz w:val="16"/>
                    </w:rPr>
                    <w:t> </w:t>
                  </w:r>
                  <w:r>
                    <w:rPr>
                      <w:sz w:val="16"/>
                    </w:rPr>
                    <w:t>ansvarsområder.</w:t>
                  </w:r>
                </w:p>
                <w:p>
                  <w:pPr>
                    <w:pStyle w:val="BodyText"/>
                    <w:spacing w:before="7"/>
                    <w:rPr>
                      <w:sz w:val="20"/>
                    </w:rPr>
                  </w:pPr>
                </w:p>
                <w:p>
                  <w:pPr>
                    <w:spacing w:line="295" w:lineRule="auto" w:before="0"/>
                    <w:ind w:left="103" w:right="212" w:firstLine="0"/>
                    <w:jc w:val="left"/>
                    <w:rPr>
                      <w:sz w:val="16"/>
                    </w:rPr>
                  </w:pPr>
                  <w:r>
                    <w:rPr>
                      <w:sz w:val="16"/>
                    </w:rPr>
                    <w:t>Nationalt skal kontoret aktivt og opsøgende under- støtte, koordinere og igangsætte rumområdets potenti- elle vækst hos virksomheder og myndigheder på et strategisk grundlag. Det strategiske og analytiske grundlag skal løbende vedligeholdes og udbygges i ko- ordination med relevante</w:t>
                  </w:r>
                  <w:r>
                    <w:rPr>
                      <w:spacing w:val="-4"/>
                      <w:sz w:val="16"/>
                    </w:rPr>
                    <w:t> </w:t>
                  </w:r>
                  <w:r>
                    <w:rPr>
                      <w:sz w:val="16"/>
                    </w:rPr>
                    <w:t>ministerier.</w:t>
                  </w:r>
                </w:p>
                <w:p>
                  <w:pPr>
                    <w:pStyle w:val="BodyText"/>
                    <w:spacing w:before="1"/>
                    <w:rPr>
                      <w:sz w:val="20"/>
                    </w:rPr>
                  </w:pPr>
                </w:p>
                <w:p>
                  <w:pPr>
                    <w:spacing w:line="295" w:lineRule="auto" w:before="1"/>
                    <w:ind w:left="103" w:right="192" w:firstLine="0"/>
                    <w:jc w:val="left"/>
                    <w:rPr>
                      <w:sz w:val="16"/>
                    </w:rPr>
                  </w:pPr>
                  <w:r>
                    <w:rPr>
                      <w:sz w:val="16"/>
                    </w:rPr>
                    <w:t>Internationalt omfatter ansvarsområdet samarbejde i blandt andet EU og FN-organisationer. På europæisk plan omfatter ansvarsområdet opfølgning på Lissabon- traktaten, herunder Horizon 2020, industripolitik på rumområdet, store europæiske rumprogrammer som Copernicus samt samarbejdet i European Space Agency</w:t>
                  </w:r>
                </w:p>
                <w:p>
                  <w:pPr>
                    <w:spacing w:before="5"/>
                    <w:ind w:left="103" w:right="0" w:firstLine="0"/>
                    <w:jc w:val="left"/>
                    <w:rPr>
                      <w:sz w:val="16"/>
                    </w:rPr>
                  </w:pPr>
                  <w:r>
                    <w:rPr>
                      <w:sz w:val="16"/>
                    </w:rPr>
                    <w:t>og Danmarks medlemskab heraf.</w:t>
                  </w:r>
                </w:p>
              </w:txbxContent>
            </v:textbox>
            <v:stroke dashstyle="solid"/>
            <w10:wrap type="none"/>
          </v:shape>
        </w:pict>
      </w:r>
      <w:r>
        <w:rPr/>
        <w:t>Den 8. maj 2015 fik uddannelses- og forskningsministeren ved kongelig resolution overdraget det ressortmæssige ansvar for 1) sager vedrørende regulering af danske aktiviteter i det ydre rum, 2) deltagelse i internationalt samarbejde om aktiviteter i det ydre rum og 3) koordinering og samar- bejde mellem danske myndigheder med rumrelaterede ansvarsområder. Tidligere har der ikke væ- ret en ansvarlig myndighed til at håndtere</w:t>
      </w:r>
    </w:p>
    <w:p>
      <w:pPr>
        <w:pStyle w:val="BodyText"/>
        <w:spacing w:line="216" w:lineRule="exact"/>
        <w:ind w:left="742"/>
      </w:pPr>
      <w:r>
        <w:rPr/>
        <w:t>danske aktiviteter i det ydre rum.</w:t>
      </w:r>
    </w:p>
    <w:p>
      <w:pPr>
        <w:pStyle w:val="BodyText"/>
        <w:spacing w:before="6"/>
        <w:rPr>
          <w:sz w:val="21"/>
        </w:rPr>
      </w:pPr>
    </w:p>
    <w:p>
      <w:pPr>
        <w:pStyle w:val="BodyText"/>
        <w:spacing w:line="264" w:lineRule="auto"/>
        <w:ind w:left="742" w:right="6026"/>
      </w:pPr>
      <w:r>
        <w:rPr/>
        <w:t>Uddannelses- og Forskningsministeriet fik i den forbindelse til opgave af regeringen at nedsætte en tværministeriel arbejdsgruppe, som dels skulle komme med forslag til kon- kret organisering af det formelle myndig- hedssamarbejde, herunder strategisk samar- bejde mellem danske myndigheder, der ud- nytter rum- og satellitdata, dels at udarbejde et grundlag for et forslag til lov om regulering af danske aktiviteter i rummet til gennemfø- relse af Danmarks internationale forpligtel- ser.</w:t>
      </w:r>
    </w:p>
    <w:p>
      <w:pPr>
        <w:pStyle w:val="BodyText"/>
        <w:spacing w:before="2"/>
        <w:rPr>
          <w:sz w:val="19"/>
        </w:rPr>
      </w:pPr>
    </w:p>
    <w:p>
      <w:pPr>
        <w:pStyle w:val="BodyText"/>
        <w:spacing w:line="264" w:lineRule="auto"/>
        <w:ind w:left="742" w:right="6049"/>
      </w:pPr>
      <w:r>
        <w:rPr/>
        <w:t>I november 2015 præsenterede arbejdsgrup- pen sin rapport ("Kortlægning af rumområdet i Danmark – Rapport fra den tværministeriel- le arbejdsgruppe om rummet") og dermed også sine anbefalinger.</w:t>
      </w:r>
    </w:p>
    <w:p>
      <w:pPr>
        <w:pStyle w:val="BodyText"/>
        <w:spacing w:before="6"/>
        <w:rPr>
          <w:sz w:val="19"/>
        </w:rPr>
      </w:pPr>
    </w:p>
    <w:p>
      <w:pPr>
        <w:pStyle w:val="BodyText"/>
        <w:spacing w:line="264" w:lineRule="auto"/>
        <w:ind w:left="742" w:right="6019"/>
      </w:pPr>
      <w:r>
        <w:rPr/>
        <w:t>I forhold til det organisatoriske set-up for myndighedssamarbejdet anbefalede arbejds- gruppen en række strukturelle tiltag, uden ændringer på den ressortmæssige forankring. Disse tiltag omfatter bl.a. følgende:</w:t>
      </w:r>
    </w:p>
    <w:p>
      <w:pPr>
        <w:pStyle w:val="BodyText"/>
        <w:spacing w:before="6"/>
        <w:rPr>
          <w:sz w:val="19"/>
        </w:rPr>
      </w:pPr>
    </w:p>
    <w:p>
      <w:pPr>
        <w:pStyle w:val="ListParagraph"/>
        <w:numPr>
          <w:ilvl w:val="0"/>
          <w:numId w:val="16"/>
        </w:numPr>
        <w:tabs>
          <w:tab w:pos="1082" w:val="left" w:leader="none"/>
          <w:tab w:pos="1083" w:val="left" w:leader="none"/>
        </w:tabs>
        <w:spacing w:line="261" w:lineRule="auto" w:before="0" w:after="0"/>
        <w:ind w:left="1082" w:right="1137" w:hanging="340"/>
        <w:jc w:val="left"/>
        <w:rPr>
          <w:sz w:val="18"/>
        </w:rPr>
      </w:pPr>
      <w:r>
        <w:rPr>
          <w:sz w:val="18"/>
        </w:rPr>
        <w:t>at der i Uddannelses- og Forskningsministeriet udbygges kompetencer, der aktivt og opsøgende kan understøtte, koordinere og igangsætte områdets potentielle vækst hos virksomheder og myndigheder.</w:t>
      </w:r>
    </w:p>
    <w:p>
      <w:pPr>
        <w:pStyle w:val="ListParagraph"/>
        <w:numPr>
          <w:ilvl w:val="0"/>
          <w:numId w:val="16"/>
        </w:numPr>
        <w:tabs>
          <w:tab w:pos="1082" w:val="left" w:leader="none"/>
          <w:tab w:pos="1083" w:val="left" w:leader="none"/>
        </w:tabs>
        <w:spacing w:line="261" w:lineRule="auto" w:before="3" w:after="0"/>
        <w:ind w:left="1082" w:right="1278" w:hanging="340"/>
        <w:jc w:val="left"/>
        <w:rPr>
          <w:sz w:val="18"/>
        </w:rPr>
      </w:pPr>
      <w:r>
        <w:rPr>
          <w:sz w:val="18"/>
        </w:rPr>
        <w:t>at der oprettes et permanent tværgående udvalg for myndighedsvaretagelsen på rumområdet ("Udvalget for rumrelateret myndighedsvaretagelse") med henblik på at understøtte, at de re- levante myndigheder opdaterer hinanden om den seneste udvikling, aktiviteter og trends, at understøtte koordination på tværs</w:t>
      </w:r>
      <w:r>
        <w:rPr>
          <w:spacing w:val="-5"/>
          <w:sz w:val="18"/>
        </w:rPr>
        <w:t> </w:t>
      </w:r>
      <w:r>
        <w:rPr>
          <w:sz w:val="18"/>
        </w:rPr>
        <w:t>mv.</w:t>
      </w:r>
    </w:p>
    <w:p>
      <w:pPr>
        <w:pStyle w:val="ListParagraph"/>
        <w:numPr>
          <w:ilvl w:val="0"/>
          <w:numId w:val="16"/>
        </w:numPr>
        <w:tabs>
          <w:tab w:pos="1082" w:val="left" w:leader="none"/>
          <w:tab w:pos="1083" w:val="left" w:leader="none"/>
        </w:tabs>
        <w:spacing w:line="261" w:lineRule="auto" w:before="4" w:after="0"/>
        <w:ind w:left="1082" w:right="1433" w:hanging="340"/>
        <w:jc w:val="left"/>
        <w:rPr>
          <w:sz w:val="18"/>
        </w:rPr>
      </w:pPr>
      <w:r>
        <w:rPr>
          <w:sz w:val="18"/>
        </w:rPr>
        <w:t>at der etableres en række undergrupper til det permanente udvalg med henblik på at under- støtte den daglige og praktiske koordinering på faglige</w:t>
      </w:r>
      <w:r>
        <w:rPr>
          <w:spacing w:val="-14"/>
          <w:sz w:val="18"/>
        </w:rPr>
        <w:t> </w:t>
      </w:r>
      <w:r>
        <w:rPr>
          <w:sz w:val="18"/>
        </w:rPr>
        <w:t>underområder.</w:t>
      </w:r>
    </w:p>
    <w:p>
      <w:pPr>
        <w:pStyle w:val="BodyText"/>
        <w:spacing w:before="11"/>
        <w:rPr>
          <w:sz w:val="19"/>
        </w:rPr>
      </w:pPr>
    </w:p>
    <w:p>
      <w:pPr>
        <w:pStyle w:val="BodyText"/>
        <w:spacing w:line="264" w:lineRule="auto"/>
        <w:ind w:left="742" w:right="1293"/>
      </w:pPr>
      <w:r>
        <w:rPr/>
        <w:t>Myndighedsvaretagelsen, og dermed ansvaret for dansk udbytte af rumområdet er i dag således fordelt mellem en række ministerier, der hver især bidrager med kompetencer inden for deres re- spektive fagområder, og som i større eller mindre grad anvender rumbaserede systemer.</w:t>
      </w:r>
    </w:p>
    <w:p>
      <w:pPr>
        <w:pStyle w:val="BodyText"/>
        <w:spacing w:before="7"/>
        <w:rPr>
          <w:sz w:val="19"/>
        </w:rPr>
      </w:pPr>
    </w:p>
    <w:p>
      <w:pPr>
        <w:pStyle w:val="BodyText"/>
        <w:spacing w:line="264" w:lineRule="auto"/>
        <w:ind w:left="742" w:right="1188"/>
      </w:pPr>
      <w:r>
        <w:rPr/>
        <w:t>Som et led i det samlede analyse- og evidensgrundlag er der således gennemført en afdækning af de danske myndigheders nuværende og fremtidige behov for anvendelse af rumbaserede data og produkter. Afdækningen er dels baseret på eksisterende viden om den aktuelle myndighedsvareta-</w:t>
      </w:r>
    </w:p>
    <w:p>
      <w:pPr>
        <w:spacing w:after="0" w:line="264" w:lineRule="auto"/>
        <w:sectPr>
          <w:pgSz w:w="11910" w:h="16840"/>
          <w:pgMar w:header="0" w:footer="619" w:top="1580" w:bottom="800" w:left="960" w:right="0"/>
        </w:sectPr>
      </w:pPr>
    </w:p>
    <w:p>
      <w:pPr>
        <w:pStyle w:val="BodyText"/>
        <w:spacing w:line="264" w:lineRule="auto" w:before="126"/>
        <w:ind w:left="742" w:right="1198"/>
      </w:pPr>
      <w:r>
        <w:rPr/>
        <w:t>gelse og myndighedernes rumrelaterede aktiviteter, dels på interview med repræsentanter for res- sortministerierne, tilknyttede styrelser og statslige aktører.</w:t>
      </w:r>
    </w:p>
    <w:p>
      <w:pPr>
        <w:pStyle w:val="BodyText"/>
        <w:spacing w:before="8"/>
        <w:rPr>
          <w:sz w:val="19"/>
        </w:rPr>
      </w:pPr>
    </w:p>
    <w:p>
      <w:pPr>
        <w:pStyle w:val="BodyText"/>
        <w:ind w:left="742"/>
      </w:pPr>
      <w:r>
        <w:rPr/>
        <w:t>Der er som led i afdækningen således gennemført interview med repræsentanter for:</w:t>
      </w:r>
    </w:p>
    <w:p>
      <w:pPr>
        <w:pStyle w:val="ListParagraph"/>
        <w:numPr>
          <w:ilvl w:val="0"/>
          <w:numId w:val="16"/>
        </w:numPr>
        <w:tabs>
          <w:tab w:pos="1082" w:val="left" w:leader="none"/>
          <w:tab w:pos="1083" w:val="left" w:leader="none"/>
        </w:tabs>
        <w:spacing w:line="240" w:lineRule="auto" w:before="21" w:after="0"/>
        <w:ind w:left="1082" w:right="0" w:hanging="340"/>
        <w:jc w:val="left"/>
        <w:rPr>
          <w:sz w:val="18"/>
        </w:rPr>
      </w:pPr>
      <w:r>
        <w:rPr>
          <w:sz w:val="18"/>
        </w:rPr>
        <w:t>Danmarks Meteorologiske Institut (under Energi-, Forsynings- og</w:t>
      </w:r>
      <w:r>
        <w:rPr>
          <w:spacing w:val="-15"/>
          <w:sz w:val="18"/>
        </w:rPr>
        <w:t> </w:t>
      </w:r>
      <w:r>
        <w:rPr>
          <w:sz w:val="18"/>
        </w:rPr>
        <w:t>Klimaministeriet)</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Digitaliseringsstyrelsen (under</w:t>
      </w:r>
      <w:r>
        <w:rPr>
          <w:spacing w:val="-4"/>
          <w:sz w:val="18"/>
        </w:rPr>
        <w:t> </w:t>
      </w:r>
      <w:r>
        <w:rPr>
          <w:sz w:val="18"/>
        </w:rPr>
        <w:t>Finansministeriet)</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Forsvarsministeriet</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Kriminalforsorgen</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NaturErhvervstyrelsen (under Miljø- og</w:t>
      </w:r>
      <w:r>
        <w:rPr>
          <w:spacing w:val="-9"/>
          <w:sz w:val="18"/>
        </w:rPr>
        <w:t> </w:t>
      </w:r>
      <w:r>
        <w:rPr>
          <w:sz w:val="18"/>
        </w:rPr>
        <w:t>Fødevareministeriet)</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Styrelsen for Dataforsyning og</w:t>
      </w:r>
      <w:r>
        <w:rPr>
          <w:spacing w:val="-6"/>
          <w:sz w:val="18"/>
        </w:rPr>
        <w:t> </w:t>
      </w:r>
      <w:r>
        <w:rPr>
          <w:sz w:val="18"/>
        </w:rPr>
        <w:t>Effektivisering</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Søfartsstyrelsen (under Erhvervs- og</w:t>
      </w:r>
      <w:r>
        <w:rPr>
          <w:spacing w:val="-7"/>
          <w:sz w:val="18"/>
        </w:rPr>
        <w:t> </w:t>
      </w:r>
      <w:r>
        <w:rPr>
          <w:sz w:val="18"/>
        </w:rPr>
        <w:t>Vækstministeriet)</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Trafik- og Byggestyrelsen (under Transport- og</w:t>
      </w:r>
      <w:r>
        <w:rPr>
          <w:spacing w:val="-9"/>
          <w:sz w:val="18"/>
        </w:rPr>
        <w:t> </w:t>
      </w:r>
      <w:r>
        <w:rPr>
          <w:sz w:val="18"/>
        </w:rPr>
        <w:t>Bygningsministeriet)</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NAVIAIR (under Transport- og</w:t>
      </w:r>
      <w:r>
        <w:rPr>
          <w:spacing w:val="-4"/>
          <w:sz w:val="18"/>
        </w:rPr>
        <w:t> </w:t>
      </w:r>
      <w:r>
        <w:rPr>
          <w:sz w:val="18"/>
        </w:rPr>
        <w:t>Bygningsministeriet).</w:t>
      </w:r>
    </w:p>
    <w:p>
      <w:pPr>
        <w:pStyle w:val="BodyText"/>
        <w:spacing w:before="4"/>
        <w:rPr>
          <w:sz w:val="21"/>
        </w:rPr>
      </w:pPr>
    </w:p>
    <w:p>
      <w:pPr>
        <w:pStyle w:val="BodyText"/>
        <w:spacing w:line="264" w:lineRule="auto" w:before="1"/>
        <w:ind w:left="742" w:right="1263"/>
      </w:pPr>
      <w:r>
        <w:rPr/>
        <w:t>Som nævnt under afdækningen af rumområdet i dag sker anvendelse af rumteknologi og -data i dag som en integreret del af flere kerneopgaver i en række ministerier og styrelser. Interviewene med statslige myndigheder og aktører peger på, at myndighedernes nuværende og fremtidige be- hov for data og produkter fra rumområdet i særlig grad vedrører følgende områder:</w:t>
      </w:r>
    </w:p>
    <w:p>
      <w:pPr>
        <w:pStyle w:val="BodyText"/>
        <w:spacing w:before="6"/>
        <w:rPr>
          <w:sz w:val="19"/>
        </w:rPr>
      </w:pPr>
    </w:p>
    <w:p>
      <w:pPr>
        <w:pStyle w:val="ListParagraph"/>
        <w:numPr>
          <w:ilvl w:val="0"/>
          <w:numId w:val="16"/>
        </w:numPr>
        <w:tabs>
          <w:tab w:pos="1082" w:val="left" w:leader="none"/>
          <w:tab w:pos="1083" w:val="left" w:leader="none"/>
        </w:tabs>
        <w:spacing w:line="240" w:lineRule="auto" w:before="1" w:after="0"/>
        <w:ind w:left="1082" w:right="0" w:hanging="340"/>
        <w:jc w:val="left"/>
        <w:rPr>
          <w:sz w:val="18"/>
        </w:rPr>
      </w:pPr>
      <w:r>
        <w:rPr>
          <w:sz w:val="18"/>
        </w:rPr>
        <w:t>Jordobservation</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Satellitnavigation</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Sikkerhed og</w:t>
      </w:r>
      <w:r>
        <w:rPr>
          <w:spacing w:val="-3"/>
          <w:sz w:val="18"/>
        </w:rPr>
        <w:t> </w:t>
      </w:r>
      <w:r>
        <w:rPr>
          <w:sz w:val="18"/>
        </w:rPr>
        <w:t>beredskab</w:t>
      </w:r>
    </w:p>
    <w:p>
      <w:pPr>
        <w:pStyle w:val="ListParagraph"/>
        <w:numPr>
          <w:ilvl w:val="0"/>
          <w:numId w:val="16"/>
        </w:numPr>
        <w:tabs>
          <w:tab w:pos="1082" w:val="left" w:leader="none"/>
          <w:tab w:pos="1083" w:val="left" w:leader="none"/>
        </w:tabs>
        <w:spacing w:line="240" w:lineRule="auto" w:before="19" w:after="0"/>
        <w:ind w:left="1082" w:right="0" w:hanging="340"/>
        <w:jc w:val="left"/>
        <w:rPr>
          <w:sz w:val="18"/>
        </w:rPr>
      </w:pPr>
      <w:r>
        <w:rPr>
          <w:sz w:val="18"/>
        </w:rPr>
        <w:t>Telekommunikation</w:t>
      </w:r>
    </w:p>
    <w:p>
      <w:pPr>
        <w:pStyle w:val="ListParagraph"/>
        <w:numPr>
          <w:ilvl w:val="0"/>
          <w:numId w:val="16"/>
        </w:numPr>
        <w:tabs>
          <w:tab w:pos="1082" w:val="left" w:leader="none"/>
          <w:tab w:pos="1083" w:val="left" w:leader="none"/>
        </w:tabs>
        <w:spacing w:line="240" w:lineRule="auto" w:before="20" w:after="0"/>
        <w:ind w:left="1082" w:right="0" w:hanging="340"/>
        <w:jc w:val="left"/>
        <w:rPr>
          <w:sz w:val="18"/>
        </w:rPr>
      </w:pPr>
      <w:r>
        <w:rPr>
          <w:sz w:val="18"/>
        </w:rPr>
        <w:t>Arktiske</w:t>
      </w:r>
      <w:r>
        <w:rPr>
          <w:spacing w:val="-2"/>
          <w:sz w:val="18"/>
        </w:rPr>
        <w:t> </w:t>
      </w:r>
      <w:r>
        <w:rPr>
          <w:sz w:val="18"/>
        </w:rPr>
        <w:t>initiativer.</w:t>
      </w:r>
    </w:p>
    <w:p>
      <w:pPr>
        <w:pStyle w:val="BodyText"/>
        <w:spacing w:before="4"/>
        <w:rPr>
          <w:sz w:val="21"/>
        </w:rPr>
      </w:pPr>
    </w:p>
    <w:p>
      <w:pPr>
        <w:pStyle w:val="BodyText"/>
        <w:ind w:left="742"/>
      </w:pPr>
      <w:r>
        <w:rPr/>
        <w:t>I det følgende gennemgår vi myndighedernes nuværende og fremtidige behov for rumdata og</w:t>
      </w:r>
    </w:p>
    <w:p>
      <w:pPr>
        <w:pStyle w:val="BodyText"/>
        <w:spacing w:before="21"/>
        <w:ind w:left="742"/>
      </w:pPr>
      <w:r>
        <w:rPr/>
        <w:t>-produkter.</w:t>
      </w:r>
    </w:p>
    <w:p>
      <w:pPr>
        <w:pStyle w:val="BodyText"/>
        <w:spacing w:before="6"/>
        <w:rPr>
          <w:sz w:val="21"/>
        </w:rPr>
      </w:pPr>
    </w:p>
    <w:p>
      <w:pPr>
        <w:pStyle w:val="ListParagraph"/>
        <w:numPr>
          <w:ilvl w:val="1"/>
          <w:numId w:val="15"/>
        </w:numPr>
        <w:tabs>
          <w:tab w:pos="741" w:val="left" w:leader="none"/>
          <w:tab w:pos="743" w:val="left" w:leader="none"/>
        </w:tabs>
        <w:spacing w:line="264" w:lineRule="auto" w:before="0" w:after="0"/>
        <w:ind w:left="742" w:right="5925" w:hanging="624"/>
        <w:jc w:val="left"/>
        <w:rPr>
          <w:sz w:val="18"/>
        </w:rPr>
      </w:pPr>
      <w:r>
        <w:rPr/>
        <w:pict>
          <v:shape style="position:absolute;margin-left:309.790009pt;margin-top:10.848326pt;width:234.8pt;height:179.7pt;mso-position-horizontal-relative:page;mso-position-vertical-relative:paragraph;z-index:75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1"/>
                  </w:tblGrid>
                  <w:tr>
                    <w:trPr>
                      <w:trHeight w:val="426" w:hRule="atLeast"/>
                    </w:trPr>
                    <w:tc>
                      <w:tcPr>
                        <w:tcW w:w="4681" w:type="dxa"/>
                        <w:tcBorders>
                          <w:bottom w:val="nil"/>
                        </w:tcBorders>
                      </w:tcPr>
                      <w:p>
                        <w:pPr>
                          <w:pStyle w:val="TableParagraph"/>
                          <w:spacing w:before="10"/>
                          <w:ind w:left="0"/>
                          <w:rPr>
                            <w:sz w:val="13"/>
                          </w:rPr>
                        </w:pPr>
                      </w:p>
                      <w:p>
                        <w:pPr>
                          <w:pStyle w:val="TableParagraph"/>
                          <w:spacing w:before="0"/>
                          <w:rPr>
                            <w:b/>
                            <w:sz w:val="15"/>
                          </w:rPr>
                        </w:pPr>
                        <w:r>
                          <w:rPr>
                            <w:b/>
                            <w:color w:val="009DDF"/>
                            <w:sz w:val="15"/>
                          </w:rPr>
                          <w:t>Fakta om NaturErhvervstyrelsen</w:t>
                        </w:r>
                      </w:p>
                    </w:tc>
                  </w:tr>
                  <w:tr>
                    <w:trPr>
                      <w:trHeight w:val="2572" w:hRule="atLeast"/>
                    </w:trPr>
                    <w:tc>
                      <w:tcPr>
                        <w:tcW w:w="4681" w:type="dxa"/>
                        <w:tcBorders>
                          <w:top w:val="nil"/>
                          <w:bottom w:val="nil"/>
                        </w:tcBorders>
                      </w:tcPr>
                      <w:p>
                        <w:pPr>
                          <w:pStyle w:val="TableParagraph"/>
                          <w:numPr>
                            <w:ilvl w:val="0"/>
                            <w:numId w:val="17"/>
                          </w:numPr>
                          <w:tabs>
                            <w:tab w:pos="250" w:val="left" w:leader="none"/>
                          </w:tabs>
                          <w:spacing w:line="292" w:lineRule="auto" w:before="75" w:after="0"/>
                          <w:ind w:left="249" w:right="238" w:hanging="142"/>
                          <w:jc w:val="left"/>
                          <w:rPr>
                            <w:sz w:val="16"/>
                          </w:rPr>
                        </w:pPr>
                        <w:r>
                          <w:rPr>
                            <w:sz w:val="16"/>
                          </w:rPr>
                          <w:t>Styrelsen beskæftiger i alt ca. 1.200 årsværk,</w:t>
                        </w:r>
                        <w:r>
                          <w:rPr>
                            <w:spacing w:val="-21"/>
                            <w:sz w:val="16"/>
                          </w:rPr>
                          <w:t> </w:t>
                        </w:r>
                        <w:r>
                          <w:rPr>
                            <w:sz w:val="16"/>
                          </w:rPr>
                          <w:t>heraf beskæftiger 2 årsværk sig med</w:t>
                        </w:r>
                        <w:r>
                          <w:rPr>
                            <w:spacing w:val="-4"/>
                            <w:sz w:val="16"/>
                          </w:rPr>
                          <w:t> </w:t>
                        </w:r>
                        <w:r>
                          <w:rPr>
                            <w:sz w:val="16"/>
                          </w:rPr>
                          <w:t>rummet</w:t>
                        </w:r>
                      </w:p>
                      <w:p>
                        <w:pPr>
                          <w:pStyle w:val="TableParagraph"/>
                          <w:numPr>
                            <w:ilvl w:val="0"/>
                            <w:numId w:val="17"/>
                          </w:numPr>
                          <w:tabs>
                            <w:tab w:pos="250" w:val="left" w:leader="none"/>
                          </w:tabs>
                          <w:spacing w:line="292" w:lineRule="auto" w:before="4" w:after="0"/>
                          <w:ind w:left="249" w:right="329" w:hanging="142"/>
                          <w:jc w:val="left"/>
                          <w:rPr>
                            <w:sz w:val="16"/>
                          </w:rPr>
                        </w:pPr>
                        <w:r>
                          <w:rPr>
                            <w:sz w:val="16"/>
                          </w:rPr>
                          <w:t>Driftsbudgettet udgør ca. 1,0 mia. DKK, hvoraf ca. 1,0 mio. DKK er relateret til</w:t>
                        </w:r>
                        <w:r>
                          <w:rPr>
                            <w:spacing w:val="-5"/>
                            <w:sz w:val="16"/>
                          </w:rPr>
                          <w:t> </w:t>
                        </w:r>
                        <w:r>
                          <w:rPr>
                            <w:sz w:val="16"/>
                          </w:rPr>
                          <w:t>rummet</w:t>
                        </w:r>
                      </w:p>
                      <w:p>
                        <w:pPr>
                          <w:pStyle w:val="TableParagraph"/>
                          <w:numPr>
                            <w:ilvl w:val="0"/>
                            <w:numId w:val="17"/>
                          </w:numPr>
                          <w:tabs>
                            <w:tab w:pos="250" w:val="left" w:leader="none"/>
                          </w:tabs>
                          <w:spacing w:line="295" w:lineRule="auto" w:before="4" w:after="0"/>
                          <w:ind w:left="249" w:right="211" w:hanging="142"/>
                          <w:jc w:val="left"/>
                          <w:rPr>
                            <w:sz w:val="16"/>
                          </w:rPr>
                        </w:pPr>
                        <w:r>
                          <w:rPr>
                            <w:sz w:val="16"/>
                          </w:rPr>
                          <w:t>Styrelsen bruger satellitdata i sagsbehandlingen når der udbetales støtte til landmænd – også kontrol- sammenhæng</w:t>
                        </w:r>
                      </w:p>
                      <w:p>
                        <w:pPr>
                          <w:pStyle w:val="TableParagraph"/>
                          <w:numPr>
                            <w:ilvl w:val="0"/>
                            <w:numId w:val="17"/>
                          </w:numPr>
                          <w:tabs>
                            <w:tab w:pos="250" w:val="left" w:leader="none"/>
                          </w:tabs>
                          <w:spacing w:line="295" w:lineRule="auto" w:before="0" w:after="0"/>
                          <w:ind w:left="249" w:right="120" w:hanging="142"/>
                          <w:jc w:val="left"/>
                          <w:rPr>
                            <w:sz w:val="16"/>
                          </w:rPr>
                        </w:pPr>
                        <w:r>
                          <w:rPr>
                            <w:sz w:val="16"/>
                          </w:rPr>
                          <w:t>Styrelsen ser også muligheder i brugen af satellit- og radardata på fiskeriområdet, herunder ift. monitore- ring af skibe og i forhold til sikkerhed og</w:t>
                        </w:r>
                        <w:r>
                          <w:rPr>
                            <w:spacing w:val="-13"/>
                            <w:sz w:val="16"/>
                          </w:rPr>
                          <w:t> </w:t>
                        </w:r>
                        <w:r>
                          <w:rPr>
                            <w:sz w:val="16"/>
                          </w:rPr>
                          <w:t>beredskab.</w:t>
                        </w:r>
                      </w:p>
                    </w:tc>
                  </w:tr>
                  <w:tr>
                    <w:trPr>
                      <w:trHeight w:val="574" w:hRule="atLeast"/>
                    </w:trPr>
                    <w:tc>
                      <w:tcPr>
                        <w:tcW w:w="4681" w:type="dxa"/>
                        <w:tcBorders>
                          <w:top w:val="nil"/>
                        </w:tcBorders>
                      </w:tcPr>
                      <w:p>
                        <w:pPr>
                          <w:pStyle w:val="TableParagraph"/>
                          <w:spacing w:before="143"/>
                          <w:rPr>
                            <w:sz w:val="16"/>
                          </w:rPr>
                        </w:pPr>
                        <w:r>
                          <w:rPr>
                            <w:sz w:val="16"/>
                          </w:rPr>
                          <w:t>Kilde: NaturErhvervsstyrelsen</w:t>
                        </w:r>
                      </w:p>
                    </w:tc>
                  </w:tr>
                </w:tbl>
                <w:p>
                  <w:pPr>
                    <w:pStyle w:val="BodyText"/>
                  </w:pPr>
                </w:p>
              </w:txbxContent>
            </v:textbox>
            <w10:wrap type="none"/>
          </v:shape>
        </w:pict>
      </w:r>
      <w:bookmarkStart w:name="_bookmark55" w:id="56"/>
      <w:bookmarkEnd w:id="56"/>
      <w:r>
        <w:rPr>
          <w:b/>
          <w:sz w:val="18"/>
        </w:rPr>
        <w:t>Na</w:t>
      </w:r>
      <w:r>
        <w:rPr>
          <w:b/>
          <w:sz w:val="18"/>
        </w:rPr>
        <w:t>turErhvervstyrelsen </w:t>
      </w:r>
      <w:r>
        <w:rPr>
          <w:sz w:val="18"/>
        </w:rPr>
        <w:t>NaturErhvervstyrelsen har hidtil ikke været blandt de myndigheder, der bruger satellitin- formation som basis for opgavevaretagelsen, men dette har ændret sig betydeligt inden for de senere år. Hidtil har styrelsen årligt brugt mange ressourcer på at inspicere arealanven- delse og indberetninger fra landbruget i forbin- delse med udbetaling af arealstøtte, ligesom styrelsen i høj grad har brugt fysisk inspektion og flyfotografering til at understøtte denne kontrolfunktion.</w:t>
      </w:r>
    </w:p>
    <w:p>
      <w:pPr>
        <w:pStyle w:val="BodyText"/>
        <w:spacing w:before="2"/>
        <w:rPr>
          <w:sz w:val="19"/>
        </w:rPr>
      </w:pPr>
    </w:p>
    <w:p>
      <w:pPr>
        <w:pStyle w:val="BodyText"/>
        <w:spacing w:line="264" w:lineRule="auto"/>
        <w:ind w:left="742" w:right="6049"/>
      </w:pPr>
      <w:r>
        <w:rPr/>
        <w:t>Brugen af satellitdata har potentiale for at ef- fektivisere kontrolfunktionen, og NaturEr- hvervstyrelsen er derfor begyndt at benytte</w:t>
      </w:r>
    </w:p>
    <w:p>
      <w:pPr>
        <w:pStyle w:val="BodyText"/>
        <w:spacing w:line="264" w:lineRule="auto"/>
        <w:ind w:left="742" w:right="1245"/>
      </w:pPr>
      <w:r>
        <w:rPr/>
        <w:t>satellitdata i arbejdet med administration og kontrol af arealstøtte til landmænd samt i forbindelse med overvågning af fredet natur. Satellitdata giver styrelsen mulighed for at verificere landmæn- denes oplysninger om afgrøder mv.</w:t>
      </w:r>
    </w:p>
    <w:p>
      <w:pPr>
        <w:pStyle w:val="BodyText"/>
        <w:spacing w:before="6"/>
        <w:rPr>
          <w:sz w:val="19"/>
        </w:rPr>
      </w:pPr>
    </w:p>
    <w:p>
      <w:pPr>
        <w:pStyle w:val="BodyText"/>
        <w:spacing w:line="264" w:lineRule="auto"/>
        <w:ind w:left="742" w:right="1134"/>
      </w:pPr>
      <w:r>
        <w:rPr/>
        <w:t>Oplysningerne giver således også styrelsen mulighed for at effektivisere de interne arbejdsgange og giver mulighed for at fokusere kontrollen af landbrugsstøtten, således at kontrolarbejdet fokuse- res, og således at kontrolindsatsen ikke unødigt forstyrrer</w:t>
      </w:r>
      <w:r>
        <w:rPr>
          <w:spacing w:val="-13"/>
        </w:rPr>
        <w:t> </w:t>
      </w:r>
      <w:r>
        <w:rPr/>
        <w:t>landmændene.</w:t>
      </w:r>
    </w:p>
    <w:p>
      <w:pPr>
        <w:spacing w:after="0" w:line="264" w:lineRule="auto"/>
        <w:sectPr>
          <w:pgSz w:w="11910" w:h="16840"/>
          <w:pgMar w:header="0" w:footer="619" w:top="1580" w:bottom="800" w:left="960" w:right="0"/>
        </w:sectPr>
      </w:pPr>
    </w:p>
    <w:p>
      <w:pPr>
        <w:pStyle w:val="BodyText"/>
        <w:spacing w:line="264" w:lineRule="auto" w:before="126"/>
        <w:ind w:left="742" w:right="1303"/>
      </w:pPr>
      <w:r>
        <w:rPr/>
        <w:t>NaturErhvervstyrelsen ser også muligheder i brugen af satellit- og radardata på fiskeriområdet, herunder ift. monitorering af skibe, men også i forhold til sikkerhed og beredskab, hvor bedre op- lysninger om skibenes lokalitet kan forbedre mulighederne for samarbejdet med beredskabet.</w:t>
      </w:r>
    </w:p>
    <w:p>
      <w:pPr>
        <w:pStyle w:val="BodyText"/>
        <w:spacing w:before="7"/>
        <w:rPr>
          <w:sz w:val="19"/>
        </w:rPr>
      </w:pPr>
    </w:p>
    <w:p>
      <w:pPr>
        <w:pStyle w:val="BodyText"/>
        <w:spacing w:line="264" w:lineRule="auto" w:before="1"/>
        <w:ind w:left="742" w:right="1117"/>
      </w:pPr>
      <w:r>
        <w:rPr/>
        <w:t>NaturErhvervstyrelsen og landbrugsorganisationen SEGES har i fællesskab købt løsningen CropSAT, som de stiller gratis til rådighed for landbruget, og som ud fra satellitbilleder kan beregne et vege- tationsindeks, der viser biomassen på marken. Herudfra er det muligt at producere et kvælstoftil- delingskort, således at landbruget kan foretage en bedre fordeling af kvælstofmængden. De kom- mercielle anvendelsesmuligheder i landbruget på baggrund af dette tiltag er illustreret med en række illustrative beregninger i landbrugscasen i afsnit </w:t>
      </w:r>
      <w:hyperlink w:history="true" w:anchor="_bookmark50">
        <w:r>
          <w:rPr/>
          <w:t>6.2.1</w:t>
        </w:r>
      </w:hyperlink>
      <w:r>
        <w:rPr/>
        <w:t>.</w:t>
      </w:r>
    </w:p>
    <w:p>
      <w:pPr>
        <w:pStyle w:val="BodyText"/>
        <w:spacing w:before="5"/>
        <w:rPr>
          <w:sz w:val="19"/>
        </w:rPr>
      </w:pPr>
    </w:p>
    <w:p>
      <w:pPr>
        <w:pStyle w:val="Heading2"/>
        <w:numPr>
          <w:ilvl w:val="1"/>
          <w:numId w:val="15"/>
        </w:numPr>
        <w:tabs>
          <w:tab w:pos="741" w:val="left" w:leader="none"/>
          <w:tab w:pos="743" w:val="left" w:leader="none"/>
        </w:tabs>
        <w:spacing w:line="240" w:lineRule="auto" w:before="0" w:after="0"/>
        <w:ind w:left="742" w:right="0" w:hanging="624"/>
        <w:jc w:val="left"/>
      </w:pPr>
      <w:r>
        <w:rPr/>
        <w:pict>
          <v:shape style="position:absolute;margin-left:309.790009pt;margin-top:10.848335pt;width:234.8pt;height:180.3pt;mso-position-horizontal-relative:page;mso-position-vertical-relative:paragraph;z-index:75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1"/>
                  </w:tblGrid>
                  <w:tr>
                    <w:trPr>
                      <w:trHeight w:val="438" w:hRule="atLeast"/>
                    </w:trPr>
                    <w:tc>
                      <w:tcPr>
                        <w:tcW w:w="4681" w:type="dxa"/>
                        <w:tcBorders>
                          <w:bottom w:val="nil"/>
                        </w:tcBorders>
                      </w:tcPr>
                      <w:p>
                        <w:pPr>
                          <w:pStyle w:val="TableParagraph"/>
                          <w:spacing w:before="170"/>
                          <w:rPr>
                            <w:b/>
                            <w:sz w:val="16"/>
                          </w:rPr>
                        </w:pPr>
                        <w:r>
                          <w:rPr>
                            <w:b/>
                            <w:color w:val="009DDF"/>
                            <w:sz w:val="16"/>
                          </w:rPr>
                          <w:t>Fakta om Søfartsstyrelsen</w:t>
                        </w:r>
                      </w:p>
                    </w:tc>
                  </w:tr>
                  <w:tr>
                    <w:trPr>
                      <w:trHeight w:val="2572" w:hRule="atLeast"/>
                    </w:trPr>
                    <w:tc>
                      <w:tcPr>
                        <w:tcW w:w="4681" w:type="dxa"/>
                        <w:tcBorders>
                          <w:top w:val="nil"/>
                          <w:bottom w:val="nil"/>
                        </w:tcBorders>
                      </w:tcPr>
                      <w:p>
                        <w:pPr>
                          <w:pStyle w:val="TableParagraph"/>
                          <w:numPr>
                            <w:ilvl w:val="0"/>
                            <w:numId w:val="18"/>
                          </w:numPr>
                          <w:tabs>
                            <w:tab w:pos="250" w:val="left" w:leader="none"/>
                          </w:tabs>
                          <w:spacing w:line="295" w:lineRule="auto" w:before="74" w:after="0"/>
                          <w:ind w:left="249" w:right="184" w:hanging="142"/>
                          <w:jc w:val="left"/>
                          <w:rPr>
                            <w:sz w:val="16"/>
                          </w:rPr>
                        </w:pPr>
                        <w:r>
                          <w:rPr>
                            <w:sz w:val="16"/>
                          </w:rPr>
                          <w:t>Styrelsen beskæftiger i alt ca. 290 årsværk, heraf beskæftiger 0,5 årsværk sig med decideret rumrela- terede arbejde, ligesom 10 årsværk anvender navi- gationsdata</w:t>
                        </w:r>
                      </w:p>
                      <w:p>
                        <w:pPr>
                          <w:pStyle w:val="TableParagraph"/>
                          <w:numPr>
                            <w:ilvl w:val="0"/>
                            <w:numId w:val="18"/>
                          </w:numPr>
                          <w:tabs>
                            <w:tab w:pos="250" w:val="left" w:leader="none"/>
                          </w:tabs>
                          <w:spacing w:line="295" w:lineRule="auto" w:before="2" w:after="0"/>
                          <w:ind w:left="249" w:right="122" w:hanging="142"/>
                          <w:jc w:val="left"/>
                          <w:rPr>
                            <w:sz w:val="16"/>
                          </w:rPr>
                        </w:pPr>
                        <w:r>
                          <w:rPr>
                            <w:sz w:val="16"/>
                          </w:rPr>
                          <w:t>Driftsbudgettet udgør ca. 348 mio. DKK til ruteplan- lægning, maritim fysisk planlægning, havnestatskon- trol</w:t>
                        </w:r>
                        <w:r>
                          <w:rPr>
                            <w:spacing w:val="-1"/>
                            <w:sz w:val="16"/>
                          </w:rPr>
                          <w:t> </w:t>
                        </w:r>
                        <w:r>
                          <w:rPr>
                            <w:sz w:val="16"/>
                          </w:rPr>
                          <w:t>mv.</w:t>
                        </w:r>
                      </w:p>
                      <w:p>
                        <w:pPr>
                          <w:pStyle w:val="TableParagraph"/>
                          <w:numPr>
                            <w:ilvl w:val="0"/>
                            <w:numId w:val="18"/>
                          </w:numPr>
                          <w:tabs>
                            <w:tab w:pos="250" w:val="left" w:leader="none"/>
                          </w:tabs>
                          <w:spacing w:line="295" w:lineRule="auto" w:before="1" w:after="0"/>
                          <w:ind w:left="249" w:right="368" w:hanging="142"/>
                          <w:jc w:val="left"/>
                          <w:rPr>
                            <w:sz w:val="16"/>
                          </w:rPr>
                        </w:pPr>
                        <w:r>
                          <w:rPr>
                            <w:sz w:val="16"/>
                          </w:rPr>
                          <w:t>Styrelsen ser muligheder i brugen af satellitdata i forhold til effektiviseringer, sikkerhed og overvåg- ning.</w:t>
                        </w:r>
                      </w:p>
                    </w:tc>
                  </w:tr>
                  <w:tr>
                    <w:trPr>
                      <w:trHeight w:val="574" w:hRule="atLeast"/>
                    </w:trPr>
                    <w:tc>
                      <w:tcPr>
                        <w:tcW w:w="4681" w:type="dxa"/>
                        <w:tcBorders>
                          <w:top w:val="nil"/>
                        </w:tcBorders>
                      </w:tcPr>
                      <w:p>
                        <w:pPr>
                          <w:pStyle w:val="TableParagraph"/>
                          <w:spacing w:before="143"/>
                          <w:rPr>
                            <w:sz w:val="16"/>
                          </w:rPr>
                        </w:pPr>
                        <w:r>
                          <w:rPr>
                            <w:sz w:val="16"/>
                          </w:rPr>
                          <w:t>Kilde: Søfartsstyrelsen</w:t>
                        </w:r>
                      </w:p>
                    </w:tc>
                  </w:tr>
                </w:tbl>
                <w:p>
                  <w:pPr>
                    <w:pStyle w:val="BodyText"/>
                  </w:pPr>
                </w:p>
              </w:txbxContent>
            </v:textbox>
            <w10:wrap type="none"/>
          </v:shape>
        </w:pict>
      </w:r>
      <w:bookmarkStart w:name="_bookmark56" w:id="57"/>
      <w:bookmarkEnd w:id="57"/>
      <w:r>
        <w:rPr/>
        <w:t>S</w:t>
      </w:r>
      <w:r>
        <w:rPr/>
        <w:t>øfartsstyrelsen</w:t>
      </w:r>
    </w:p>
    <w:p>
      <w:pPr>
        <w:pStyle w:val="BodyText"/>
        <w:spacing w:line="264" w:lineRule="auto" w:before="21"/>
        <w:ind w:left="742" w:right="5962"/>
      </w:pPr>
      <w:r>
        <w:rPr/>
        <w:t>Søfartsstyrelsen benytter satellitdata til rute- planlægning, maritim fysisk planlægning, hav- nestatskontrol og landbaseret AIS. Søfartssty- relsen har til opgave at overvåge alle danske skibe uanset geografisk placering og leverer bl.a. oplysninger til Forsvaret.</w:t>
      </w:r>
    </w:p>
    <w:p>
      <w:pPr>
        <w:pStyle w:val="BodyText"/>
        <w:spacing w:before="6"/>
        <w:rPr>
          <w:sz w:val="19"/>
        </w:rPr>
      </w:pPr>
    </w:p>
    <w:p>
      <w:pPr>
        <w:pStyle w:val="BodyText"/>
        <w:spacing w:line="264" w:lineRule="auto"/>
        <w:ind w:left="742" w:right="5911"/>
      </w:pPr>
      <w:r>
        <w:rPr/>
        <w:t>Tilgængelig satellitkommunikation er af stigen- de vigtighed for skibskommunikationen, og endelig er sejladssikkerhed afhængig af et velfungerende satellitnavigationssystem.</w:t>
      </w:r>
    </w:p>
    <w:p>
      <w:pPr>
        <w:pStyle w:val="BodyText"/>
        <w:spacing w:before="6"/>
        <w:rPr>
          <w:sz w:val="19"/>
        </w:rPr>
      </w:pPr>
    </w:p>
    <w:p>
      <w:pPr>
        <w:pStyle w:val="BodyText"/>
        <w:spacing w:line="264" w:lineRule="auto"/>
        <w:ind w:left="742" w:right="5941"/>
      </w:pPr>
      <w:r>
        <w:rPr/>
        <w:t>Søfartsstyrelsen får data hertil gennem egne landbaserede stationer, men håber i fremtiden på at få data leveret, ligesom styrelsen aktuelt arbejder på at frigive data vedr. skibe fra de- res registre.</w:t>
      </w:r>
    </w:p>
    <w:p>
      <w:pPr>
        <w:pStyle w:val="BodyText"/>
        <w:spacing w:before="7"/>
        <w:rPr>
          <w:sz w:val="19"/>
        </w:rPr>
      </w:pPr>
    </w:p>
    <w:p>
      <w:pPr>
        <w:pStyle w:val="BodyText"/>
        <w:spacing w:line="264" w:lineRule="auto"/>
        <w:ind w:left="742" w:right="1239"/>
      </w:pPr>
      <w:r>
        <w:rPr/>
        <w:t>Styrelsen er lead partner på forskningsprojektet E-navigation og har sammen med en række sam- arbejdspartnere fået bevilliget 20 mio. euro over en treårig periode af Horizon 2020. Bevillingen udløber i 2018. Ideen er en ”Marathon Cloud”, hvor alle data bliver lagt op i en sky, og hvor myn- dighederne selv kan tilgå og hente data.</w:t>
      </w:r>
    </w:p>
    <w:p>
      <w:pPr>
        <w:pStyle w:val="BodyText"/>
        <w:spacing w:before="6"/>
        <w:rPr>
          <w:sz w:val="19"/>
        </w:rPr>
      </w:pPr>
    </w:p>
    <w:p>
      <w:pPr>
        <w:pStyle w:val="BodyText"/>
        <w:spacing w:line="264" w:lineRule="auto"/>
        <w:ind w:left="742" w:right="1272"/>
      </w:pPr>
      <w:r>
        <w:rPr/>
        <w:t>Styrelsen råder over ca. 0,5 årsværk på rumområdet (decideret rumrelateret arbejde). Dertil kommer ca. 10 årsværk, som er brugere af navigationsdata, svarende til i alt ca. 10,5 årsværk og ca. 4 % af det samlede antal medarbejdere i styrelsen.</w:t>
      </w:r>
    </w:p>
    <w:p>
      <w:pPr>
        <w:pStyle w:val="BodyText"/>
        <w:spacing w:before="7"/>
        <w:rPr>
          <w:sz w:val="19"/>
        </w:rPr>
      </w:pPr>
    </w:p>
    <w:p>
      <w:pPr>
        <w:pStyle w:val="BodyText"/>
        <w:spacing w:line="264" w:lineRule="auto"/>
        <w:ind w:left="742" w:right="1410"/>
      </w:pPr>
      <w:r>
        <w:rPr/>
        <w:t>Styrelsen ser potentiale inden for overvågning og beslutningsstøtte: Jo bedre overvågning og jo bedre data, desto bedre muligheder for effektiviseringer og desto bedre muligheder for at styrke sikkerheden og for at forbedre</w:t>
      </w:r>
      <w:r>
        <w:rPr>
          <w:spacing w:val="-7"/>
        </w:rPr>
        <w:t> </w:t>
      </w:r>
      <w:r>
        <w:rPr/>
        <w:t>overvågningen.</w:t>
      </w:r>
    </w:p>
    <w:p>
      <w:pPr>
        <w:pStyle w:val="BodyText"/>
        <w:spacing w:before="7"/>
        <w:rPr>
          <w:sz w:val="19"/>
        </w:rPr>
      </w:pPr>
    </w:p>
    <w:p>
      <w:pPr>
        <w:pStyle w:val="Heading2"/>
        <w:numPr>
          <w:ilvl w:val="1"/>
          <w:numId w:val="15"/>
        </w:numPr>
        <w:tabs>
          <w:tab w:pos="741" w:val="left" w:leader="none"/>
          <w:tab w:pos="743" w:val="left" w:leader="none"/>
        </w:tabs>
        <w:spacing w:line="240" w:lineRule="auto" w:before="1" w:after="0"/>
        <w:ind w:left="742" w:right="0" w:hanging="624"/>
        <w:jc w:val="left"/>
      </w:pPr>
      <w:bookmarkStart w:name="_bookmark57" w:id="58"/>
      <w:bookmarkEnd w:id="58"/>
      <w:r>
        <w:rPr/>
        <w:t>D</w:t>
      </w:r>
      <w:r>
        <w:rPr/>
        <w:t>anmarks Meteorologiske</w:t>
      </w:r>
      <w:r>
        <w:rPr>
          <w:spacing w:val="-13"/>
        </w:rPr>
        <w:t> </w:t>
      </w:r>
      <w:r>
        <w:rPr/>
        <w:t>Institut</w:t>
      </w:r>
    </w:p>
    <w:p>
      <w:pPr>
        <w:pStyle w:val="BodyText"/>
        <w:spacing w:line="264" w:lineRule="auto" w:before="21"/>
        <w:ind w:left="742" w:right="1143"/>
      </w:pPr>
      <w:r>
        <w:rPr/>
        <w:t>Data fra satellitter indgår direkte i DMI's vejrmodeller og gør resultaterne – og dermed vejrudsigter og prognoser – mere præcise, end det er tilfældet ved anvendelse af traditionelle vejrstationer placeret på land (evt. suppleret af målinger fra skibe og fly).</w:t>
      </w:r>
    </w:p>
    <w:p>
      <w:pPr>
        <w:pStyle w:val="BodyText"/>
        <w:spacing w:before="7"/>
        <w:rPr>
          <w:sz w:val="19"/>
        </w:rPr>
      </w:pPr>
    </w:p>
    <w:p>
      <w:pPr>
        <w:pStyle w:val="BodyText"/>
        <w:spacing w:line="264" w:lineRule="auto" w:before="1"/>
        <w:ind w:left="742" w:right="1178"/>
      </w:pPr>
      <w:r>
        <w:rPr/>
        <w:t>DMI indarbejder rådata i vejrmodellerne fra både de europæiske MetOp-satellitter og de amerikan- ske NOAA-satellitter, ligesom DMI indarbejder ”tilberedte satellitprodukter” – dvs. data, der har været udsat for en efterbehandling eller en oversættelse. Et eksempel herpå er produktet ”sky- type”, der tolkes ved at kombinere flere forskellige målinger fra satellitten. Efterbehandlingen fore- tages enten af DMI eller EUMETSAT.</w:t>
      </w:r>
    </w:p>
    <w:p>
      <w:pPr>
        <w:spacing w:after="0" w:line="264" w:lineRule="auto"/>
        <w:sectPr>
          <w:pgSz w:w="11910" w:h="16840"/>
          <w:pgMar w:header="0" w:footer="619" w:top="1580" w:bottom="800" w:left="960" w:right="0"/>
        </w:sectPr>
      </w:pPr>
    </w:p>
    <w:p>
      <w:pPr>
        <w:pStyle w:val="BodyText"/>
        <w:spacing w:before="11"/>
        <w:rPr>
          <w:sz w:val="21"/>
        </w:rPr>
      </w:pPr>
    </w:p>
    <w:p>
      <w:pPr>
        <w:pStyle w:val="BodyText"/>
        <w:spacing w:line="264" w:lineRule="auto" w:before="100"/>
        <w:ind w:left="742" w:right="5932"/>
      </w:pPr>
      <w:r>
        <w:rPr/>
        <w:pict>
          <v:shape style="position:absolute;margin-left:309.790009pt;margin-top:5.168335pt;width:234.8pt;height:156.25pt;mso-position-horizontal-relative:page;mso-position-vertical-relative:paragraph;z-index:755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1"/>
                  </w:tblGrid>
                  <w:tr>
                    <w:trPr>
                      <w:trHeight w:val="438" w:hRule="atLeast"/>
                    </w:trPr>
                    <w:tc>
                      <w:tcPr>
                        <w:tcW w:w="4681" w:type="dxa"/>
                        <w:tcBorders>
                          <w:bottom w:val="nil"/>
                        </w:tcBorders>
                      </w:tcPr>
                      <w:p>
                        <w:pPr>
                          <w:pStyle w:val="TableParagraph"/>
                          <w:spacing w:before="170"/>
                          <w:rPr>
                            <w:b/>
                            <w:sz w:val="16"/>
                          </w:rPr>
                        </w:pPr>
                        <w:r>
                          <w:rPr>
                            <w:b/>
                            <w:color w:val="009DDF"/>
                            <w:sz w:val="16"/>
                          </w:rPr>
                          <w:t>Fakta om Danmarks Meteorologiske Institut</w:t>
                        </w:r>
                      </w:p>
                    </w:tc>
                  </w:tr>
                  <w:tr>
                    <w:trPr>
                      <w:trHeight w:val="2091" w:hRule="atLeast"/>
                    </w:trPr>
                    <w:tc>
                      <w:tcPr>
                        <w:tcW w:w="4681" w:type="dxa"/>
                        <w:tcBorders>
                          <w:top w:val="nil"/>
                          <w:bottom w:val="nil"/>
                        </w:tcBorders>
                      </w:tcPr>
                      <w:p>
                        <w:pPr>
                          <w:pStyle w:val="TableParagraph"/>
                          <w:numPr>
                            <w:ilvl w:val="0"/>
                            <w:numId w:val="19"/>
                          </w:numPr>
                          <w:tabs>
                            <w:tab w:pos="448" w:val="left" w:leader="none"/>
                            <w:tab w:pos="449" w:val="left" w:leader="none"/>
                          </w:tabs>
                          <w:spacing w:line="292" w:lineRule="auto" w:before="74" w:after="0"/>
                          <w:ind w:left="448" w:right="259" w:hanging="341"/>
                          <w:jc w:val="left"/>
                          <w:rPr>
                            <w:sz w:val="16"/>
                          </w:rPr>
                        </w:pPr>
                        <w:r>
                          <w:rPr>
                            <w:sz w:val="16"/>
                          </w:rPr>
                          <w:t>Data fra satellitter indgår direkte i DMI's vejrmo- deller</w:t>
                        </w:r>
                      </w:p>
                      <w:p>
                        <w:pPr>
                          <w:pStyle w:val="TableParagraph"/>
                          <w:numPr>
                            <w:ilvl w:val="0"/>
                            <w:numId w:val="19"/>
                          </w:numPr>
                          <w:tabs>
                            <w:tab w:pos="449" w:val="left" w:leader="none"/>
                          </w:tabs>
                          <w:spacing w:line="295" w:lineRule="auto" w:before="4" w:after="0"/>
                          <w:ind w:left="448" w:right="156" w:hanging="341"/>
                          <w:jc w:val="both"/>
                          <w:rPr>
                            <w:sz w:val="16"/>
                          </w:rPr>
                        </w:pPr>
                        <w:r>
                          <w:rPr>
                            <w:sz w:val="16"/>
                          </w:rPr>
                          <w:t>DMI anvender mange typer af satellitdata i forbin- delse med produktionen af instituttets kerneopga- ver med udsigter og varsler inden for vejr, hav og is</w:t>
                        </w:r>
                      </w:p>
                      <w:p>
                        <w:pPr>
                          <w:pStyle w:val="TableParagraph"/>
                          <w:numPr>
                            <w:ilvl w:val="0"/>
                            <w:numId w:val="19"/>
                          </w:numPr>
                          <w:tabs>
                            <w:tab w:pos="449" w:val="left" w:leader="none"/>
                          </w:tabs>
                          <w:spacing w:line="292" w:lineRule="auto" w:before="1" w:after="0"/>
                          <w:ind w:left="448" w:right="155" w:hanging="341"/>
                          <w:jc w:val="both"/>
                          <w:rPr>
                            <w:sz w:val="16"/>
                          </w:rPr>
                        </w:pPr>
                        <w:r>
                          <w:rPr>
                            <w:sz w:val="16"/>
                          </w:rPr>
                          <w:t>DMI er således blandt de største forskningsmiljøer inden for remote sensing i</w:t>
                        </w:r>
                        <w:r>
                          <w:rPr>
                            <w:spacing w:val="-6"/>
                            <w:sz w:val="16"/>
                          </w:rPr>
                          <w:t> </w:t>
                        </w:r>
                        <w:r>
                          <w:rPr>
                            <w:sz w:val="16"/>
                          </w:rPr>
                          <w:t>Danmark.</w:t>
                        </w:r>
                      </w:p>
                    </w:tc>
                  </w:tr>
                  <w:tr>
                    <w:trPr>
                      <w:trHeight w:val="574" w:hRule="atLeast"/>
                    </w:trPr>
                    <w:tc>
                      <w:tcPr>
                        <w:tcW w:w="4681" w:type="dxa"/>
                        <w:tcBorders>
                          <w:top w:val="nil"/>
                        </w:tcBorders>
                      </w:tcPr>
                      <w:p>
                        <w:pPr>
                          <w:pStyle w:val="TableParagraph"/>
                          <w:spacing w:before="143"/>
                          <w:rPr>
                            <w:sz w:val="16"/>
                          </w:rPr>
                        </w:pPr>
                        <w:r>
                          <w:rPr>
                            <w:sz w:val="16"/>
                          </w:rPr>
                          <w:t>Kilde: DMI</w:t>
                        </w:r>
                      </w:p>
                    </w:tc>
                  </w:tr>
                </w:tbl>
                <w:p>
                  <w:pPr>
                    <w:pStyle w:val="BodyText"/>
                  </w:pPr>
                </w:p>
              </w:txbxContent>
            </v:textbox>
            <w10:wrap type="none"/>
          </v:shape>
        </w:pict>
      </w:r>
      <w:r>
        <w:rPr/>
        <w:t>Satellitter giver meteorologerne overblik over vejrudviklingen. Og de ser på langt mere end de traditionelle billeder af skyer kendt fra vejr- udsigten på tv. Også de specialiserede meteo- rologer, som bistår den internationale skibs- fart, anvender data fra satellitter. Her er det f.eks. informationer om vind, der er interes- sante.</w:t>
      </w:r>
    </w:p>
    <w:p>
      <w:pPr>
        <w:pStyle w:val="BodyText"/>
        <w:spacing w:before="4"/>
        <w:rPr>
          <w:sz w:val="19"/>
        </w:rPr>
      </w:pPr>
    </w:p>
    <w:p>
      <w:pPr>
        <w:pStyle w:val="BodyText"/>
        <w:spacing w:line="264" w:lineRule="auto"/>
        <w:ind w:left="742" w:right="5952"/>
      </w:pPr>
      <w:r>
        <w:rPr/>
        <w:t>DMI har et tæt samarbejde med den meteoro- logiske satellitorganisation EUMETSAT og læg- ger hus til flere af EUMETSATs decentrale, operative afdelinger; de såkaldte Satellite Ap- plication Facilities (SAF’er). Data produceret af</w:t>
      </w:r>
    </w:p>
    <w:p>
      <w:pPr>
        <w:pStyle w:val="BodyText"/>
        <w:spacing w:line="264" w:lineRule="auto"/>
        <w:ind w:left="742" w:right="1360"/>
      </w:pPr>
      <w:r>
        <w:rPr/>
        <w:t>SAF’erne sendes ud til meteorologiske centre overalt i verden og er frit tilgængelige for forskning og for offentligheden.</w:t>
      </w:r>
    </w:p>
    <w:p>
      <w:pPr>
        <w:pStyle w:val="BodyText"/>
        <w:spacing w:before="5"/>
        <w:rPr>
          <w:sz w:val="19"/>
        </w:rPr>
      </w:pPr>
    </w:p>
    <w:p>
      <w:pPr>
        <w:pStyle w:val="BodyText"/>
        <w:spacing w:line="264" w:lineRule="auto"/>
        <w:ind w:left="742" w:right="1155"/>
        <w:jc w:val="both"/>
      </w:pPr>
      <w:r>
        <w:rPr/>
        <w:t>En af SAF’erne hos DMI udvikler teknikker til at anvende signaler fra GPS-satellitterne som meteo- rologisk instrument. Det sker ved at omregne påvirkninger af GPS-signalerne til profiler for tempe- ratur og fugtighed i atmosfæren. Der er mange fordele ved denne type målinger; bl.a. at der måles talrige (flere tusinde) profiler dagligt og overalt på jorden. Derfor er de af stor betydning som input til vejrmodeller.</w:t>
      </w:r>
    </w:p>
    <w:p>
      <w:pPr>
        <w:pStyle w:val="BodyText"/>
        <w:spacing w:before="6"/>
        <w:rPr>
          <w:sz w:val="19"/>
        </w:rPr>
      </w:pPr>
    </w:p>
    <w:p>
      <w:pPr>
        <w:pStyle w:val="BodyText"/>
        <w:spacing w:line="264" w:lineRule="auto"/>
        <w:ind w:left="742" w:right="1340"/>
        <w:jc w:val="both"/>
      </w:pPr>
      <w:r>
        <w:rPr/>
        <w:t>Denne type data med baggrund i GPS-signaler udmærker sig dels ved ikke at skulle kalibreres og dels ved kun at indeholde små systematiske fejl, som ikke ændrer sig over tid. Derfor er</w:t>
      </w:r>
      <w:r>
        <w:rPr>
          <w:spacing w:val="-45"/>
        </w:rPr>
        <w:t> </w:t>
      </w:r>
      <w:r>
        <w:rPr/>
        <w:t>sådanne data også ideelle til overvågning af klima og</w:t>
      </w:r>
      <w:r>
        <w:rPr>
          <w:spacing w:val="-10"/>
        </w:rPr>
        <w:t> </w:t>
      </w:r>
      <w:r>
        <w:rPr/>
        <w:t>klimaændringer.</w:t>
      </w:r>
    </w:p>
    <w:p>
      <w:pPr>
        <w:pStyle w:val="BodyText"/>
        <w:spacing w:before="7"/>
        <w:rPr>
          <w:sz w:val="19"/>
        </w:rPr>
      </w:pPr>
    </w:p>
    <w:p>
      <w:pPr>
        <w:pStyle w:val="BodyText"/>
        <w:spacing w:line="264" w:lineRule="auto"/>
        <w:ind w:left="742" w:right="1270"/>
      </w:pPr>
      <w:r>
        <w:rPr/>
        <w:t>I en anden SAF producerer DMI blandt andet data for is-koncentration, hav- og havis-temperatur for både Arktis og Antarktis. Data bliver behandlet, arkiveret og delt – og anvendes løbende i hele verden i vejrmodeller og oceanmodeller. De samme produkter er i spil, når hav- og isforholdene i de danske farvande og i Arktis skal overvåges. De forskellige produkter indeholder vurderinger af deres præcision, og metoderne til at raffinere data bliver løbende forbedret.</w:t>
      </w:r>
    </w:p>
    <w:p>
      <w:pPr>
        <w:pStyle w:val="BodyText"/>
        <w:spacing w:before="7"/>
        <w:rPr>
          <w:sz w:val="19"/>
        </w:rPr>
      </w:pPr>
    </w:p>
    <w:p>
      <w:pPr>
        <w:pStyle w:val="BodyText"/>
        <w:spacing w:line="264" w:lineRule="auto"/>
        <w:ind w:left="742" w:right="1271"/>
      </w:pPr>
      <w:r>
        <w:rPr/>
        <w:t>DMI’s meteorologiske betjening af Grønland og den løbende, operationelle kortlægning af havis i grønlandske farvande til betjening af skibsfarten baserer sig i vid udstrækning på satellitdata. På samme tid er jordobservationsdata grundlaget for informationerne og viden om is- og klimaudvik- ling i Arktis, som formidles via Polar Portal (et samarbejde mellem DMI, GEUS og DTU-Space).</w:t>
      </w:r>
    </w:p>
    <w:p>
      <w:pPr>
        <w:pStyle w:val="BodyText"/>
        <w:spacing w:line="264" w:lineRule="auto"/>
        <w:ind w:left="742" w:right="1117"/>
      </w:pPr>
      <w:r>
        <w:rPr/>
        <w:t>Arktis er et af Energi-, Forsynings- og Klimaministeriets satsningsområder, og jordobservation vil få en stigende betydning for ministeriets aktiviteter i Arktis.</w:t>
      </w:r>
    </w:p>
    <w:p>
      <w:pPr>
        <w:pStyle w:val="BodyText"/>
        <w:spacing w:before="5"/>
        <w:rPr>
          <w:sz w:val="19"/>
        </w:rPr>
      </w:pPr>
    </w:p>
    <w:p>
      <w:pPr>
        <w:pStyle w:val="BodyText"/>
        <w:spacing w:line="264" w:lineRule="auto"/>
        <w:ind w:left="742" w:right="1146"/>
      </w:pPr>
      <w:r>
        <w:rPr/>
        <w:t>En af DMI's mest kritiske opgaver er vejledning ved sejlads i isfyldt farvand – blandt andet ved Grønland. Her er satellitter med et radarinstrument ombord uundværlige. En radar ser nemlig lige godt på en skyfri dag som på en nat med tæt skydække. Dermed kan de døgnet rundt og året rundt afsløre placeringen af havis og isbjerge, så specialiserede meteorologer kan guide skibsfarten udenom.</w:t>
      </w:r>
    </w:p>
    <w:p>
      <w:pPr>
        <w:pStyle w:val="BodyText"/>
        <w:spacing w:before="6"/>
        <w:rPr>
          <w:sz w:val="19"/>
        </w:rPr>
      </w:pPr>
    </w:p>
    <w:p>
      <w:pPr>
        <w:pStyle w:val="BodyText"/>
        <w:spacing w:line="264" w:lineRule="auto" w:before="1"/>
        <w:ind w:left="742" w:right="1462"/>
        <w:jc w:val="both"/>
      </w:pPr>
      <w:r>
        <w:rPr/>
        <w:t>I tilknytning til den operationelle virksomhed udfører DMI forskning inden for satellitområdet og deltager i en lang række internationale forskningssamarbejder. DMI er således blandt de største forskningsmiljøer inden for remote sensing i Danmark.</w:t>
      </w:r>
    </w:p>
    <w:p>
      <w:pPr>
        <w:spacing w:after="0" w:line="264" w:lineRule="auto"/>
        <w:jc w:val="both"/>
        <w:sectPr>
          <w:pgSz w:w="11910" w:h="16840"/>
          <w:pgMar w:header="0" w:footer="619" w:top="1580" w:bottom="800" w:left="960" w:right="0"/>
        </w:sectPr>
      </w:pPr>
    </w:p>
    <w:p>
      <w:pPr>
        <w:pStyle w:val="Heading2"/>
        <w:numPr>
          <w:ilvl w:val="1"/>
          <w:numId w:val="15"/>
        </w:numPr>
        <w:tabs>
          <w:tab w:pos="741" w:val="left" w:leader="none"/>
          <w:tab w:pos="743" w:val="left" w:leader="none"/>
        </w:tabs>
        <w:spacing w:line="240" w:lineRule="auto" w:before="126" w:after="0"/>
        <w:ind w:left="742" w:right="0" w:hanging="624"/>
        <w:jc w:val="left"/>
      </w:pPr>
      <w:r>
        <w:rPr/>
        <w:pict>
          <v:shape style="position:absolute;margin-left:309.790009pt;margin-top:17.148335pt;width:234.8pt;height:192.3pt;mso-position-horizontal-relative:page;mso-position-vertical-relative:paragraph;z-index:75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1"/>
                  </w:tblGrid>
                  <w:tr>
                    <w:trPr>
                      <w:trHeight w:val="438" w:hRule="atLeast"/>
                    </w:trPr>
                    <w:tc>
                      <w:tcPr>
                        <w:tcW w:w="4681" w:type="dxa"/>
                        <w:tcBorders>
                          <w:bottom w:val="nil"/>
                        </w:tcBorders>
                      </w:tcPr>
                      <w:p>
                        <w:pPr>
                          <w:pStyle w:val="TableParagraph"/>
                          <w:spacing w:before="170"/>
                          <w:rPr>
                            <w:b/>
                            <w:sz w:val="16"/>
                          </w:rPr>
                        </w:pPr>
                        <w:r>
                          <w:rPr>
                            <w:b/>
                            <w:color w:val="009DDF"/>
                            <w:sz w:val="16"/>
                          </w:rPr>
                          <w:t>Fakta om Forsvarsministeriet</w:t>
                        </w:r>
                      </w:p>
                    </w:tc>
                  </w:tr>
                  <w:tr>
                    <w:trPr>
                      <w:trHeight w:val="2811" w:hRule="atLeast"/>
                    </w:trPr>
                    <w:tc>
                      <w:tcPr>
                        <w:tcW w:w="4681" w:type="dxa"/>
                        <w:tcBorders>
                          <w:top w:val="nil"/>
                          <w:bottom w:val="nil"/>
                        </w:tcBorders>
                      </w:tcPr>
                      <w:p>
                        <w:pPr>
                          <w:pStyle w:val="TableParagraph"/>
                          <w:numPr>
                            <w:ilvl w:val="0"/>
                            <w:numId w:val="20"/>
                          </w:numPr>
                          <w:tabs>
                            <w:tab w:pos="250" w:val="left" w:leader="none"/>
                          </w:tabs>
                          <w:spacing w:line="295" w:lineRule="auto" w:before="74" w:after="0"/>
                          <w:ind w:left="249" w:right="177" w:hanging="142"/>
                          <w:jc w:val="left"/>
                          <w:rPr>
                            <w:sz w:val="16"/>
                          </w:rPr>
                        </w:pPr>
                        <w:r>
                          <w:rPr>
                            <w:sz w:val="16"/>
                          </w:rPr>
                          <w:t>Forsvarsministeriet har samlet set ca. 20.000 ansat- te. Ministeriet har et budget på ca. 21 mia. DKK, hvoraf ca. halvdelen anvendes på</w:t>
                        </w:r>
                        <w:r>
                          <w:rPr>
                            <w:spacing w:val="-5"/>
                            <w:sz w:val="16"/>
                          </w:rPr>
                          <w:t> </w:t>
                        </w:r>
                        <w:r>
                          <w:rPr>
                            <w:sz w:val="16"/>
                          </w:rPr>
                          <w:t>lønninger.</w:t>
                        </w:r>
                      </w:p>
                      <w:p>
                        <w:pPr>
                          <w:pStyle w:val="TableParagraph"/>
                          <w:numPr>
                            <w:ilvl w:val="0"/>
                            <w:numId w:val="20"/>
                          </w:numPr>
                          <w:tabs>
                            <w:tab w:pos="250" w:val="left" w:leader="none"/>
                          </w:tabs>
                          <w:spacing w:line="292" w:lineRule="auto" w:before="1" w:after="0"/>
                          <w:ind w:left="249" w:right="170" w:hanging="142"/>
                          <w:jc w:val="left"/>
                          <w:rPr>
                            <w:sz w:val="16"/>
                          </w:rPr>
                        </w:pPr>
                        <w:r>
                          <w:rPr>
                            <w:sz w:val="16"/>
                          </w:rPr>
                          <w:t>Ministeriet estimerer, at i alt 30-35 årsværk er knyt- tet til</w:t>
                        </w:r>
                        <w:r>
                          <w:rPr>
                            <w:spacing w:val="-1"/>
                            <w:sz w:val="16"/>
                          </w:rPr>
                          <w:t> </w:t>
                        </w:r>
                        <w:r>
                          <w:rPr>
                            <w:sz w:val="16"/>
                          </w:rPr>
                          <w:t>rumområdet.</w:t>
                        </w:r>
                      </w:p>
                      <w:p>
                        <w:pPr>
                          <w:pStyle w:val="TableParagraph"/>
                          <w:numPr>
                            <w:ilvl w:val="0"/>
                            <w:numId w:val="20"/>
                          </w:numPr>
                          <w:tabs>
                            <w:tab w:pos="250" w:val="left" w:leader="none"/>
                          </w:tabs>
                          <w:spacing w:line="292" w:lineRule="auto" w:before="4" w:after="0"/>
                          <w:ind w:left="249" w:right="421" w:hanging="142"/>
                          <w:jc w:val="left"/>
                          <w:rPr>
                            <w:sz w:val="16"/>
                          </w:rPr>
                        </w:pPr>
                        <w:r>
                          <w:rPr>
                            <w:sz w:val="16"/>
                          </w:rPr>
                          <w:t>Forsvaret har et særligt fokus på det grønlandske område og det arktiske</w:t>
                        </w:r>
                        <w:r>
                          <w:rPr>
                            <w:spacing w:val="-6"/>
                            <w:sz w:val="16"/>
                          </w:rPr>
                          <w:t> </w:t>
                        </w:r>
                        <w:r>
                          <w:rPr>
                            <w:sz w:val="16"/>
                          </w:rPr>
                          <w:t>område</w:t>
                        </w:r>
                      </w:p>
                      <w:p>
                        <w:pPr>
                          <w:pStyle w:val="TableParagraph"/>
                          <w:numPr>
                            <w:ilvl w:val="0"/>
                            <w:numId w:val="20"/>
                          </w:numPr>
                          <w:tabs>
                            <w:tab w:pos="250" w:val="left" w:leader="none"/>
                          </w:tabs>
                          <w:spacing w:line="295" w:lineRule="auto" w:before="3" w:after="0"/>
                          <w:ind w:left="249" w:right="118" w:hanging="142"/>
                          <w:jc w:val="left"/>
                          <w:rPr>
                            <w:sz w:val="16"/>
                          </w:rPr>
                        </w:pPr>
                        <w:r>
                          <w:rPr>
                            <w:sz w:val="16"/>
                          </w:rPr>
                          <w:t>Forsvarsministeriet er i gang med en række konkrete initiativer for at afdække, i hvilket omfang moderne teknologi som for eksempel satellitter og droner kan bidrage til at styrke</w:t>
                        </w:r>
                        <w:r>
                          <w:rPr>
                            <w:spacing w:val="-6"/>
                            <w:sz w:val="16"/>
                          </w:rPr>
                          <w:t> </w:t>
                        </w:r>
                        <w:r>
                          <w:rPr>
                            <w:sz w:val="16"/>
                          </w:rPr>
                          <w:t>opgaveløsningen.</w:t>
                        </w:r>
                      </w:p>
                    </w:tc>
                  </w:tr>
                  <w:tr>
                    <w:trPr>
                      <w:trHeight w:val="575" w:hRule="atLeast"/>
                    </w:trPr>
                    <w:tc>
                      <w:tcPr>
                        <w:tcW w:w="4681" w:type="dxa"/>
                        <w:tcBorders>
                          <w:top w:val="nil"/>
                        </w:tcBorders>
                      </w:tcPr>
                      <w:p>
                        <w:pPr>
                          <w:pStyle w:val="TableParagraph"/>
                          <w:spacing w:before="143"/>
                          <w:rPr>
                            <w:sz w:val="16"/>
                          </w:rPr>
                        </w:pPr>
                        <w:r>
                          <w:rPr>
                            <w:sz w:val="16"/>
                          </w:rPr>
                          <w:t>Kilde: Forsvarsministeriet</w:t>
                        </w:r>
                      </w:p>
                    </w:tc>
                  </w:tr>
                </w:tbl>
                <w:p>
                  <w:pPr>
                    <w:pStyle w:val="BodyText"/>
                  </w:pPr>
                </w:p>
              </w:txbxContent>
            </v:textbox>
            <w10:wrap type="none"/>
          </v:shape>
        </w:pict>
      </w:r>
      <w:bookmarkStart w:name="_bookmark58" w:id="59"/>
      <w:bookmarkEnd w:id="59"/>
      <w:r>
        <w:rPr/>
        <w:t>F</w:t>
      </w:r>
      <w:r>
        <w:rPr/>
        <w:t>orsvarsministeriet</w:t>
      </w:r>
    </w:p>
    <w:p>
      <w:pPr>
        <w:pStyle w:val="BodyText"/>
        <w:spacing w:line="264" w:lineRule="auto" w:before="22"/>
        <w:ind w:left="742" w:right="5909"/>
      </w:pPr>
      <w:r>
        <w:rPr/>
        <w:t>Forsvaret benytter mange former for rumrela- terede ydelser og data, herunder fra jordob- servation og i forhold til navigation og kommu- nikation. Behovet for data afhænger af beho- vet for præcision. Behovet for at kunne opere- re stiller krav om at kunne se, navigere og kommunikere.</w:t>
      </w:r>
    </w:p>
    <w:p>
      <w:pPr>
        <w:pStyle w:val="BodyText"/>
        <w:spacing w:before="4"/>
        <w:rPr>
          <w:sz w:val="19"/>
        </w:rPr>
      </w:pPr>
    </w:p>
    <w:p>
      <w:pPr>
        <w:pStyle w:val="BodyText"/>
        <w:spacing w:line="264" w:lineRule="auto"/>
        <w:ind w:left="742" w:right="5906"/>
      </w:pPr>
      <w:r>
        <w:rPr/>
        <w:t>Forsvaret har et særligt fokus på det grønland- ske område og det arktiske område. Der gen- nemføres blandt andet forsøg med satellitover- vågning af det grønlandske område, eksem- pelvis med en række radarer og elektrooptiske sensorer, ligesom der også planlægges gen- nemført forsøg, som undersøger muligheden for forbedret kommunikation i de nordligste arktiske egne, for eksempel ved brug af satel-</w:t>
      </w:r>
    </w:p>
    <w:p>
      <w:pPr>
        <w:pStyle w:val="BodyText"/>
        <w:spacing w:line="264" w:lineRule="auto"/>
        <w:ind w:left="742" w:right="1187"/>
      </w:pPr>
      <w:r>
        <w:rPr/>
        <w:t>litter, hvilket kan være værdifuldt i forbindelse med Search And Rescue-opgaver (SAR) og ved mil- jøkatastrofer.</w:t>
      </w:r>
    </w:p>
    <w:p>
      <w:pPr>
        <w:pStyle w:val="BodyText"/>
        <w:spacing w:before="3"/>
        <w:rPr>
          <w:sz w:val="19"/>
        </w:rPr>
      </w:pPr>
    </w:p>
    <w:p>
      <w:pPr>
        <w:pStyle w:val="BodyText"/>
        <w:spacing w:line="264" w:lineRule="auto"/>
        <w:ind w:left="742" w:right="1151"/>
      </w:pPr>
      <w:r>
        <w:rPr/>
        <w:t>Forsvaret har en interesse i satellitkommunikation, dels som sikker kommunikationskilde på globalt niveau og dels som stabil kommunikation i øde egne som Arktis. Forsvaret deltager efter anmod- ning fra FI i EU's initiativ om sikker satellitkommunikation for myndigheder.</w:t>
      </w:r>
    </w:p>
    <w:p>
      <w:pPr>
        <w:pStyle w:val="BodyText"/>
        <w:spacing w:before="7"/>
        <w:rPr>
          <w:sz w:val="19"/>
        </w:rPr>
      </w:pPr>
    </w:p>
    <w:p>
      <w:pPr>
        <w:pStyle w:val="Heading2"/>
        <w:numPr>
          <w:ilvl w:val="1"/>
          <w:numId w:val="15"/>
        </w:numPr>
        <w:tabs>
          <w:tab w:pos="741" w:val="left" w:leader="none"/>
          <w:tab w:pos="743" w:val="left" w:leader="none"/>
        </w:tabs>
        <w:spacing w:line="240" w:lineRule="auto" w:before="0" w:after="0"/>
        <w:ind w:left="742" w:right="0" w:hanging="624"/>
        <w:jc w:val="left"/>
      </w:pPr>
      <w:bookmarkStart w:name="_bookmark59" w:id="60"/>
      <w:bookmarkEnd w:id="60"/>
      <w:r>
        <w:rPr/>
        <w:t>T</w:t>
      </w:r>
      <w:r>
        <w:rPr/>
        <w:t>ransport- og Bygningsministeriet/Trafik- og</w:t>
      </w:r>
      <w:r>
        <w:rPr>
          <w:spacing w:val="-4"/>
        </w:rPr>
        <w:t> </w:t>
      </w:r>
      <w:r>
        <w:rPr/>
        <w:t>Byggestyrelsen</w:t>
      </w:r>
    </w:p>
    <w:p>
      <w:pPr>
        <w:pStyle w:val="BodyText"/>
        <w:spacing w:line="264" w:lineRule="auto" w:before="21"/>
        <w:ind w:left="742" w:right="1140"/>
      </w:pPr>
      <w:r>
        <w:rPr/>
        <w:t>Transport- og Bygningsministeriet har ressortansvaret for Galileo i Danmark samt for regulering af lufttrafikken i Rigsfællesskabets luftrum op til 66.000 fod – svarende til cirka 22 kilometers højde. Ministeriet anvender i dag herudover meget få ressourcer på rumrelaterede aktiviteter. En af årsa- gerne hertil er, at luftfartsområdet er et globalt område, hvor enkeltstående nationale aktiviteter er begrænsede.</w:t>
      </w:r>
    </w:p>
    <w:p>
      <w:pPr>
        <w:pStyle w:val="BodyText"/>
        <w:spacing w:before="6"/>
        <w:rPr>
          <w:sz w:val="19"/>
        </w:rPr>
      </w:pPr>
    </w:p>
    <w:p>
      <w:pPr>
        <w:pStyle w:val="BodyText"/>
        <w:spacing w:line="264" w:lineRule="auto" w:before="1"/>
        <w:ind w:left="742" w:right="1294"/>
      </w:pPr>
      <w:r>
        <w:rPr/>
        <w:t>Ministeriet deltager naturligvis i EU-sammenhæng. Ministeriet har dermed ikke den store direkte aktivitet, men holder sig orienteret. Ministeriet ser et betydeligt potentiale over de næste år, hvor konventionelle metoder måske kan suppleres med navigation.</w:t>
      </w:r>
    </w:p>
    <w:p>
      <w:pPr>
        <w:pStyle w:val="BodyText"/>
        <w:spacing w:before="7"/>
        <w:rPr>
          <w:sz w:val="19"/>
        </w:rPr>
      </w:pPr>
    </w:p>
    <w:p>
      <w:pPr>
        <w:pStyle w:val="BodyText"/>
        <w:spacing w:line="264" w:lineRule="auto"/>
        <w:ind w:left="742" w:right="1237"/>
      </w:pPr>
      <w:r>
        <w:rPr/>
        <w:t>Danmarks flyvekontroltjeneste, NAVIAIR, under Transport- og Bygningsministeriet, indgår i et Joint-Venture (6%) sammen med flyvekontroltjenester i Canada, Italien og Irland samt det ameri- kanske satellitkommunikationsfirma, Aireon. Aireon udvikler satellitbaseret flyovervågning, som skal monteres på Iridiums kommunikationssatellitter. NAVIAIRs rolle er at påvirke udviklingen af systemet, således at flyvekontroltjenester og luftfartselskaber får maksimalt udbytte (se </w:t>
      </w:r>
      <w:hyperlink w:history="true" w:anchor="_bookmark35">
        <w:r>
          <w:rPr/>
          <w:t>4.4.1</w:t>
        </w:r>
      </w:hyperlink>
      <w:r>
        <w:rPr/>
        <w:t>).</w:t>
      </w:r>
    </w:p>
    <w:p>
      <w:pPr>
        <w:pStyle w:val="BodyText"/>
        <w:spacing w:line="264" w:lineRule="auto"/>
        <w:ind w:left="742" w:right="1176"/>
      </w:pPr>
      <w:r>
        <w:rPr/>
        <w:t>NAVIAIR har bidraget med 160 mio. DKK til Aireon og har en medarbejder fuldtidsbeskæftiget med engagementet i Aireon. Derudover beskæftiger øvrige rumaktiviteter ca. 2 årsværk.</w:t>
      </w:r>
    </w:p>
    <w:p>
      <w:pPr>
        <w:spacing w:after="0" w:line="264" w:lineRule="auto"/>
        <w:sectPr>
          <w:pgSz w:w="11910" w:h="16840"/>
          <w:pgMar w:header="0" w:footer="619" w:top="1580" w:bottom="800" w:left="960" w:right="0"/>
        </w:sectPr>
      </w:pPr>
    </w:p>
    <w:p>
      <w:pPr>
        <w:pStyle w:val="ListParagraph"/>
        <w:numPr>
          <w:ilvl w:val="1"/>
          <w:numId w:val="15"/>
        </w:numPr>
        <w:tabs>
          <w:tab w:pos="741" w:val="left" w:leader="none"/>
          <w:tab w:pos="743" w:val="left" w:leader="none"/>
        </w:tabs>
        <w:spacing w:line="264" w:lineRule="auto" w:before="126" w:after="0"/>
        <w:ind w:left="742" w:right="5567" w:hanging="624"/>
        <w:jc w:val="left"/>
        <w:rPr>
          <w:sz w:val="18"/>
        </w:rPr>
      </w:pPr>
      <w:r>
        <w:rPr/>
        <w:pict>
          <v:shape style="position:absolute;margin-left:327.670013pt;margin-top:17.148335pt;width:216.9pt;height:214pt;mso-position-horizontal-relative:page;mso-position-vertical-relative:paragraph;z-index:762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3"/>
                  </w:tblGrid>
                  <w:tr>
                    <w:trPr>
                      <w:trHeight w:val="633" w:hRule="atLeast"/>
                    </w:trPr>
                    <w:tc>
                      <w:tcPr>
                        <w:tcW w:w="4323" w:type="dxa"/>
                        <w:tcBorders>
                          <w:bottom w:val="nil"/>
                        </w:tcBorders>
                      </w:tcPr>
                      <w:p>
                        <w:pPr>
                          <w:pStyle w:val="TableParagraph"/>
                          <w:spacing w:before="170"/>
                          <w:ind w:right="540"/>
                          <w:rPr>
                            <w:b/>
                            <w:sz w:val="16"/>
                          </w:rPr>
                        </w:pPr>
                        <w:r>
                          <w:rPr>
                            <w:b/>
                            <w:color w:val="009DDF"/>
                            <w:sz w:val="16"/>
                          </w:rPr>
                          <w:t>Fakta om Styrelsen for Dataforsyning og Effektivisering</w:t>
                        </w:r>
                      </w:p>
                    </w:tc>
                  </w:tr>
                  <w:tr>
                    <w:trPr>
                      <w:trHeight w:val="2811" w:hRule="atLeast"/>
                    </w:trPr>
                    <w:tc>
                      <w:tcPr>
                        <w:tcW w:w="4323" w:type="dxa"/>
                        <w:tcBorders>
                          <w:top w:val="nil"/>
                          <w:bottom w:val="nil"/>
                        </w:tcBorders>
                      </w:tcPr>
                      <w:p>
                        <w:pPr>
                          <w:pStyle w:val="TableParagraph"/>
                          <w:numPr>
                            <w:ilvl w:val="0"/>
                            <w:numId w:val="21"/>
                          </w:numPr>
                          <w:tabs>
                            <w:tab w:pos="250" w:val="left" w:leader="none"/>
                          </w:tabs>
                          <w:spacing w:line="295" w:lineRule="auto" w:before="74" w:after="0"/>
                          <w:ind w:left="249" w:right="219" w:hanging="142"/>
                          <w:jc w:val="left"/>
                          <w:rPr>
                            <w:sz w:val="16"/>
                          </w:rPr>
                        </w:pPr>
                        <w:r>
                          <w:rPr>
                            <w:sz w:val="16"/>
                          </w:rPr>
                          <w:t>Styrelsen beskæftiger i alt ca. 200 årsværk, heraf beskæftiger ca. 14 årsværk sig med rum- met</w:t>
                        </w:r>
                      </w:p>
                      <w:p>
                        <w:pPr>
                          <w:pStyle w:val="TableParagraph"/>
                          <w:numPr>
                            <w:ilvl w:val="0"/>
                            <w:numId w:val="21"/>
                          </w:numPr>
                          <w:tabs>
                            <w:tab w:pos="250" w:val="left" w:leader="none"/>
                          </w:tabs>
                          <w:spacing w:line="292" w:lineRule="auto" w:before="1" w:after="0"/>
                          <w:ind w:left="249" w:right="222" w:hanging="142"/>
                          <w:jc w:val="left"/>
                          <w:rPr>
                            <w:sz w:val="16"/>
                          </w:rPr>
                        </w:pPr>
                        <w:r>
                          <w:rPr>
                            <w:sz w:val="16"/>
                          </w:rPr>
                          <w:t>Driftsbudgettet udgør ca. 130 mio. DKK, hvoraf ca. 6,5 mio. DKK er relateret til</w:t>
                        </w:r>
                        <w:r>
                          <w:rPr>
                            <w:spacing w:val="-8"/>
                            <w:sz w:val="16"/>
                          </w:rPr>
                          <w:t> </w:t>
                        </w:r>
                        <w:r>
                          <w:rPr>
                            <w:sz w:val="16"/>
                          </w:rPr>
                          <w:t>rummet</w:t>
                        </w:r>
                      </w:p>
                      <w:p>
                        <w:pPr>
                          <w:pStyle w:val="TableParagraph"/>
                          <w:numPr>
                            <w:ilvl w:val="0"/>
                            <w:numId w:val="21"/>
                          </w:numPr>
                          <w:tabs>
                            <w:tab w:pos="250" w:val="left" w:leader="none"/>
                          </w:tabs>
                          <w:spacing w:line="295" w:lineRule="auto" w:before="4" w:after="0"/>
                          <w:ind w:left="249" w:right="193" w:hanging="142"/>
                          <w:jc w:val="left"/>
                          <w:rPr>
                            <w:sz w:val="16"/>
                          </w:rPr>
                        </w:pPr>
                        <w:r>
                          <w:rPr>
                            <w:sz w:val="16"/>
                          </w:rPr>
                          <w:t>Styrelsen arbejder for en bredere anvendelse af data til modernisering og effektivisering af den offentlige administration</w:t>
                        </w:r>
                      </w:p>
                      <w:p>
                        <w:pPr>
                          <w:pStyle w:val="TableParagraph"/>
                          <w:numPr>
                            <w:ilvl w:val="0"/>
                            <w:numId w:val="21"/>
                          </w:numPr>
                          <w:tabs>
                            <w:tab w:pos="250" w:val="left" w:leader="none"/>
                          </w:tabs>
                          <w:spacing w:line="295" w:lineRule="auto" w:before="0" w:after="0"/>
                          <w:ind w:left="249" w:right="343" w:hanging="142"/>
                          <w:jc w:val="both"/>
                          <w:rPr>
                            <w:sz w:val="16"/>
                          </w:rPr>
                        </w:pPr>
                        <w:r>
                          <w:rPr>
                            <w:sz w:val="16"/>
                          </w:rPr>
                          <w:t>Styrelsen er bl.a. ansvarlig for infrastrukturen for geografisk information og for landkortlæg- ning i Danmark, Færøerne og</w:t>
                        </w:r>
                        <w:r>
                          <w:rPr>
                            <w:spacing w:val="-8"/>
                            <w:sz w:val="16"/>
                          </w:rPr>
                          <w:t> </w:t>
                        </w:r>
                        <w:r>
                          <w:rPr>
                            <w:sz w:val="16"/>
                          </w:rPr>
                          <w:t>Grønland.</w:t>
                        </w:r>
                      </w:p>
                    </w:tc>
                  </w:tr>
                  <w:tr>
                    <w:trPr>
                      <w:trHeight w:val="815" w:hRule="atLeast"/>
                    </w:trPr>
                    <w:tc>
                      <w:tcPr>
                        <w:tcW w:w="4323" w:type="dxa"/>
                        <w:tcBorders>
                          <w:top w:val="nil"/>
                        </w:tcBorders>
                      </w:tcPr>
                      <w:p>
                        <w:pPr>
                          <w:pStyle w:val="TableParagraph"/>
                          <w:spacing w:line="295" w:lineRule="auto" w:before="143"/>
                          <w:ind w:right="1197"/>
                          <w:rPr>
                            <w:sz w:val="16"/>
                          </w:rPr>
                        </w:pPr>
                        <w:r>
                          <w:rPr>
                            <w:sz w:val="16"/>
                          </w:rPr>
                          <w:t>Kilde: Styrelsen for Dataforsyning og Effektivisering</w:t>
                        </w:r>
                      </w:p>
                    </w:tc>
                  </w:tr>
                </w:tbl>
                <w:p>
                  <w:pPr>
                    <w:pStyle w:val="BodyText"/>
                  </w:pPr>
                </w:p>
              </w:txbxContent>
            </v:textbox>
            <w10:wrap type="none"/>
          </v:shape>
        </w:pict>
      </w:r>
      <w:bookmarkStart w:name="_bookmark60" w:id="61"/>
      <w:bookmarkEnd w:id="61"/>
      <w:r>
        <w:rPr>
          <w:b/>
          <w:sz w:val="18"/>
        </w:rPr>
        <w:t>S</w:t>
      </w:r>
      <w:r>
        <w:rPr>
          <w:b/>
          <w:sz w:val="18"/>
        </w:rPr>
        <w:t>tyrelsen for Dataforsyning og Effektivisering </w:t>
      </w:r>
      <w:r>
        <w:rPr>
          <w:sz w:val="18"/>
        </w:rPr>
        <w:t>Som led i regeringens plan "Bedre balance – statslige arbejdspladser tættere på borgere og virksomheder" blev den tidligere Geodatastyrelse pr. 1. januar 2016 til to selvstændige styrelser, en ny Geodatastyrelse (som placeres i Aalborg) og en ny Styrelsen for Dataforsyning og Effektivisering (som placeres i</w:t>
      </w:r>
      <w:r>
        <w:rPr>
          <w:spacing w:val="-3"/>
          <w:sz w:val="18"/>
        </w:rPr>
        <w:t> </w:t>
      </w:r>
      <w:r>
        <w:rPr>
          <w:sz w:val="18"/>
        </w:rPr>
        <w:t>København).</w:t>
      </w:r>
    </w:p>
    <w:p>
      <w:pPr>
        <w:pStyle w:val="BodyText"/>
        <w:spacing w:before="4"/>
        <w:rPr>
          <w:sz w:val="19"/>
        </w:rPr>
      </w:pPr>
    </w:p>
    <w:p>
      <w:pPr>
        <w:pStyle w:val="BodyText"/>
        <w:spacing w:line="264" w:lineRule="auto"/>
        <w:ind w:left="742" w:right="5523"/>
      </w:pPr>
      <w:r>
        <w:rPr/>
        <w:t>Mens Geodatastyrelsen nu fungerer som myndig- hed for ejendomsregistrering i Danmark og søkort- lægning i Danmark, Grønland og Færøerne, skal Styrelsen for Dataforsyning og Effektivisering ar- bejde for en bredere anvendelse af data til moder- nisering og effektivisering af den offentlige admini- stration, ligesom styrelsen skal arbejde for at ska- be bedre rammer for vækst i den private sektor via lettilgængelige offentlige data. Styrelsen har en central rolle i tværoffentlige samarbejder om data</w:t>
      </w:r>
    </w:p>
    <w:p>
      <w:pPr>
        <w:pStyle w:val="BodyText"/>
        <w:spacing w:line="264" w:lineRule="auto"/>
        <w:ind w:left="742" w:right="1303"/>
      </w:pPr>
      <w:r>
        <w:rPr/>
        <w:t>og digital infrastruktur og har bl.a. en betydende rolle i grunddataprogrammet, herunder som an- svarlig for den fællesoffentlige Datafordeler.</w:t>
      </w:r>
    </w:p>
    <w:p>
      <w:pPr>
        <w:pStyle w:val="BodyText"/>
        <w:spacing w:before="2"/>
        <w:rPr>
          <w:sz w:val="19"/>
        </w:rPr>
      </w:pPr>
    </w:p>
    <w:p>
      <w:pPr>
        <w:pStyle w:val="BodyText"/>
        <w:spacing w:line="264" w:lineRule="auto"/>
        <w:ind w:left="742" w:right="1178"/>
      </w:pPr>
      <w:r>
        <w:rPr/>
        <w:t>Styrelsen er ansvarlig for infrastrukturen for geografisk information og har ansvaret for reference- nettene, der er grundlag for opmåling og kortlægning i Danmark, Færøerne og Grønland. Som en del styrelsens myndighedsansvar har styrelsen også et væsentligt ansvar for nøjagtig positionering i Danmark, Grønland og på Færøerne ved til stadighed at udvikle den geodætiske infrastruktur.</w:t>
      </w:r>
    </w:p>
    <w:p>
      <w:pPr>
        <w:pStyle w:val="BodyText"/>
        <w:spacing w:line="264" w:lineRule="auto"/>
        <w:ind w:left="742" w:right="1152"/>
      </w:pPr>
      <w:r>
        <w:rPr/>
        <w:t>Herunder ligger fx at sørge for optimal udnyttelse af signaler fra Galileo-satellitterne i sammen- hæng med den fysiske jordbaserede geodætiske infrastruktur. Desuden er styrelsen ansvarlig for landkortlægning i Danmark, Færøerne og Grønland samt adresser, stednavne, Danmarks højdemo- del og flere andre datasæt.</w:t>
      </w:r>
    </w:p>
    <w:p>
      <w:pPr>
        <w:pStyle w:val="BodyText"/>
        <w:spacing w:before="5"/>
        <w:rPr>
          <w:sz w:val="19"/>
        </w:rPr>
      </w:pPr>
    </w:p>
    <w:p>
      <w:pPr>
        <w:pStyle w:val="BodyText"/>
        <w:spacing w:line="264" w:lineRule="auto"/>
        <w:ind w:left="742" w:right="1157"/>
      </w:pPr>
      <w:r>
        <w:rPr/>
        <w:t>Styrelsen understøtter desuden bl.a. Forsvaret med geodata både nationalt og internationalt, og styrelsen repræsenterer Danmark i internationale geodata-samarbejder og i det arktiske samarbej- de under Arktisk Råd.</w:t>
      </w:r>
    </w:p>
    <w:p>
      <w:pPr>
        <w:pStyle w:val="BodyText"/>
        <w:spacing w:before="7"/>
        <w:rPr>
          <w:sz w:val="19"/>
        </w:rPr>
      </w:pPr>
    </w:p>
    <w:p>
      <w:pPr>
        <w:pStyle w:val="BodyText"/>
        <w:spacing w:line="264" w:lineRule="auto"/>
        <w:ind w:left="742" w:right="1352"/>
      </w:pPr>
      <w:r>
        <w:rPr/>
        <w:t>Styrelsen råder over ca. 14,1 årsværk på rumområdet, svarende til ca. 7 % af det samlede antal medarbejdere i styrelsen. Driftsudgifterne udgør ca. 6,5 mio. DKK, svarende til ca. 5 % af styrel- sens samlede driftsudgifter. Årsværk og ressourcer omfatter udviklingsopgaver, større enkeltstå- ende opgaver samt løbende deltagelse i fx internationale udviklingsfora. ”Almindelige opgaver”, som løses ved anvendelse af rumdata, er ikke medregnet.</w:t>
      </w:r>
    </w:p>
    <w:p>
      <w:pPr>
        <w:pStyle w:val="BodyText"/>
        <w:spacing w:before="6"/>
        <w:rPr>
          <w:sz w:val="19"/>
        </w:rPr>
      </w:pPr>
    </w:p>
    <w:p>
      <w:pPr>
        <w:pStyle w:val="Heading2"/>
        <w:numPr>
          <w:ilvl w:val="1"/>
          <w:numId w:val="15"/>
        </w:numPr>
        <w:tabs>
          <w:tab w:pos="741" w:val="left" w:leader="none"/>
          <w:tab w:pos="743" w:val="left" w:leader="none"/>
        </w:tabs>
        <w:spacing w:line="240" w:lineRule="auto" w:before="0" w:after="0"/>
        <w:ind w:left="742" w:right="0" w:hanging="624"/>
        <w:jc w:val="left"/>
      </w:pPr>
      <w:bookmarkStart w:name="_bookmark61" w:id="62"/>
      <w:bookmarkEnd w:id="62"/>
      <w:r>
        <w:rPr/>
        <w:t>S</w:t>
      </w:r>
      <w:r>
        <w:rPr/>
        <w:t>pace for Smarter Government</w:t>
      </w:r>
      <w:r>
        <w:rPr>
          <w:spacing w:val="-2"/>
        </w:rPr>
        <w:t> </w:t>
      </w:r>
      <w:r>
        <w:rPr/>
        <w:t>Programme</w:t>
      </w:r>
    </w:p>
    <w:p>
      <w:pPr>
        <w:pStyle w:val="BodyText"/>
        <w:spacing w:line="264" w:lineRule="auto" w:before="21"/>
        <w:ind w:left="742" w:right="1283"/>
        <w:jc w:val="both"/>
        <w:rPr>
          <w:sz w:val="8"/>
        </w:rPr>
      </w:pPr>
      <w:r>
        <w:rPr/>
        <w:t>I 2014 startede den britiske regering sit Space for Smarter Government Programme (SSGP) for at hjælpe offentlige instanser med at overveje rumdata og -produkter til at løse problemer og levere tjenester mere effektivt. Formelt er formålet med programmet:</w:t>
      </w:r>
      <w:r>
        <w:rPr>
          <w:w w:val="99"/>
          <w:position w:val="6"/>
          <w:sz w:val="8"/>
        </w:rPr>
        <w:t>113</w:t>
      </w:r>
    </w:p>
    <w:p>
      <w:pPr>
        <w:pStyle w:val="ListParagraph"/>
        <w:numPr>
          <w:ilvl w:val="0"/>
          <w:numId w:val="22"/>
        </w:numPr>
        <w:tabs>
          <w:tab w:pos="1461" w:val="left" w:leader="none"/>
          <w:tab w:pos="1462" w:val="left" w:leader="none"/>
        </w:tabs>
        <w:spacing w:line="261" w:lineRule="auto" w:before="0" w:after="0"/>
        <w:ind w:left="1462" w:right="1242" w:hanging="360"/>
        <w:jc w:val="left"/>
        <w:rPr>
          <w:sz w:val="18"/>
        </w:rPr>
      </w:pPr>
      <w:r>
        <w:rPr>
          <w:sz w:val="18"/>
        </w:rPr>
        <w:t>At inspirere og muliggøre den offentlige sektors brug af rummet og derved opnå smartere, mere effektive og billigere aktiviteter ved brug af de allerede ydede investeringer i rumin- frastruktur</w:t>
      </w:r>
    </w:p>
    <w:p>
      <w:pPr>
        <w:pStyle w:val="ListParagraph"/>
        <w:numPr>
          <w:ilvl w:val="0"/>
          <w:numId w:val="22"/>
        </w:numPr>
        <w:tabs>
          <w:tab w:pos="1461" w:val="left" w:leader="none"/>
          <w:tab w:pos="1462" w:val="left" w:leader="none"/>
        </w:tabs>
        <w:spacing w:line="261" w:lineRule="auto" w:before="2" w:after="0"/>
        <w:ind w:left="1462" w:right="1130" w:hanging="360"/>
        <w:jc w:val="left"/>
        <w:rPr>
          <w:sz w:val="18"/>
        </w:rPr>
      </w:pPr>
      <w:r>
        <w:rPr>
          <w:sz w:val="18"/>
        </w:rPr>
        <w:t>At opmuntre den offentlige sektor til at skabe vækst i den private sektor gennem eksport af de udviklede rumprodukter og</w:t>
      </w:r>
      <w:r>
        <w:rPr>
          <w:spacing w:val="-2"/>
          <w:sz w:val="18"/>
        </w:rPr>
        <w:t> </w:t>
      </w:r>
      <w:r>
        <w:rPr>
          <w:sz w:val="18"/>
        </w:rPr>
        <w:t>-tjenester.</w:t>
      </w:r>
    </w:p>
    <w:p>
      <w:pPr>
        <w:pStyle w:val="BodyText"/>
        <w:rPr>
          <w:sz w:val="20"/>
        </w:rPr>
      </w:pPr>
    </w:p>
    <w:p>
      <w:pPr>
        <w:pStyle w:val="BodyText"/>
        <w:spacing w:before="2"/>
        <w:rPr>
          <w:sz w:val="21"/>
        </w:rPr>
      </w:pPr>
      <w:r>
        <w:rPr/>
        <w:pict>
          <v:line style="position:absolute;mso-position-horizontal-relative:page;mso-position-vertical-relative:paragraph;z-index:5552;mso-wrap-distance-left:0;mso-wrap-distance-right:0" from="85.103996pt,15.067065pt" to="229.123996pt,15.067065pt" stroked="true" strokeweight=".48004pt" strokecolor="#000000">
            <v:stroke dashstyle="solid"/>
            <w10:wrap type="topAndBottom"/>
          </v:line>
        </w:pict>
      </w:r>
    </w:p>
    <w:p>
      <w:pPr>
        <w:spacing w:before="99"/>
        <w:ind w:left="742" w:right="0" w:firstLine="0"/>
        <w:jc w:val="left"/>
        <w:rPr>
          <w:i/>
          <w:sz w:val="13"/>
        </w:rPr>
      </w:pPr>
      <w:r>
        <w:rPr>
          <w:position w:val="6"/>
          <w:sz w:val="8"/>
        </w:rPr>
        <w:t>113 </w:t>
      </w:r>
      <w:r>
        <w:rPr>
          <w:sz w:val="13"/>
        </w:rPr>
        <w:t>UK Space Agency (2015) </w:t>
      </w:r>
      <w:r>
        <w:rPr>
          <w:i/>
          <w:sz w:val="13"/>
        </w:rPr>
        <w:t>Annual Report and Accounts 2014/15</w:t>
      </w:r>
    </w:p>
    <w:p>
      <w:pPr>
        <w:spacing w:after="0"/>
        <w:jc w:val="left"/>
        <w:rPr>
          <w:sz w:val="13"/>
        </w:rPr>
        <w:sectPr>
          <w:pgSz w:w="11910" w:h="16840"/>
          <w:pgMar w:header="0" w:footer="619" w:top="1580" w:bottom="800" w:left="960" w:right="0"/>
        </w:sectPr>
      </w:pPr>
    </w:p>
    <w:p>
      <w:pPr>
        <w:pStyle w:val="BodyText"/>
        <w:spacing w:line="264" w:lineRule="auto" w:before="126"/>
        <w:ind w:left="742" w:right="1117"/>
        <w:rPr>
          <w:sz w:val="8"/>
        </w:rPr>
      </w:pPr>
      <w:r>
        <w:rPr/>
        <w:t>SSGP ledes af det britiske rumagentur (UK Space Agency), men den daglige ledelse varetages af Satellite Applications Catapult, en organisation hvis formål er at skabe forbindelse mellem er- hvervslivet, universiteter, forskningsinstitutioner og det offentlige samt indgå i processen til reali- sering af Storbritanniens rumstrategi og -mål. I SSGP indgår både rumagenturet og catapulten som mægler og hjælper enten offentlige myndigheder med at finde virksomheder, der kan løse specifik- ke problemer, eller virksomheder med at undersøge, om der er efterspørgsel efter en udviklet ide. Offentlige myndigheder inden for tre kategorier: miljø, kommuner</w:t>
      </w:r>
      <w:r>
        <w:rPr>
          <w:w w:val="99"/>
          <w:position w:val="6"/>
          <w:sz w:val="8"/>
        </w:rPr>
        <w:t>114</w:t>
      </w:r>
      <w:r>
        <w:rPr>
          <w:position w:val="6"/>
          <w:sz w:val="8"/>
        </w:rPr>
        <w:t>  </w:t>
      </w:r>
      <w:r>
        <w:rPr/>
        <w:t>og risikostyring af naturkata- strofer.</w:t>
      </w:r>
      <w:r>
        <w:rPr>
          <w:w w:val="99"/>
          <w:position w:val="6"/>
          <w:sz w:val="8"/>
        </w:rPr>
        <w:t>115</w:t>
      </w:r>
    </w:p>
    <w:p>
      <w:pPr>
        <w:pStyle w:val="BodyText"/>
        <w:spacing w:before="4"/>
        <w:rPr>
          <w:sz w:val="19"/>
        </w:rPr>
      </w:pPr>
    </w:p>
    <w:p>
      <w:pPr>
        <w:pStyle w:val="BodyText"/>
        <w:spacing w:line="264" w:lineRule="auto"/>
        <w:ind w:left="742" w:right="1146"/>
      </w:pPr>
      <w:r>
        <w:rPr/>
        <w:t>Programmets to første runder, i 2014 og 2015, havde et samlet budget på 1,3 mio. britiske pund. I alt 14 projekter blev udvalgt i den første runde og 13 projekter fulgte i anden runde. Projekterne brugte primært JO-data til løsning af opgaven, men løsninger ved hjælp af GNSS </w:t>
      </w:r>
      <w:r>
        <w:rPr>
          <w:spacing w:val="2"/>
        </w:rPr>
        <w:t>og </w:t>
      </w:r>
      <w:r>
        <w:rPr/>
        <w:t>satellitkom- munikation er også repræsenteret. Projekterne følger en</w:t>
      </w:r>
      <w:r>
        <w:rPr>
          <w:spacing w:val="-17"/>
        </w:rPr>
        <w:t> </w:t>
      </w:r>
      <w:r>
        <w:rPr/>
        <w:t>fireskridtsplan:</w:t>
      </w:r>
    </w:p>
    <w:p>
      <w:pPr>
        <w:pStyle w:val="ListParagraph"/>
        <w:numPr>
          <w:ilvl w:val="0"/>
          <w:numId w:val="23"/>
        </w:numPr>
        <w:tabs>
          <w:tab w:pos="1102" w:val="left" w:leader="none"/>
        </w:tabs>
        <w:spacing w:line="216" w:lineRule="exact" w:before="0" w:after="0"/>
        <w:ind w:left="1102" w:right="0" w:hanging="360"/>
        <w:jc w:val="left"/>
        <w:rPr>
          <w:sz w:val="18"/>
        </w:rPr>
      </w:pPr>
      <w:r>
        <w:rPr>
          <w:sz w:val="18"/>
        </w:rPr>
        <w:t>Skabe opmærksomhed om potentialet i brug af</w:t>
      </w:r>
      <w:r>
        <w:rPr>
          <w:spacing w:val="-22"/>
          <w:sz w:val="18"/>
        </w:rPr>
        <w:t> </w:t>
      </w:r>
      <w:r>
        <w:rPr>
          <w:sz w:val="18"/>
        </w:rPr>
        <w:t>rummet</w:t>
      </w:r>
    </w:p>
    <w:p>
      <w:pPr>
        <w:pStyle w:val="ListParagraph"/>
        <w:numPr>
          <w:ilvl w:val="0"/>
          <w:numId w:val="23"/>
        </w:numPr>
        <w:tabs>
          <w:tab w:pos="1102" w:val="left" w:leader="none"/>
        </w:tabs>
        <w:spacing w:line="240" w:lineRule="auto" w:before="22" w:after="0"/>
        <w:ind w:left="1102" w:right="0" w:hanging="360"/>
        <w:jc w:val="left"/>
        <w:rPr>
          <w:sz w:val="18"/>
        </w:rPr>
      </w:pPr>
      <w:r>
        <w:rPr>
          <w:sz w:val="18"/>
        </w:rPr>
        <w:t>Etablering af teknologi og metode til levering af</w:t>
      </w:r>
      <w:r>
        <w:rPr>
          <w:spacing w:val="-12"/>
          <w:sz w:val="18"/>
        </w:rPr>
        <w:t> </w:t>
      </w:r>
      <w:r>
        <w:rPr>
          <w:sz w:val="18"/>
        </w:rPr>
        <w:t>rumløsning</w:t>
      </w:r>
    </w:p>
    <w:p>
      <w:pPr>
        <w:pStyle w:val="ListParagraph"/>
        <w:numPr>
          <w:ilvl w:val="0"/>
          <w:numId w:val="23"/>
        </w:numPr>
        <w:tabs>
          <w:tab w:pos="1102" w:val="left" w:leader="none"/>
        </w:tabs>
        <w:spacing w:line="264" w:lineRule="auto" w:before="21" w:after="0"/>
        <w:ind w:left="1102" w:right="1387" w:hanging="360"/>
        <w:jc w:val="left"/>
        <w:rPr>
          <w:sz w:val="18"/>
        </w:rPr>
      </w:pPr>
      <w:r>
        <w:rPr>
          <w:sz w:val="18"/>
        </w:rPr>
        <w:t>Konsolidering af behov på tværs af offentlige myndigheder (eksempelvis at afdække behovet for en teknologi udviklet til en kommune i andre</w:t>
      </w:r>
      <w:r>
        <w:rPr>
          <w:spacing w:val="-16"/>
          <w:sz w:val="18"/>
        </w:rPr>
        <w:t> </w:t>
      </w:r>
      <w:r>
        <w:rPr>
          <w:sz w:val="18"/>
        </w:rPr>
        <w:t>kommuner)</w:t>
      </w:r>
    </w:p>
    <w:p>
      <w:pPr>
        <w:pStyle w:val="ListParagraph"/>
        <w:numPr>
          <w:ilvl w:val="0"/>
          <w:numId w:val="23"/>
        </w:numPr>
        <w:tabs>
          <w:tab w:pos="1102" w:val="left" w:leader="none"/>
        </w:tabs>
        <w:spacing w:line="217" w:lineRule="exact" w:before="0" w:after="0"/>
        <w:ind w:left="1102" w:right="0" w:hanging="360"/>
        <w:jc w:val="left"/>
        <w:rPr>
          <w:sz w:val="18"/>
        </w:rPr>
      </w:pPr>
      <w:r>
        <w:rPr>
          <w:sz w:val="18"/>
        </w:rPr>
        <w:t>Operationel</w:t>
      </w:r>
      <w:r>
        <w:rPr>
          <w:spacing w:val="-1"/>
          <w:sz w:val="18"/>
        </w:rPr>
        <w:t> </w:t>
      </w:r>
      <w:r>
        <w:rPr>
          <w:sz w:val="18"/>
        </w:rPr>
        <w:t>tjeneste.</w:t>
      </w:r>
    </w:p>
    <w:p>
      <w:pPr>
        <w:pStyle w:val="BodyText"/>
        <w:spacing w:before="6"/>
        <w:rPr>
          <w:sz w:val="21"/>
        </w:rPr>
      </w:pPr>
    </w:p>
    <w:p>
      <w:pPr>
        <w:pStyle w:val="BodyText"/>
        <w:spacing w:line="264" w:lineRule="auto"/>
        <w:ind w:left="742" w:right="1148"/>
      </w:pPr>
      <w:r>
        <w:rPr/>
        <w:t>Et femte og væsentligt skridt, som ikke indgår i vurderingen af de enkelte projekter, men som kan komme til at definere programmets succes som helhed, er virksomhedernes evne til at øge ekspor- ten ved at sælge teknologien til andre lande.</w:t>
      </w:r>
    </w:p>
    <w:p>
      <w:pPr>
        <w:pStyle w:val="BodyText"/>
        <w:spacing w:before="7"/>
        <w:rPr>
          <w:sz w:val="19"/>
        </w:rPr>
      </w:pPr>
    </w:p>
    <w:p>
      <w:pPr>
        <w:pStyle w:val="BodyText"/>
        <w:spacing w:line="264" w:lineRule="auto" w:before="1"/>
        <w:ind w:left="742" w:right="1141"/>
      </w:pPr>
      <w:r>
        <w:rPr/>
        <w:t>Da mange lande møder de samme geografiske og teknologiske udfordringer, giver Space for Smar- ter Government de deltagende virksomheder mulighed for og midler til at teste ideer og gennemfø- re forundersøgelser, og programmet fungerer derved som en eksperimentel ”petriskål”, der kan vise værdien af mulige løsninger. Det er for eksempel ikke svært at forestille sig, at et projekt om mobil mammografiscanning med satellitforbindelse til en ekspert på et hospital langt væk</w:t>
      </w:r>
      <w:r>
        <w:rPr>
          <w:w w:val="99"/>
          <w:position w:val="6"/>
          <w:sz w:val="8"/>
        </w:rPr>
        <w:t>116</w:t>
      </w:r>
      <w:r>
        <w:rPr>
          <w:position w:val="6"/>
          <w:sz w:val="8"/>
        </w:rPr>
        <w:t>  </w:t>
      </w:r>
      <w:r>
        <w:rPr/>
        <w:t>kunne sælges til andre lande med samme geografiske udfordring.</w:t>
      </w:r>
    </w:p>
    <w:p>
      <w:pPr>
        <w:pStyle w:val="BodyText"/>
        <w:spacing w:before="5"/>
        <w:rPr>
          <w:sz w:val="19"/>
        </w:rPr>
      </w:pPr>
    </w:p>
    <w:p>
      <w:pPr>
        <w:pStyle w:val="BodyText"/>
        <w:spacing w:line="264" w:lineRule="auto"/>
        <w:ind w:left="742" w:right="1164"/>
      </w:pPr>
      <w:r>
        <w:rPr/>
        <w:t>SSGP arbejder tæt sammen med DEFRA,</w:t>
      </w:r>
      <w:r>
        <w:rPr>
          <w:w w:val="99"/>
          <w:position w:val="6"/>
          <w:sz w:val="8"/>
        </w:rPr>
        <w:t>117</w:t>
      </w:r>
      <w:r>
        <w:rPr>
          <w:position w:val="6"/>
          <w:sz w:val="8"/>
        </w:rPr>
        <w:t>  </w:t>
      </w:r>
      <w:r>
        <w:rPr/>
        <w:t>og mange af programmets projekter er derfor fokuseret på udfordringer inden for dette ministeriums ressortområder, eksempelvis landbrug og oversvøm- melsessikring. Det er blevet påpeget, at bredden af de projekter der udvælges, influeres af de of- fentlige interessenters forskellighed. I forbindelse med SSGP har DEFRA oprettet et jordobservati- onscenter, Centre of Excellence, som har til formål at samle den offentlige sektors tekniske kunnen inden for rumrelaterede data og produkter og hjælpe ministerier og styrelser med at definere krav og udbud, således at private operatører kan respondere og løse opgaven bedst muligt.</w:t>
      </w:r>
    </w:p>
    <w:p>
      <w:pPr>
        <w:pStyle w:val="BodyText"/>
        <w:spacing w:before="5"/>
        <w:rPr>
          <w:sz w:val="19"/>
        </w:rPr>
      </w:pPr>
    </w:p>
    <w:p>
      <w:pPr>
        <w:pStyle w:val="BodyText"/>
        <w:spacing w:line="264" w:lineRule="auto"/>
        <w:ind w:left="742" w:right="1156"/>
      </w:pPr>
      <w:r>
        <w:rPr/>
        <w:t>SSGP er et nyt program, og det har endnu ikke været igennem grundig evaluering, men en delta- gende virksomhed</w:t>
      </w:r>
      <w:r>
        <w:rPr>
          <w:w w:val="99"/>
          <w:position w:val="6"/>
          <w:sz w:val="8"/>
        </w:rPr>
        <w:t>118</w:t>
      </w:r>
      <w:r>
        <w:rPr>
          <w:position w:val="6"/>
          <w:sz w:val="8"/>
        </w:rPr>
        <w:t>  </w:t>
      </w:r>
      <w:r>
        <w:rPr/>
        <w:t>nævner, at programmet har fungeret godt, fordi det har skabt et stærkere bånd mellem den private og den offentlige sektor. Programmets fokus på at skabe samfundsøko- nomiske gevinster ved at gøre den offentlige sektor smartere gennem brug af rummet samt ufravi- gelige krav om en kommerciel vinkel har også sikret, at de løsninger der er blevet udviklet, kan finde umiddelbar anvendelse i den virkelige verden.</w:t>
      </w:r>
    </w:p>
    <w:p>
      <w:pPr>
        <w:pStyle w:val="BodyText"/>
        <w:spacing w:before="1"/>
        <w:rPr>
          <w:sz w:val="21"/>
        </w:rPr>
      </w:pPr>
      <w:r>
        <w:rPr/>
        <w:pict>
          <v:line style="position:absolute;mso-position-horizontal-relative:page;mso-position-vertical-relative:paragraph;z-index:5600;mso-wrap-distance-left:0;mso-wrap-distance-right:0" from="85.103996pt,15.018799pt" to="229.123996pt,15.018799pt" stroked="true" strokeweight=".48004pt" strokecolor="#000000">
            <v:stroke dashstyle="solid"/>
            <w10:wrap type="topAndBottom"/>
          </v:line>
        </w:pict>
      </w:r>
    </w:p>
    <w:p>
      <w:pPr>
        <w:spacing w:line="321" w:lineRule="auto" w:before="99"/>
        <w:ind w:left="742" w:right="1181" w:firstLine="0"/>
        <w:jc w:val="left"/>
        <w:rPr>
          <w:sz w:val="13"/>
        </w:rPr>
      </w:pPr>
      <w:r>
        <w:rPr>
          <w:position w:val="6"/>
          <w:sz w:val="8"/>
        </w:rPr>
        <w:t>114 </w:t>
      </w:r>
      <w:r>
        <w:rPr>
          <w:sz w:val="13"/>
        </w:rPr>
        <w:t>Egentlig </w:t>
      </w:r>
      <w:r>
        <w:rPr>
          <w:i/>
          <w:sz w:val="13"/>
        </w:rPr>
        <w:t>Local Authorities</w:t>
      </w:r>
      <w:r>
        <w:rPr>
          <w:sz w:val="13"/>
        </w:rPr>
        <w:t>, som kan fortolkes som en blanding af kommuner og amter i Danmark, men uden personskatteopkræv- ningsret, men med boligskatteopkrævningsret.</w:t>
      </w:r>
    </w:p>
    <w:p>
      <w:pPr>
        <w:spacing w:line="155" w:lineRule="exact" w:before="0"/>
        <w:ind w:left="742" w:right="0" w:firstLine="0"/>
        <w:jc w:val="left"/>
        <w:rPr>
          <w:sz w:val="13"/>
        </w:rPr>
      </w:pPr>
      <w:r>
        <w:rPr>
          <w:position w:val="6"/>
          <w:sz w:val="8"/>
        </w:rPr>
        <w:t>115 </w:t>
      </w:r>
      <w:r>
        <w:rPr>
          <w:sz w:val="13"/>
        </w:rPr>
        <w:t>SBRI (2015) </w:t>
      </w:r>
      <w:r>
        <w:rPr>
          <w:i/>
          <w:sz w:val="13"/>
        </w:rPr>
        <w:t>Space for Smarter Government</w:t>
      </w:r>
      <w:r>
        <w:rPr>
          <w:sz w:val="13"/>
        </w:rPr>
        <w:t>, webinar 7. juli 2015, tilgængelig her:</w:t>
      </w:r>
    </w:p>
    <w:p>
      <w:pPr>
        <w:spacing w:before="53"/>
        <w:ind w:left="742" w:right="0" w:firstLine="0"/>
        <w:jc w:val="left"/>
        <w:rPr>
          <w:sz w:val="13"/>
        </w:rPr>
      </w:pPr>
      <w:hyperlink r:id="rId136">
        <w:r>
          <w:rPr>
            <w:color w:val="009DDF"/>
            <w:sz w:val="13"/>
          </w:rPr>
          <w:t>http://www.spaceforsmartergovernment.uk/workspace/assets/files/sbri-space-for-smarter-governm-559e7942ebbc7.pdf </w:t>
        </w:r>
      </w:hyperlink>
      <w:r>
        <w:rPr>
          <w:sz w:val="13"/>
        </w:rPr>
        <w:t>(tilgået: 21.</w:t>
      </w:r>
    </w:p>
    <w:p>
      <w:pPr>
        <w:spacing w:before="51"/>
        <w:ind w:left="742" w:right="0" w:firstLine="0"/>
        <w:jc w:val="left"/>
        <w:rPr>
          <w:sz w:val="13"/>
        </w:rPr>
      </w:pPr>
      <w:r>
        <w:rPr>
          <w:sz w:val="13"/>
        </w:rPr>
        <w:t>april 2016)</w:t>
      </w:r>
    </w:p>
    <w:p>
      <w:pPr>
        <w:spacing w:line="316" w:lineRule="auto" w:before="43"/>
        <w:ind w:left="742" w:right="1181" w:firstLine="0"/>
        <w:jc w:val="left"/>
        <w:rPr>
          <w:sz w:val="13"/>
        </w:rPr>
      </w:pPr>
      <w:r>
        <w:rPr>
          <w:position w:val="6"/>
          <w:sz w:val="8"/>
        </w:rPr>
        <w:t>116 </w:t>
      </w:r>
      <w:r>
        <w:rPr>
          <w:sz w:val="13"/>
        </w:rPr>
        <w:t>Her refereres konkret til DEOS Consultancy’s projekt for det britiske sundhedsvæsen, </w:t>
      </w:r>
      <w:r>
        <w:rPr>
          <w:i/>
          <w:sz w:val="13"/>
        </w:rPr>
        <w:t>Always connected mobile medical screening</w:t>
      </w:r>
      <w:r>
        <w:rPr>
          <w:sz w:val="13"/>
        </w:rPr>
        <w:t>. Se mere på </w:t>
      </w:r>
      <w:hyperlink r:id="rId137">
        <w:r>
          <w:rPr>
            <w:color w:val="009DDF"/>
            <w:sz w:val="13"/>
          </w:rPr>
          <w:t>http://www.spaceforsmartergovernment.uk/case-study/deos-consultancy-always-connected-mobile-medical-screening/</w:t>
        </w:r>
      </w:hyperlink>
    </w:p>
    <w:p>
      <w:pPr>
        <w:spacing w:line="161" w:lineRule="exact" w:before="0"/>
        <w:ind w:left="742" w:right="0" w:firstLine="0"/>
        <w:jc w:val="left"/>
        <w:rPr>
          <w:sz w:val="13"/>
        </w:rPr>
      </w:pPr>
      <w:r>
        <w:rPr>
          <w:position w:val="6"/>
          <w:sz w:val="8"/>
        </w:rPr>
        <w:t>117 </w:t>
      </w:r>
      <w:r>
        <w:rPr>
          <w:sz w:val="13"/>
        </w:rPr>
        <w:t>Department for Environment Food &amp; Rural Affairs, sammenligneligt med det danske Miljø- og Fødevareministerium.</w:t>
      </w:r>
    </w:p>
    <w:p>
      <w:pPr>
        <w:spacing w:before="41"/>
        <w:ind w:left="742" w:right="0" w:firstLine="0"/>
        <w:jc w:val="left"/>
        <w:rPr>
          <w:sz w:val="13"/>
        </w:rPr>
      </w:pPr>
      <w:r>
        <w:rPr>
          <w:position w:val="6"/>
          <w:sz w:val="8"/>
        </w:rPr>
        <w:t>118 </w:t>
      </w:r>
      <w:r>
        <w:rPr>
          <w:sz w:val="13"/>
        </w:rPr>
        <w:t>Astrosat, </w:t>
      </w:r>
      <w:hyperlink r:id="rId138">
        <w:r>
          <w:rPr>
            <w:color w:val="009DDF"/>
            <w:sz w:val="13"/>
          </w:rPr>
          <w:t>https://astrosat.biz/</w:t>
        </w:r>
      </w:hyperlink>
    </w:p>
    <w:p>
      <w:pPr>
        <w:spacing w:after="0"/>
        <w:jc w:val="left"/>
        <w:rPr>
          <w:sz w:val="13"/>
        </w:rPr>
        <w:sectPr>
          <w:pgSz w:w="11910" w:h="16840"/>
          <w:pgMar w:header="0" w:footer="619" w:top="1580" w:bottom="800" w:left="960" w:right="0"/>
        </w:sectPr>
      </w:pPr>
    </w:p>
    <w:p>
      <w:pPr>
        <w:pStyle w:val="BodyText"/>
        <w:spacing w:before="11"/>
        <w:rPr>
          <w:sz w:val="21"/>
        </w:rPr>
      </w:pPr>
    </w:p>
    <w:p>
      <w:pPr>
        <w:pStyle w:val="Heading2"/>
        <w:numPr>
          <w:ilvl w:val="1"/>
          <w:numId w:val="15"/>
        </w:numPr>
        <w:tabs>
          <w:tab w:pos="741" w:val="left" w:leader="none"/>
          <w:tab w:pos="743" w:val="left" w:leader="none"/>
        </w:tabs>
        <w:spacing w:line="240" w:lineRule="auto" w:before="100" w:after="0"/>
        <w:ind w:left="742" w:right="0" w:hanging="624"/>
        <w:jc w:val="left"/>
      </w:pPr>
      <w:bookmarkStart w:name="_bookmark62" w:id="63"/>
      <w:bookmarkEnd w:id="63"/>
      <w:r>
        <w:rPr/>
        <w:t>C</w:t>
      </w:r>
      <w:r>
        <w:rPr/>
        <w:t>ase:</w:t>
      </w:r>
      <w:r>
        <w:rPr>
          <w:spacing w:val="-1"/>
        </w:rPr>
        <w:t> </w:t>
      </w:r>
      <w:r>
        <w:rPr/>
        <w:t>Byudvikling</w:t>
      </w:r>
    </w:p>
    <w:p>
      <w:pPr>
        <w:pStyle w:val="BodyText"/>
        <w:spacing w:line="264" w:lineRule="auto" w:before="21"/>
        <w:ind w:left="742" w:right="1191"/>
      </w:pPr>
      <w:r>
        <w:rPr/>
        <w:t>Danske kommuner og byer står over for en lang række udfordringer. I de kommende år vil den kommunale sektor skulle omstille de kommunale services til en ny virkelighed. Det er en virke- lighed, som er præget af stadige effektiviseringer og skrumpende skattemæssig grundlag, en høj grad af usikkerhed og kompleksitet samt en stadig hastigere samfundsmæssig udvikling. Det er en virkelighed, hvor nye løsninger skal findes inden for de eksisterende økonomiske rammer, og hvor der skal skabes vækst og produktivitetsudvikling i et usikkert globalt marked. Det kræver, at nye løsninger afprøves og at eksisterende ressourcer anvendes bedre end hidtil.</w:t>
      </w:r>
    </w:p>
    <w:p>
      <w:pPr>
        <w:pStyle w:val="BodyText"/>
        <w:spacing w:before="5"/>
        <w:rPr>
          <w:sz w:val="19"/>
        </w:rPr>
      </w:pPr>
    </w:p>
    <w:p>
      <w:pPr>
        <w:pStyle w:val="BodyText"/>
        <w:spacing w:line="264" w:lineRule="auto"/>
        <w:ind w:left="742" w:right="1160"/>
      </w:pPr>
      <w:r>
        <w:rPr/>
        <w:t>Mere end halvdelen af jordens befolkning bor i byer, og hver dag vokser antallet af mennesker, der bor i byer med 180.000. 6 ud af 10 mennesker forventes at være bosiddende i byområder inden 2030. Urbaniseringen er ikke kun en global udfordring. Aarhus Kommune forudser fx en befolk- ningstilvækst på 11 % på under 10 år. Og flere af Københavns omegnskommuner arbejder på at koble holistiske udviklingsstrategier på infrastrukturprojekter.</w:t>
      </w:r>
    </w:p>
    <w:p>
      <w:pPr>
        <w:pStyle w:val="BodyText"/>
        <w:spacing w:before="6"/>
        <w:rPr>
          <w:sz w:val="19"/>
        </w:rPr>
      </w:pPr>
    </w:p>
    <w:p>
      <w:pPr>
        <w:pStyle w:val="BodyText"/>
        <w:spacing w:line="264" w:lineRule="auto"/>
        <w:ind w:left="742" w:right="1154"/>
      </w:pPr>
      <w:r>
        <w:rPr/>
        <w:t>Urbaniseringen er flersidet. Hvor nogle danske kommuner og byer oplever stigende befolkning, oplever andre det modsatte og er truet af affolkning. De fleste danske kommuner oplever samtidig en omstilling, hvor der flyttes rundt på befolkningen inden for kommunens egne grænser – fra land til by og fra oplandsbyer til hovedbyer.</w:t>
      </w:r>
    </w:p>
    <w:p>
      <w:pPr>
        <w:spacing w:before="143"/>
        <w:ind w:left="742" w:right="0" w:firstLine="0"/>
        <w:jc w:val="left"/>
        <w:rPr>
          <w:b/>
          <w:sz w:val="15"/>
        </w:rPr>
      </w:pPr>
      <w:r>
        <w:rPr/>
        <w:drawing>
          <wp:anchor distT="0" distB="0" distL="0" distR="0" allowOverlap="1" layoutInCell="1" locked="0" behindDoc="0" simplePos="0" relativeHeight="277">
            <wp:simplePos x="0" y="0"/>
            <wp:positionH relativeFrom="page">
              <wp:posOffset>1177874</wp:posOffset>
            </wp:positionH>
            <wp:positionV relativeFrom="paragraph">
              <wp:posOffset>270132</wp:posOffset>
            </wp:positionV>
            <wp:extent cx="3901158" cy="1938527"/>
            <wp:effectExtent l="0" t="0" r="0" b="0"/>
            <wp:wrapTopAndBottom/>
            <wp:docPr id="77" name="image61.jpeg" descr=""/>
            <wp:cNvGraphicFramePr>
              <a:graphicFrameLocks noChangeAspect="1"/>
            </wp:cNvGraphicFramePr>
            <a:graphic>
              <a:graphicData uri="http://schemas.openxmlformats.org/drawingml/2006/picture">
                <pic:pic>
                  <pic:nvPicPr>
                    <pic:cNvPr id="78" name="image61.jpeg"/>
                    <pic:cNvPicPr/>
                  </pic:nvPicPr>
                  <pic:blipFill>
                    <a:blip r:embed="rId139" cstate="print"/>
                    <a:stretch>
                      <a:fillRect/>
                    </a:stretch>
                  </pic:blipFill>
                  <pic:spPr>
                    <a:xfrm>
                      <a:off x="0" y="0"/>
                      <a:ext cx="3901158" cy="1938527"/>
                    </a:xfrm>
                    <a:prstGeom prst="rect">
                      <a:avLst/>
                    </a:prstGeom>
                  </pic:spPr>
                </pic:pic>
              </a:graphicData>
            </a:graphic>
          </wp:anchor>
        </w:drawing>
      </w:r>
      <w:r>
        <w:rPr>
          <w:b/>
          <w:color w:val="009DDF"/>
          <w:sz w:val="15"/>
        </w:rPr>
        <w:t>Figur 27. Fra silotænkning til helhedsorienteret byudvikling</w:t>
      </w:r>
    </w:p>
    <w:p>
      <w:pPr>
        <w:spacing w:before="27"/>
        <w:ind w:left="742" w:right="0" w:firstLine="0"/>
        <w:jc w:val="left"/>
        <w:rPr>
          <w:sz w:val="16"/>
        </w:rPr>
      </w:pPr>
      <w:r>
        <w:rPr>
          <w:sz w:val="16"/>
        </w:rPr>
        <w:t>Kilde: Rambøll.</w:t>
      </w:r>
    </w:p>
    <w:p>
      <w:pPr>
        <w:pStyle w:val="BodyText"/>
        <w:spacing w:before="5"/>
        <w:rPr>
          <w:sz w:val="21"/>
        </w:rPr>
      </w:pPr>
    </w:p>
    <w:p>
      <w:pPr>
        <w:pStyle w:val="BodyText"/>
        <w:spacing w:line="264" w:lineRule="auto"/>
        <w:ind w:left="742" w:right="1298"/>
        <w:jc w:val="both"/>
      </w:pPr>
      <w:r>
        <w:rPr/>
        <w:t>Det stiller kommunerne, men også hele Danmark over for nye udfordringer i forhold til at sikre en positiv udvikling i landområder og i de eksisterende mindre byer. Bl.a. udfordringer i forhold til at sikre mobilitetsløsninger i sparsomt befolkede områder. Samtidig øges trængselsproblemerne i de større byer.</w:t>
      </w:r>
    </w:p>
    <w:p>
      <w:pPr>
        <w:pStyle w:val="BodyText"/>
        <w:spacing w:before="6"/>
        <w:rPr>
          <w:sz w:val="19"/>
        </w:rPr>
      </w:pPr>
    </w:p>
    <w:p>
      <w:pPr>
        <w:pStyle w:val="BodyText"/>
        <w:spacing w:line="264" w:lineRule="auto" w:before="1"/>
        <w:ind w:left="742" w:right="1128"/>
      </w:pPr>
      <w:r>
        <w:rPr/>
        <w:t>Mens du læser dette, udvikler nye urbane netværk sig. At styre urban vækst så den bidrager posi- tivt til økonomisk fremgang, at forene denne med klimavenlige og bæredygtige udviklingsformer og mindst mulig social udelukkelse, udgør tilsammen en stor udfordring verden rundt. Mange kommu- ner arbejder derfor med at finde den rette balance mellem infrastruktur, økonomisk vækst, miljø og udvikling af samfundet, når de planlægger</w:t>
      </w:r>
      <w:r>
        <w:rPr>
          <w:spacing w:val="-12"/>
        </w:rPr>
        <w:t> </w:t>
      </w:r>
      <w:r>
        <w:rPr/>
        <w:t>fremtiden.</w:t>
      </w:r>
    </w:p>
    <w:p>
      <w:pPr>
        <w:pStyle w:val="BodyText"/>
        <w:spacing w:before="6"/>
        <w:rPr>
          <w:sz w:val="19"/>
        </w:rPr>
      </w:pPr>
    </w:p>
    <w:p>
      <w:pPr>
        <w:pStyle w:val="BodyText"/>
        <w:spacing w:line="264" w:lineRule="auto"/>
        <w:ind w:left="742" w:right="1189"/>
      </w:pPr>
      <w:r>
        <w:rPr/>
        <w:t>Moderne byudvikling er derfor en multifacetteret disciplin, som er gået væk fra silobaseret tænk- ning og styring til tværgående og helhedsorienterede løsninger. Her fokuseres på byernes </w:t>
      </w:r>
      <w:r>
        <w:rPr>
          <w:i/>
        </w:rPr>
        <w:t>fysiske </w:t>
      </w:r>
      <w:r>
        <w:rPr>
          <w:i/>
        </w:rPr>
        <w:t>strukturer </w:t>
      </w:r>
      <w:r>
        <w:rPr/>
        <w:t>(byernes ”hardware”) som infrastruktur, boliger, arealer og erhvervsområder, på byer- nes </w:t>
      </w:r>
      <w:r>
        <w:rPr>
          <w:i/>
        </w:rPr>
        <w:t>sociale strukturer </w:t>
      </w:r>
      <w:r>
        <w:rPr/>
        <w:t>(den ene del af byernes ”software”), herunder hvordan vi lever sammen, samt på byernes </w:t>
      </w:r>
      <w:r>
        <w:rPr>
          <w:i/>
        </w:rPr>
        <w:t>kulturelle strukturer </w:t>
      </w:r>
      <w:r>
        <w:rPr/>
        <w:t>(den anden del af byernes ”software”), herunder bl.a. borge-</w:t>
      </w:r>
    </w:p>
    <w:p>
      <w:pPr>
        <w:spacing w:after="0" w:line="264" w:lineRule="auto"/>
        <w:sectPr>
          <w:pgSz w:w="11910" w:h="16840"/>
          <w:pgMar w:header="0" w:footer="619" w:top="1580" w:bottom="800" w:left="960" w:right="0"/>
        </w:sectPr>
      </w:pPr>
    </w:p>
    <w:p>
      <w:pPr>
        <w:pStyle w:val="BodyText"/>
        <w:spacing w:line="264" w:lineRule="auto" w:before="126"/>
        <w:ind w:left="742" w:right="1242"/>
      </w:pPr>
      <w:r>
        <w:rPr/>
        <w:t>rens engagement og deltagelse i byens liv. Nedenfor gives en række eksempler på, hvordan data fra satellitter i dag anvendes i byudviklingen. Gennemgangen omfatter følgende elementer i byud- viklingen:</w:t>
      </w:r>
    </w:p>
    <w:p>
      <w:pPr>
        <w:pStyle w:val="BodyText"/>
        <w:spacing w:before="7"/>
        <w:rPr>
          <w:sz w:val="19"/>
        </w:rPr>
      </w:pPr>
    </w:p>
    <w:p>
      <w:pPr>
        <w:pStyle w:val="ListParagraph"/>
        <w:numPr>
          <w:ilvl w:val="0"/>
          <w:numId w:val="24"/>
        </w:numPr>
        <w:tabs>
          <w:tab w:pos="1082" w:val="left" w:leader="none"/>
          <w:tab w:pos="1083" w:val="left" w:leader="none"/>
        </w:tabs>
        <w:spacing w:line="240" w:lineRule="auto" w:before="1" w:after="0"/>
        <w:ind w:left="1082" w:right="0" w:hanging="340"/>
        <w:jc w:val="left"/>
        <w:rPr>
          <w:sz w:val="18"/>
        </w:rPr>
      </w:pPr>
      <w:r>
        <w:rPr>
          <w:sz w:val="18"/>
        </w:rPr>
        <w:t>Infrastruktur og</w:t>
      </w:r>
      <w:r>
        <w:rPr>
          <w:spacing w:val="-3"/>
          <w:sz w:val="18"/>
        </w:rPr>
        <w:t> </w:t>
      </w:r>
      <w:r>
        <w:rPr>
          <w:sz w:val="18"/>
        </w:rPr>
        <w:t>mobilitet</w:t>
      </w:r>
    </w:p>
    <w:p>
      <w:pPr>
        <w:pStyle w:val="ListParagraph"/>
        <w:numPr>
          <w:ilvl w:val="0"/>
          <w:numId w:val="24"/>
        </w:numPr>
        <w:tabs>
          <w:tab w:pos="1082" w:val="left" w:leader="none"/>
          <w:tab w:pos="1083" w:val="left" w:leader="none"/>
        </w:tabs>
        <w:spacing w:line="240" w:lineRule="auto" w:before="19" w:after="0"/>
        <w:ind w:left="1082" w:right="0" w:hanging="340"/>
        <w:jc w:val="left"/>
        <w:rPr>
          <w:sz w:val="18"/>
        </w:rPr>
      </w:pPr>
      <w:r>
        <w:rPr>
          <w:sz w:val="18"/>
        </w:rPr>
        <w:t>Vejafgifter</w:t>
      </w:r>
    </w:p>
    <w:p>
      <w:pPr>
        <w:pStyle w:val="ListParagraph"/>
        <w:numPr>
          <w:ilvl w:val="0"/>
          <w:numId w:val="24"/>
        </w:numPr>
        <w:tabs>
          <w:tab w:pos="1082" w:val="left" w:leader="none"/>
          <w:tab w:pos="1083" w:val="left" w:leader="none"/>
        </w:tabs>
        <w:spacing w:line="240" w:lineRule="auto" w:before="19" w:after="0"/>
        <w:ind w:left="1082" w:right="0" w:hanging="340"/>
        <w:jc w:val="left"/>
        <w:rPr>
          <w:sz w:val="18"/>
        </w:rPr>
      </w:pPr>
      <w:r>
        <w:rPr>
          <w:sz w:val="18"/>
        </w:rPr>
        <w:t>Klimasikring</w:t>
      </w:r>
    </w:p>
    <w:p>
      <w:pPr>
        <w:pStyle w:val="ListParagraph"/>
        <w:numPr>
          <w:ilvl w:val="0"/>
          <w:numId w:val="24"/>
        </w:numPr>
        <w:tabs>
          <w:tab w:pos="1082" w:val="left" w:leader="none"/>
          <w:tab w:pos="1083" w:val="left" w:leader="none"/>
        </w:tabs>
        <w:spacing w:line="240" w:lineRule="auto" w:before="20" w:after="0"/>
        <w:ind w:left="1082" w:right="0" w:hanging="340"/>
        <w:jc w:val="left"/>
        <w:rPr>
          <w:sz w:val="18"/>
        </w:rPr>
      </w:pPr>
      <w:r>
        <w:rPr>
          <w:sz w:val="18"/>
        </w:rPr>
        <w:t>Byggeri</w:t>
      </w:r>
    </w:p>
    <w:p>
      <w:pPr>
        <w:pStyle w:val="ListParagraph"/>
        <w:numPr>
          <w:ilvl w:val="0"/>
          <w:numId w:val="24"/>
        </w:numPr>
        <w:tabs>
          <w:tab w:pos="1082" w:val="left" w:leader="none"/>
          <w:tab w:pos="1083" w:val="left" w:leader="none"/>
        </w:tabs>
        <w:spacing w:line="240" w:lineRule="auto" w:before="19" w:after="0"/>
        <w:ind w:left="1082" w:right="0" w:hanging="340"/>
        <w:jc w:val="left"/>
        <w:rPr>
          <w:sz w:val="18"/>
        </w:rPr>
      </w:pPr>
      <w:r>
        <w:rPr>
          <w:sz w:val="18"/>
        </w:rPr>
        <w:t>Energi.</w:t>
      </w:r>
    </w:p>
    <w:p>
      <w:pPr>
        <w:pStyle w:val="BodyText"/>
        <w:spacing w:before="5"/>
        <w:rPr>
          <w:sz w:val="21"/>
        </w:rPr>
      </w:pPr>
    </w:p>
    <w:p>
      <w:pPr>
        <w:pStyle w:val="Heading2"/>
        <w:numPr>
          <w:ilvl w:val="2"/>
          <w:numId w:val="15"/>
        </w:numPr>
        <w:tabs>
          <w:tab w:pos="743" w:val="left" w:leader="none"/>
        </w:tabs>
        <w:spacing w:line="240" w:lineRule="auto" w:before="0" w:after="0"/>
        <w:ind w:left="742" w:right="0" w:hanging="624"/>
        <w:jc w:val="left"/>
      </w:pPr>
      <w:r>
        <w:rPr/>
        <w:t>Infrastruktur og</w:t>
      </w:r>
      <w:r>
        <w:rPr>
          <w:spacing w:val="-2"/>
        </w:rPr>
        <w:t> </w:t>
      </w:r>
      <w:r>
        <w:rPr/>
        <w:t>mobilitet</w:t>
      </w:r>
    </w:p>
    <w:p>
      <w:pPr>
        <w:pStyle w:val="BodyText"/>
        <w:spacing w:line="264" w:lineRule="auto" w:before="21"/>
        <w:ind w:left="742" w:right="1269"/>
        <w:jc w:val="both"/>
      </w:pPr>
      <w:r>
        <w:rPr/>
        <w:t>Infrastruktur som helhed – herunder veje, jernbaner, cykelstier eller fiberoptiske kabler – eksiste- rer for at øge mobiliteten i samfundet og for at forbinde mennesker og varer, viden og innovation, byer og regioner.</w:t>
      </w:r>
    </w:p>
    <w:p>
      <w:pPr>
        <w:pStyle w:val="BodyText"/>
        <w:spacing w:before="8"/>
        <w:rPr>
          <w:sz w:val="19"/>
        </w:rPr>
      </w:pPr>
    </w:p>
    <w:p>
      <w:pPr>
        <w:pStyle w:val="BodyText"/>
        <w:spacing w:line="264" w:lineRule="auto"/>
        <w:ind w:left="742" w:right="1166"/>
      </w:pPr>
      <w:r>
        <w:rPr/>
        <w:t>Beslutninger om udvidelse og placering af infrastruktur kræver den bedst mulige information om eksisterende transport- og andre mønstre. GPS-løsninger er i flere eksempler blevet benyttet til at indsamle data om mobilitetsmønstre i danske byer, herunder eksempelvis i Aalborg. I Kolding prio- riterer kommunen intelligent trafikstyring højt og gennemfører derfor GPS-baserede realtidsmålin- ger af rejsetiden på udvalgte strækninger på vejnettet. Hermed er det muligt at prioritere indsat- sen til de kryds og strækninger, hvor der er størst forsinkelse i myldretiden, og dermed kan der spares mest tid pr. investeret krone. Derudover er det muligt at bruge JO-data til at overvåge tra- fiktætheden på veje, eksempelvis i myldretiden, og belægningsgraden på eksisterende parkerings- pladser.</w:t>
      </w:r>
      <w:r>
        <w:rPr>
          <w:w w:val="99"/>
          <w:position w:val="6"/>
          <w:sz w:val="8"/>
        </w:rPr>
        <w:t>119</w:t>
      </w:r>
      <w:r>
        <w:rPr>
          <w:position w:val="6"/>
          <w:sz w:val="8"/>
        </w:rPr>
        <w:t>  </w:t>
      </w:r>
      <w:r>
        <w:rPr/>
        <w:t>I takt med at JO’s dækning bliver mere komplet, og genbesøgstiden på enkelte lokalite- ter reduceres, kan man forestille sig at disse data sammen med data fra brugeres bilnavigations- enheder kan bruges til smart ruteplanlægning, der kan sikre, at bilisterne bliver ledt ad den bedste rute til en fri parkeringsplads.</w:t>
      </w:r>
    </w:p>
    <w:p>
      <w:pPr>
        <w:pStyle w:val="BodyText"/>
        <w:spacing w:before="1"/>
        <w:rPr>
          <w:sz w:val="19"/>
        </w:rPr>
      </w:pPr>
    </w:p>
    <w:p>
      <w:pPr>
        <w:pStyle w:val="BodyText"/>
        <w:spacing w:line="264" w:lineRule="auto"/>
        <w:ind w:left="742" w:right="1212"/>
      </w:pPr>
      <w:r>
        <w:rPr/>
        <w:t>Satellitdata rummer også muligheder for at forbedre mobiliteten og dermed livskvaliteten for ud- satte grupper af borgere. I England sigter projektet ”Cities Unlocked” således mod at forbedre be- vægelsesmulighederne for udsatte borgere gennem brugen af udstyr, der giver blinde og svagt- seende et lydlandskab i 3D, som forbedrer deres samlede information om omgivelserne. Satellit- data anvendes i denne sammenhæng til at forbedre information om lokaliseringen og tilføjer desu- den et vertikalt aspekt til lydlandskabet.</w:t>
      </w:r>
      <w:r>
        <w:rPr>
          <w:vertAlign w:val="superscript"/>
        </w:rPr>
        <w:t>120</w:t>
      </w:r>
    </w:p>
    <w:p>
      <w:pPr>
        <w:pStyle w:val="BodyText"/>
        <w:spacing w:before="6"/>
        <w:rPr>
          <w:sz w:val="19"/>
        </w:rPr>
      </w:pPr>
    </w:p>
    <w:p>
      <w:pPr>
        <w:pStyle w:val="ListParagraph"/>
        <w:numPr>
          <w:ilvl w:val="2"/>
          <w:numId w:val="15"/>
        </w:numPr>
        <w:tabs>
          <w:tab w:pos="743" w:val="left" w:leader="none"/>
        </w:tabs>
        <w:spacing w:line="240" w:lineRule="auto" w:before="0" w:after="0"/>
        <w:ind w:left="742" w:right="0" w:hanging="624"/>
        <w:jc w:val="left"/>
        <w:rPr>
          <w:b/>
          <w:sz w:val="18"/>
        </w:rPr>
      </w:pPr>
      <w:r>
        <w:rPr>
          <w:b/>
          <w:sz w:val="18"/>
        </w:rPr>
        <w:t>Vejafgifter</w:t>
      </w:r>
    </w:p>
    <w:p>
      <w:pPr>
        <w:pStyle w:val="BodyText"/>
        <w:spacing w:line="264" w:lineRule="auto" w:before="21"/>
        <w:ind w:left="742" w:right="1128"/>
      </w:pPr>
      <w:r>
        <w:rPr/>
        <w:t>I Danmark opkræves der en række afgifter fra bilisterne for at køre på vejene. Blandt disse er regi- streringsafgiften, ejerafgiften, benzinafgiften og parkeringsafgiften. Afgifterne afspejler ikke selve kørslen på vejene, men er i stedet et udtryk for en indirekte beskatning. Som eksempel er registre- ringsafgiften en afgift, der betales for at have et køretøj registreret, ikke for at benytte det. Derud- over kan der benyttes andre afgifter, som er en direkte vejbenyttelsesafgift. Disse er bl.a. beta- lingsstationer og road pricing.</w:t>
      </w:r>
    </w:p>
    <w:p>
      <w:pPr>
        <w:pStyle w:val="BodyText"/>
        <w:spacing w:before="5"/>
        <w:rPr>
          <w:sz w:val="19"/>
        </w:rPr>
      </w:pPr>
    </w:p>
    <w:p>
      <w:pPr>
        <w:pStyle w:val="BodyText"/>
        <w:spacing w:line="264" w:lineRule="auto"/>
        <w:ind w:left="742" w:right="1201"/>
      </w:pPr>
      <w:r>
        <w:rPr/>
        <w:t>Forslag om betalingsring omkring København og andre former for road pricing dukker jævnligt op i den politiske debat. I det Europæiske GNSS Agenturs GNSS Market Report Issue 2 fra maj 2012</w:t>
      </w:r>
      <w:r>
        <w:rPr>
          <w:w w:val="99"/>
          <w:position w:val="6"/>
          <w:sz w:val="8"/>
        </w:rPr>
        <w:t>121 </w:t>
      </w:r>
      <w:r>
        <w:rPr/>
        <w:t>er Danmark nævnt som et land, der overvejer at implementere et GNSS-baseret vejafgiftssystem. De eksisterende vejafgifter på de danske broer bruger ikke GNSS, men hvis politikerne overvejer at introducere vejafgifter, er GNSS en mulighed der bør overvejes. Europas mest udviklede vejaf- giftssystem findes i Slovakiet, hvor betaling for brug af 17.762 km vejnetværk</w:t>
      </w:r>
      <w:r>
        <w:rPr>
          <w:w w:val="99"/>
          <w:position w:val="6"/>
          <w:sz w:val="8"/>
        </w:rPr>
        <w:t>122</w:t>
      </w:r>
      <w:r>
        <w:rPr>
          <w:position w:val="6"/>
          <w:sz w:val="8"/>
        </w:rPr>
        <w:t>  </w:t>
      </w:r>
      <w:r>
        <w:rPr/>
        <w:t>opkræves baseret</w:t>
      </w:r>
    </w:p>
    <w:p>
      <w:pPr>
        <w:pStyle w:val="BodyText"/>
        <w:spacing w:before="10"/>
        <w:rPr>
          <w:sz w:val="8"/>
        </w:rPr>
      </w:pPr>
      <w:r>
        <w:rPr/>
        <w:pict>
          <v:line style="position:absolute;mso-position-horizontal-relative:page;mso-position-vertical-relative:paragraph;z-index:5648;mso-wrap-distance-left:0;mso-wrap-distance-right:0" from="85.103996pt,7.601015pt" to="229.123996pt,7.601015pt" stroked="true" strokeweight=".48004pt" strokecolor="#000000">
            <v:stroke dashstyle="solid"/>
            <w10:wrap type="topAndBottom"/>
          </v:line>
        </w:pict>
      </w:r>
    </w:p>
    <w:p>
      <w:pPr>
        <w:spacing w:before="99"/>
        <w:ind w:left="742" w:right="0" w:firstLine="0"/>
        <w:jc w:val="left"/>
        <w:rPr>
          <w:sz w:val="13"/>
        </w:rPr>
      </w:pPr>
      <w:r>
        <w:rPr>
          <w:position w:val="6"/>
          <w:sz w:val="8"/>
        </w:rPr>
        <w:t>119 </w:t>
      </w:r>
      <w:hyperlink r:id="rId140">
        <w:r>
          <w:rPr>
            <w:color w:val="009DDF"/>
            <w:sz w:val="13"/>
          </w:rPr>
          <w:t>http://www.pixalytics.com/tag/earth-observation/</w:t>
        </w:r>
        <w:r>
          <w:rPr>
            <w:sz w:val="13"/>
          </w:rPr>
          <w:t>.</w:t>
        </w:r>
      </w:hyperlink>
    </w:p>
    <w:p>
      <w:pPr>
        <w:spacing w:before="41"/>
        <w:ind w:left="742" w:right="0" w:firstLine="0"/>
        <w:jc w:val="left"/>
        <w:rPr>
          <w:sz w:val="13"/>
        </w:rPr>
      </w:pPr>
      <w:r>
        <w:rPr>
          <w:position w:val="6"/>
          <w:sz w:val="8"/>
        </w:rPr>
        <w:t>120 </w:t>
      </w:r>
      <w:r>
        <w:rPr>
          <w:sz w:val="13"/>
        </w:rPr>
        <w:t>London Economics, 2015: The Case for Space 2015 – Case Studies.</w:t>
      </w:r>
    </w:p>
    <w:p>
      <w:pPr>
        <w:spacing w:before="43"/>
        <w:ind w:left="742" w:right="0" w:firstLine="0"/>
        <w:jc w:val="left"/>
        <w:rPr>
          <w:sz w:val="13"/>
        </w:rPr>
      </w:pPr>
      <w:r>
        <w:rPr>
          <w:position w:val="6"/>
          <w:sz w:val="8"/>
        </w:rPr>
        <w:t>121 </w:t>
      </w:r>
      <w:hyperlink r:id="rId141">
        <w:r>
          <w:rPr>
            <w:color w:val="009DDF"/>
            <w:sz w:val="13"/>
          </w:rPr>
          <w:t>http://www.gsa.europa.eu/market/market-report.</w:t>
        </w:r>
      </w:hyperlink>
    </w:p>
    <w:p>
      <w:pPr>
        <w:spacing w:before="41"/>
        <w:ind w:left="742" w:right="0" w:firstLine="0"/>
        <w:jc w:val="left"/>
        <w:rPr>
          <w:sz w:val="13"/>
        </w:rPr>
      </w:pPr>
      <w:r>
        <w:rPr>
          <w:position w:val="6"/>
          <w:sz w:val="8"/>
        </w:rPr>
        <w:t>122 </w:t>
      </w:r>
      <w:r>
        <w:rPr>
          <w:sz w:val="13"/>
        </w:rPr>
        <w:t>Dvs. landets motorveje, primære og sekundære veje eller 41 % af det samlede netværk (Eurostat).</w:t>
      </w:r>
    </w:p>
    <w:p>
      <w:pPr>
        <w:spacing w:after="0"/>
        <w:jc w:val="left"/>
        <w:rPr>
          <w:sz w:val="13"/>
        </w:rPr>
        <w:sectPr>
          <w:pgSz w:w="11910" w:h="16840"/>
          <w:pgMar w:header="0" w:footer="619" w:top="1580" w:bottom="800" w:left="960" w:right="0"/>
        </w:sectPr>
      </w:pPr>
    </w:p>
    <w:p>
      <w:pPr>
        <w:pStyle w:val="BodyText"/>
        <w:spacing w:line="264" w:lineRule="auto" w:before="126"/>
        <w:ind w:left="742" w:right="1274"/>
      </w:pPr>
      <w:r>
        <w:rPr/>
        <w:t>på en GNSS-modtager i landets biler.</w:t>
      </w:r>
      <w:r>
        <w:rPr>
          <w:w w:val="99"/>
          <w:position w:val="6"/>
          <w:sz w:val="8"/>
        </w:rPr>
        <w:t>123</w:t>
      </w:r>
      <w:r>
        <w:rPr>
          <w:position w:val="6"/>
          <w:sz w:val="8"/>
        </w:rPr>
        <w:t>  </w:t>
      </w:r>
      <w:r>
        <w:rPr/>
        <w:t>Slovakiets to ambitioner om vejafgift på mindre veje samt at bilister kun skal betale for reel brug har gjort, at GNSS er den eneste brugbare løsning. Vignet- ter med fast pris ville således ikke være rimelige, og øvrige teknologier såsom kameramonterede broer over vejen ville blive alt for dyre at sætte op mellem alle kryds på de små veje.</w:t>
      </w:r>
    </w:p>
    <w:p>
      <w:pPr>
        <w:pStyle w:val="BodyText"/>
        <w:spacing w:before="7"/>
        <w:rPr>
          <w:sz w:val="19"/>
        </w:rPr>
      </w:pPr>
    </w:p>
    <w:p>
      <w:pPr>
        <w:pStyle w:val="ListParagraph"/>
        <w:numPr>
          <w:ilvl w:val="2"/>
          <w:numId w:val="15"/>
        </w:numPr>
        <w:tabs>
          <w:tab w:pos="743" w:val="left" w:leader="none"/>
        </w:tabs>
        <w:spacing w:line="240" w:lineRule="auto" w:before="0" w:after="0"/>
        <w:ind w:left="742" w:right="0" w:hanging="624"/>
        <w:jc w:val="left"/>
        <w:rPr>
          <w:b/>
          <w:sz w:val="18"/>
        </w:rPr>
      </w:pPr>
      <w:r>
        <w:rPr>
          <w:b/>
          <w:sz w:val="18"/>
        </w:rPr>
        <w:t>Klimasikring</w:t>
      </w:r>
    </w:p>
    <w:p>
      <w:pPr>
        <w:pStyle w:val="BodyText"/>
        <w:spacing w:line="264" w:lineRule="auto" w:before="21"/>
        <w:ind w:left="742" w:right="1156"/>
        <w:rPr>
          <w:sz w:val="8"/>
        </w:rPr>
      </w:pPr>
      <w:r>
        <w:rPr/>
        <w:t>Storme, skybrud, ekstrem regn og havvandsstigninger præger allerede det danske klima. Storm- skader og oversvømmede kældre forårsaget af klimaændringerne er allerede nu blevet et stort problem. Det er anslået af Videnscenter for Byudvikling, at det allerede i dag koster mere end 10 mia. DKK årligt at udbedre skader efter oversvømmelser, fugt og skimmelsvamp. Eftersom menne- sker og værdier koncentreres i byerne, rammes byernes hårdest af klimaændringerne. Derfor ud- gør klimasikring et centralt element i den moderne byudvikling.</w:t>
      </w:r>
      <w:r>
        <w:rPr>
          <w:w w:val="99"/>
          <w:position w:val="6"/>
          <w:sz w:val="8"/>
        </w:rPr>
        <w:t>124</w:t>
      </w:r>
    </w:p>
    <w:p>
      <w:pPr>
        <w:pStyle w:val="BodyText"/>
        <w:spacing w:before="5"/>
        <w:rPr>
          <w:sz w:val="19"/>
        </w:rPr>
      </w:pPr>
    </w:p>
    <w:p>
      <w:pPr>
        <w:pStyle w:val="BodyText"/>
        <w:spacing w:line="264" w:lineRule="auto"/>
        <w:ind w:left="742" w:right="1127"/>
        <w:rPr>
          <w:sz w:val="8"/>
        </w:rPr>
      </w:pPr>
      <w:r>
        <w:rPr/>
        <w:t>Rumteknologi og -data bruges i stigende grad til at forebygge oversvømmelser og håndtere over- svømmelserne, når de sker. På baggrund af data indhentet med rumteknologi gennem det europæ- iske Copernicus-program er det eksempelvis muligt at kortlægge oversvømmelsestruede områder, opmåle havbunden eller udarbejde Danmarks Højdemodel, der viser landskabets højdeforhold i høj opløsning. Rumdata indhentes typisk via satellitter, fly eller droner. Sidstnævnte er så lette at an- vende, at Miljøministeriets styrelser selv sender dronerne til vejrs hen over Danmark til indsamling af de data og den information, som bruges i et bredt udsnit af styrelsernes opgaver. Det kan være, hvis der skal skabes et overblik over for eksempel en vandløbs- eller en kyststrækning, eller hvis der er brug for overblik over landområder. Når akutte oversvømmelser rammer, har beredskabet fået droner, som sender billeder til redningsfolkene. På den måde kan de bedre planlægge, hvor de skal lægge sandsække eller indsætte mobile dæmninger.</w:t>
      </w:r>
      <w:r>
        <w:rPr>
          <w:w w:val="99"/>
          <w:position w:val="6"/>
          <w:sz w:val="8"/>
        </w:rPr>
        <w:t>125</w:t>
      </w:r>
    </w:p>
    <w:p>
      <w:pPr>
        <w:pStyle w:val="BodyText"/>
        <w:spacing w:before="3"/>
        <w:rPr>
          <w:sz w:val="19"/>
        </w:rPr>
      </w:pPr>
    </w:p>
    <w:p>
      <w:pPr>
        <w:pStyle w:val="BodyText"/>
        <w:spacing w:line="264" w:lineRule="auto"/>
        <w:ind w:left="742" w:right="6289"/>
        <w:rPr>
          <w:sz w:val="8"/>
        </w:rPr>
      </w:pPr>
      <w:r>
        <w:rPr/>
        <w:drawing>
          <wp:anchor distT="0" distB="0" distL="0" distR="0" allowOverlap="1" layoutInCell="1" locked="0" behindDoc="0" simplePos="0" relativeHeight="7744">
            <wp:simplePos x="0" y="0"/>
            <wp:positionH relativeFrom="page">
              <wp:posOffset>3909314</wp:posOffset>
            </wp:positionH>
            <wp:positionV relativeFrom="paragraph">
              <wp:posOffset>383899</wp:posOffset>
            </wp:positionV>
            <wp:extent cx="2905124" cy="2495549"/>
            <wp:effectExtent l="0" t="0" r="0" b="0"/>
            <wp:wrapNone/>
            <wp:docPr id="79" name="image62.jpeg" descr=""/>
            <wp:cNvGraphicFramePr>
              <a:graphicFrameLocks noChangeAspect="1"/>
            </wp:cNvGraphicFramePr>
            <a:graphic>
              <a:graphicData uri="http://schemas.openxmlformats.org/drawingml/2006/picture">
                <pic:pic>
                  <pic:nvPicPr>
                    <pic:cNvPr id="80" name="image62.jpeg"/>
                    <pic:cNvPicPr/>
                  </pic:nvPicPr>
                  <pic:blipFill>
                    <a:blip r:embed="rId143" cstate="print"/>
                    <a:stretch>
                      <a:fillRect/>
                    </a:stretch>
                  </pic:blipFill>
                  <pic:spPr>
                    <a:xfrm>
                      <a:off x="0" y="0"/>
                      <a:ext cx="2905124" cy="2495549"/>
                    </a:xfrm>
                    <a:prstGeom prst="rect">
                      <a:avLst/>
                    </a:prstGeom>
                  </pic:spPr>
                </pic:pic>
              </a:graphicData>
            </a:graphic>
          </wp:anchor>
        </w:drawing>
      </w:r>
      <w:r>
        <w:rPr/>
        <w:pict>
          <v:shape style="position:absolute;margin-left:287.670013pt;margin-top:15.00773pt;width:265.6pt;height:241.9pt;mso-position-horizontal-relative:page;mso-position-vertical-relative:paragraph;z-index:77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2"/>
                  </w:tblGrid>
                  <w:tr>
                    <w:trPr>
                      <w:trHeight w:val="2293" w:hRule="atLeast"/>
                    </w:trPr>
                    <w:tc>
                      <w:tcPr>
                        <w:tcW w:w="5312" w:type="dxa"/>
                      </w:tcPr>
                      <w:p>
                        <w:pPr>
                          <w:pStyle w:val="TableParagraph"/>
                          <w:spacing w:before="1"/>
                          <w:ind w:left="200"/>
                          <w:rPr>
                            <w:b/>
                            <w:sz w:val="15"/>
                          </w:rPr>
                        </w:pPr>
                        <w:r>
                          <w:rPr>
                            <w:b/>
                            <w:color w:val="009DDF"/>
                            <w:sz w:val="15"/>
                          </w:rPr>
                          <w:t>Figur 28. Her synker Thyborøn</w:t>
                        </w:r>
                      </w:p>
                    </w:tc>
                  </w:tr>
                  <w:tr>
                    <w:trPr>
                      <w:trHeight w:val="2544" w:hRule="atLeast"/>
                    </w:trPr>
                    <w:tc>
                      <w:tcPr>
                        <w:tcW w:w="5312" w:type="dxa"/>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10"/>
                          <w:ind w:left="0"/>
                          <w:rPr>
                            <w:sz w:val="29"/>
                          </w:rPr>
                        </w:pPr>
                      </w:p>
                      <w:p>
                        <w:pPr>
                          <w:pStyle w:val="TableParagraph"/>
                          <w:spacing w:line="240" w:lineRule="atLeast" w:before="0"/>
                          <w:ind w:left="200" w:right="179"/>
                          <w:rPr>
                            <w:sz w:val="16"/>
                          </w:rPr>
                        </w:pPr>
                        <w:r>
                          <w:rPr>
                            <w:sz w:val="16"/>
                          </w:rPr>
                          <w:t>Kilde: Ingeniøren, 2016: Kortlægning af jordbevægelser skal målrette klimatilpasningen.</w:t>
                        </w:r>
                      </w:p>
                    </w:tc>
                  </w:tr>
                </w:tbl>
                <w:p>
                  <w:pPr>
                    <w:pStyle w:val="BodyText"/>
                  </w:pPr>
                </w:p>
              </w:txbxContent>
            </v:textbox>
            <w10:wrap type="none"/>
          </v:shape>
        </w:pict>
      </w:r>
      <w:r>
        <w:rPr/>
        <w:t>I Danmark anvendes JO forsøgsmæssigt i Thyborøn, hvor målet er at nå frem til en komplet fremskrivning af de næste mange års landhævninger og -sænkninger, hvilket udgør et væsentligt element i planlægnin- gen af den lokale klimatilpasning. Frem- skrivningen sker i samarbejdet med blandt andre Kystdirektoratet og Styrelsen for Dataforsyning og Effektivisering. Undersø- gelserne baseres bl.a. på en 3D- modellering af undergrunden og dens rela- tioner til de registrerede sætninger. For at 3D-modellen kan klarlægge årsagen til, at landet synker eller hæver sig, bliver den sammenholdt med viden fra op til 100 år gamle målepunkter i Thyborøn og JO-data fra satellitten Senitel-1, som hver 12. dag optager et radarbillede af Danmarks land- overflade. Lægger man billederne sammen over en periode, giver de et overblik over sætninger i Danmark.</w:t>
      </w:r>
      <w:r>
        <w:rPr>
          <w:w w:val="99"/>
          <w:position w:val="6"/>
          <w:sz w:val="8"/>
        </w:rPr>
        <w:t>126</w:t>
      </w: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5672;mso-wrap-distance-left:0;mso-wrap-distance-right:0" from="85.103996pt,18.823330pt" to="229.123996pt,18.823330pt" stroked="true" strokeweight=".48004pt" strokecolor="#000000">
            <v:stroke dashstyle="solid"/>
            <w10:wrap type="topAndBottom"/>
          </v:line>
        </w:pict>
      </w:r>
    </w:p>
    <w:p>
      <w:pPr>
        <w:spacing w:before="99"/>
        <w:ind w:left="742" w:right="0" w:firstLine="0"/>
        <w:jc w:val="left"/>
        <w:rPr>
          <w:i/>
          <w:sz w:val="13"/>
        </w:rPr>
      </w:pPr>
      <w:r>
        <w:rPr>
          <w:position w:val="6"/>
          <w:sz w:val="8"/>
        </w:rPr>
        <w:t>123 </w:t>
      </w:r>
      <w:r>
        <w:rPr>
          <w:sz w:val="13"/>
        </w:rPr>
        <w:t>Det Europæiske GNSS Agentur (2015) </w:t>
      </w:r>
      <w:r>
        <w:rPr>
          <w:i/>
          <w:sz w:val="13"/>
        </w:rPr>
        <w:t>GNSS Market Report Issue 4.</w:t>
      </w:r>
    </w:p>
    <w:p>
      <w:pPr>
        <w:spacing w:before="41"/>
        <w:ind w:left="742" w:right="0" w:firstLine="0"/>
        <w:jc w:val="left"/>
        <w:rPr>
          <w:sz w:val="13"/>
        </w:rPr>
      </w:pPr>
      <w:r>
        <w:rPr>
          <w:position w:val="6"/>
          <w:sz w:val="8"/>
        </w:rPr>
        <w:t>124 </w:t>
      </w:r>
      <w:hyperlink r:id="rId144">
        <w:r>
          <w:rPr>
            <w:color w:val="009DDF"/>
            <w:sz w:val="13"/>
          </w:rPr>
          <w:t>https://www.realdaniadebat.dk/privatboligforum/Pages/Debatm%C3%B8de-i-Privat-Boligforum-03-09-2015.aspx</w:t>
        </w:r>
      </w:hyperlink>
    </w:p>
    <w:p>
      <w:pPr>
        <w:spacing w:before="43"/>
        <w:ind w:left="742" w:right="0" w:firstLine="0"/>
        <w:jc w:val="left"/>
        <w:rPr>
          <w:sz w:val="13"/>
        </w:rPr>
      </w:pPr>
      <w:r>
        <w:rPr>
          <w:position w:val="6"/>
          <w:sz w:val="8"/>
        </w:rPr>
        <w:t>125 </w:t>
      </w:r>
      <w:hyperlink r:id="rId145">
        <w:r>
          <w:rPr>
            <w:color w:val="009DDF"/>
            <w:sz w:val="13"/>
          </w:rPr>
          <w:t>http://www.klimatilpasning.dk/aktuelt/nyheder/2015/april-2015/rumteknologi-mod-oversvoemmelser.aspx</w:t>
        </w:r>
      </w:hyperlink>
    </w:p>
    <w:p>
      <w:pPr>
        <w:spacing w:before="41"/>
        <w:ind w:left="742" w:right="0" w:firstLine="0"/>
        <w:jc w:val="left"/>
        <w:rPr>
          <w:sz w:val="13"/>
        </w:rPr>
      </w:pPr>
      <w:r>
        <w:rPr>
          <w:position w:val="6"/>
          <w:sz w:val="8"/>
        </w:rPr>
        <w:t>126 </w:t>
      </w:r>
      <w:r>
        <w:rPr>
          <w:sz w:val="13"/>
        </w:rPr>
        <w:t>Ingeniøren, 2016: Kortlægning af jordbevægelser skal målrette klimatilpasningen.</w:t>
      </w:r>
    </w:p>
    <w:p>
      <w:pPr>
        <w:spacing w:after="0"/>
        <w:jc w:val="left"/>
        <w:rPr>
          <w:sz w:val="13"/>
        </w:rPr>
        <w:sectPr>
          <w:footerReference w:type="default" r:id="rId142"/>
          <w:pgSz w:w="11910" w:h="16840"/>
          <w:pgMar w:footer="539" w:header="0" w:top="1580" w:bottom="720" w:left="960" w:right="0"/>
          <w:pgNumType w:start="77"/>
        </w:sectPr>
      </w:pPr>
    </w:p>
    <w:p>
      <w:pPr>
        <w:pStyle w:val="ListParagraph"/>
        <w:numPr>
          <w:ilvl w:val="2"/>
          <w:numId w:val="15"/>
        </w:numPr>
        <w:tabs>
          <w:tab w:pos="743" w:val="left" w:leader="none"/>
        </w:tabs>
        <w:spacing w:line="240" w:lineRule="auto" w:before="126" w:after="0"/>
        <w:ind w:left="742" w:right="0" w:hanging="624"/>
        <w:jc w:val="left"/>
        <w:rPr>
          <w:b/>
          <w:sz w:val="18"/>
        </w:rPr>
      </w:pPr>
      <w:r>
        <w:rPr>
          <w:b/>
          <w:sz w:val="18"/>
        </w:rPr>
        <w:t>Byggeri</w:t>
      </w:r>
    </w:p>
    <w:p>
      <w:pPr>
        <w:pStyle w:val="BodyText"/>
        <w:spacing w:line="264" w:lineRule="auto" w:before="22"/>
        <w:ind w:left="742" w:right="1144"/>
      </w:pPr>
      <w:r>
        <w:rPr/>
        <w:t>Urbaniseringen skaber pres på den eksisterende infrastruktur i byerne, og i mange tilfælde er det nødvendigt at udvide vejnetværk og boligmængden. Rummet er relevant for to typer byggeri, nemlig anlæg af nye bygninger og infrastruktur samt overvågning af eksisterende anlæg. For an- læg af nye bygninger er GNSS en væsentlig kilde til effektivisering, idet systemer med høj præcisi- on tillader, at alle faser i projektet kan målrettes den endelige plan. I fremtiden kan man forestille sig, at entreprenørerne vil abonnere på Galileos kommercielle tjeneste, men indtil da er differential GNSS (DGNSS) og Real Time Kinematic (RTK) brugbare substitutter. RTK giver ned til 1-2 cm nøj- ag</w:t>
      </w:r>
      <w:r>
        <w:rPr>
          <w:spacing w:val="1"/>
        </w:rPr>
        <w:t>t</w:t>
      </w:r>
      <w:r>
        <w:rPr/>
        <w:t>ig</w:t>
      </w:r>
      <w:r>
        <w:rPr>
          <w:spacing w:val="-2"/>
        </w:rPr>
        <w:t>h</w:t>
      </w:r>
      <w:r>
        <w:rPr/>
        <w:t>ed</w:t>
      </w:r>
      <w:r>
        <w:rPr>
          <w:spacing w:val="-1"/>
        </w:rPr>
        <w:t> v</w:t>
      </w:r>
      <w:r>
        <w:rPr/>
        <w:t>ed</w:t>
      </w:r>
      <w:r>
        <w:rPr>
          <w:spacing w:val="-1"/>
        </w:rPr>
        <w:t> </w:t>
      </w:r>
      <w:r>
        <w:rPr/>
        <w:t>at</w:t>
      </w:r>
      <w:r>
        <w:rPr>
          <w:spacing w:val="-1"/>
        </w:rPr>
        <w:t> </w:t>
      </w:r>
      <w:r>
        <w:rPr/>
        <w:t>s</w:t>
      </w:r>
      <w:r>
        <w:rPr>
          <w:spacing w:val="-2"/>
        </w:rPr>
        <w:t>u</w:t>
      </w:r>
      <w:r>
        <w:rPr/>
        <w:t>pp</w:t>
      </w:r>
      <w:r>
        <w:rPr>
          <w:spacing w:val="-2"/>
        </w:rPr>
        <w:t>l</w:t>
      </w:r>
      <w:r>
        <w:rPr/>
        <w:t>ere</w:t>
      </w:r>
      <w:r>
        <w:rPr>
          <w:spacing w:val="-3"/>
        </w:rPr>
        <w:t> </w:t>
      </w:r>
      <w:r>
        <w:rPr>
          <w:spacing w:val="-1"/>
        </w:rPr>
        <w:t>GNS</w:t>
      </w:r>
      <w:r>
        <w:rPr>
          <w:spacing w:val="1"/>
        </w:rPr>
        <w:t>S</w:t>
      </w:r>
      <w:r>
        <w:rPr>
          <w:spacing w:val="-1"/>
        </w:rPr>
        <w:t>-</w:t>
      </w:r>
      <w:r>
        <w:rPr/>
        <w:t>sig</w:t>
      </w:r>
      <w:r>
        <w:rPr>
          <w:spacing w:val="-2"/>
        </w:rPr>
        <w:t>n</w:t>
      </w:r>
      <w:r>
        <w:rPr/>
        <w:t>alet med</w:t>
      </w:r>
      <w:r>
        <w:rPr>
          <w:spacing w:val="-1"/>
        </w:rPr>
        <w:t> </w:t>
      </w:r>
      <w:r>
        <w:rPr/>
        <w:t>lo</w:t>
      </w:r>
      <w:r>
        <w:rPr>
          <w:spacing w:val="-1"/>
        </w:rPr>
        <w:t>k</w:t>
      </w:r>
      <w:r>
        <w:rPr/>
        <w:t>ale</w:t>
      </w:r>
      <w:r>
        <w:rPr>
          <w:spacing w:val="-3"/>
        </w:rPr>
        <w:t> </w:t>
      </w:r>
      <w:r>
        <w:rPr>
          <w:spacing w:val="-1"/>
        </w:rPr>
        <w:t>k</w:t>
      </w:r>
      <w:r>
        <w:rPr/>
        <w:t>orre</w:t>
      </w:r>
      <w:r>
        <w:rPr>
          <w:spacing w:val="-1"/>
        </w:rPr>
        <w:t>k</w:t>
      </w:r>
      <w:r>
        <w:rPr/>
        <w:t>tio</w:t>
      </w:r>
      <w:r>
        <w:rPr>
          <w:spacing w:val="-2"/>
        </w:rPr>
        <w:t>n</w:t>
      </w:r>
      <w:r>
        <w:rPr/>
        <w:t>s</w:t>
      </w:r>
      <w:r>
        <w:rPr>
          <w:spacing w:val="-2"/>
        </w:rPr>
        <w:t>f</w:t>
      </w:r>
      <w:r>
        <w:rPr/>
        <w:t>a</w:t>
      </w:r>
      <w:r>
        <w:rPr>
          <w:spacing w:val="-1"/>
        </w:rPr>
        <w:t>k</w:t>
      </w:r>
      <w:r>
        <w:rPr/>
        <w:t>torer.</w:t>
      </w:r>
      <w:r>
        <w:rPr>
          <w:w w:val="99"/>
          <w:position w:val="6"/>
          <w:sz w:val="8"/>
        </w:rPr>
        <w:t>127</w:t>
      </w:r>
      <w:r>
        <w:rPr>
          <w:position w:val="6"/>
          <w:sz w:val="8"/>
        </w:rPr>
        <w:t> </w:t>
      </w:r>
      <w:r>
        <w:rPr>
          <w:spacing w:val="6"/>
          <w:position w:val="6"/>
          <w:sz w:val="8"/>
        </w:rPr>
        <w:t> </w:t>
      </w:r>
      <w:r>
        <w:rPr/>
        <w:t>Der</w:t>
      </w:r>
      <w:r>
        <w:rPr>
          <w:spacing w:val="-1"/>
        </w:rPr>
        <w:t> </w:t>
      </w:r>
      <w:r>
        <w:rPr/>
        <w:t>er</w:t>
      </w:r>
      <w:r>
        <w:rPr>
          <w:spacing w:val="-1"/>
        </w:rPr>
        <w:t> f</w:t>
      </w:r>
      <w:r>
        <w:rPr/>
        <w:t>lere</w:t>
      </w:r>
      <w:r>
        <w:rPr>
          <w:spacing w:val="-1"/>
        </w:rPr>
        <w:t> k</w:t>
      </w:r>
      <w:r>
        <w:rPr/>
        <w:t>ommerci</w:t>
      </w:r>
      <w:r>
        <w:rPr>
          <w:spacing w:val="-2"/>
        </w:rPr>
        <w:t>e</w:t>
      </w:r>
      <w:r>
        <w:rPr/>
        <w:t>lle m</w:t>
      </w:r>
      <w:r>
        <w:rPr>
          <w:spacing w:val="-2"/>
        </w:rPr>
        <w:t>u</w:t>
      </w:r>
      <w:r>
        <w:rPr/>
        <w:t>lig</w:t>
      </w:r>
      <w:r>
        <w:rPr>
          <w:spacing w:val="-2"/>
        </w:rPr>
        <w:t>h</w:t>
      </w:r>
      <w:r>
        <w:rPr/>
        <w:t>eder</w:t>
      </w:r>
      <w:r>
        <w:rPr>
          <w:spacing w:val="-1"/>
        </w:rPr>
        <w:t> f</w:t>
      </w:r>
      <w:r>
        <w:rPr/>
        <w:t>or</w:t>
      </w:r>
      <w:r>
        <w:rPr>
          <w:spacing w:val="-1"/>
        </w:rPr>
        <w:t> RT</w:t>
      </w:r>
      <w:r>
        <w:rPr/>
        <w:t>K</w:t>
      </w:r>
      <w:r>
        <w:rPr>
          <w:spacing w:val="-1"/>
        </w:rPr>
        <w:t> </w:t>
      </w:r>
      <w:r>
        <w:rPr/>
        <w:t>i Da</w:t>
      </w:r>
      <w:r>
        <w:rPr>
          <w:spacing w:val="-1"/>
        </w:rPr>
        <w:t>n</w:t>
      </w:r>
      <w:r>
        <w:rPr/>
        <w:t>mar</w:t>
      </w:r>
      <w:r>
        <w:rPr>
          <w:spacing w:val="-2"/>
        </w:rPr>
        <w:t>k</w:t>
      </w:r>
      <w:r>
        <w:rPr/>
        <w:t>, </w:t>
      </w:r>
      <w:r>
        <w:rPr>
          <w:spacing w:val="-2"/>
        </w:rPr>
        <w:t>h</w:t>
      </w:r>
      <w:r>
        <w:rPr>
          <w:spacing w:val="-1"/>
        </w:rPr>
        <w:t>v</w:t>
      </w:r>
      <w:r>
        <w:rPr/>
        <w:t>or</w:t>
      </w:r>
      <w:r>
        <w:rPr>
          <w:spacing w:val="-1"/>
        </w:rPr>
        <w:t> </w:t>
      </w:r>
      <w:r>
        <w:rPr/>
        <w:t>både Leica</w:t>
      </w:r>
      <w:r>
        <w:rPr>
          <w:spacing w:val="-2"/>
        </w:rPr>
        <w:t> </w:t>
      </w:r>
      <w:r>
        <w:rPr>
          <w:spacing w:val="-1"/>
        </w:rPr>
        <w:t>Geo</w:t>
      </w:r>
      <w:r>
        <w:rPr/>
        <w:t>s</w:t>
      </w:r>
      <w:r>
        <w:rPr>
          <w:spacing w:val="-2"/>
        </w:rPr>
        <w:t>y</w:t>
      </w:r>
      <w:r>
        <w:rPr/>
        <w:t>stem</w:t>
      </w:r>
      <w:r>
        <w:rPr>
          <w:spacing w:val="3"/>
        </w:rPr>
        <w:t>s</w:t>
      </w:r>
      <w:r>
        <w:rPr>
          <w:w w:val="99"/>
          <w:position w:val="6"/>
          <w:sz w:val="8"/>
        </w:rPr>
        <w:t>128</w:t>
      </w:r>
      <w:r>
        <w:rPr>
          <w:position w:val="6"/>
          <w:sz w:val="8"/>
        </w:rPr>
        <w:t> </w:t>
      </w:r>
      <w:r>
        <w:rPr>
          <w:spacing w:val="6"/>
          <w:position w:val="6"/>
          <w:sz w:val="8"/>
        </w:rPr>
        <w:t> </w:t>
      </w:r>
      <w:r>
        <w:rPr/>
        <w:t>og</w:t>
      </w:r>
      <w:r>
        <w:rPr>
          <w:spacing w:val="-1"/>
        </w:rPr>
        <w:t> Ge</w:t>
      </w:r>
      <w:r>
        <w:rPr>
          <w:spacing w:val="1"/>
        </w:rPr>
        <w:t>o</w:t>
      </w:r>
      <w:r>
        <w:rPr>
          <w:spacing w:val="-1"/>
        </w:rPr>
        <w:t>Team</w:t>
      </w:r>
      <w:r>
        <w:rPr>
          <w:w w:val="99"/>
          <w:position w:val="6"/>
          <w:sz w:val="8"/>
        </w:rPr>
        <w:t>129</w:t>
      </w:r>
      <w:r>
        <w:rPr>
          <w:position w:val="6"/>
          <w:sz w:val="8"/>
        </w:rPr>
        <w:t> </w:t>
      </w:r>
      <w:r>
        <w:rPr>
          <w:spacing w:val="6"/>
          <w:position w:val="6"/>
          <w:sz w:val="8"/>
        </w:rPr>
        <w:t> </w:t>
      </w:r>
      <w:r>
        <w:rPr/>
        <w:t>beg</w:t>
      </w:r>
      <w:r>
        <w:rPr>
          <w:spacing w:val="-2"/>
        </w:rPr>
        <w:t>g</w:t>
      </w:r>
      <w:r>
        <w:rPr/>
        <w:t>e</w:t>
      </w:r>
      <w:r>
        <w:rPr>
          <w:spacing w:val="-1"/>
        </w:rPr>
        <w:t> </w:t>
      </w:r>
      <w:r>
        <w:rPr/>
        <w:t>dri</w:t>
      </w:r>
      <w:r>
        <w:rPr>
          <w:spacing w:val="-1"/>
        </w:rPr>
        <w:t>v</w:t>
      </w:r>
      <w:r>
        <w:rPr/>
        <w:t>er</w:t>
      </w:r>
      <w:r>
        <w:rPr>
          <w:spacing w:val="-1"/>
        </w:rPr>
        <w:t> </w:t>
      </w:r>
      <w:r>
        <w:rPr/>
        <w:t>et refe- rencenet. Som beskrevet i afsnit </w:t>
      </w:r>
      <w:hyperlink w:history="true" w:anchor="_bookmark47">
        <w:r>
          <w:rPr/>
          <w:t>6.1.1 </w:t>
        </w:r>
      </w:hyperlink>
      <w:r>
        <w:rPr/>
        <w:t>er nøjagtige oplysninger om gravemaskiners lokalitet kilde til væsentlige effektivitetsgevinster ved</w:t>
      </w:r>
      <w:r>
        <w:rPr>
          <w:spacing w:val="-5"/>
        </w:rPr>
        <w:t> </w:t>
      </w:r>
      <w:r>
        <w:rPr/>
        <w:t>anlæg.</w:t>
      </w:r>
    </w:p>
    <w:p>
      <w:pPr>
        <w:pStyle w:val="BodyText"/>
        <w:spacing w:before="1"/>
        <w:rPr>
          <w:sz w:val="19"/>
        </w:rPr>
      </w:pPr>
    </w:p>
    <w:p>
      <w:pPr>
        <w:pStyle w:val="BodyText"/>
        <w:spacing w:line="264" w:lineRule="auto" w:before="1"/>
        <w:ind w:left="742" w:right="1146"/>
        <w:rPr>
          <w:sz w:val="8"/>
        </w:rPr>
      </w:pPr>
      <w:r>
        <w:rPr/>
        <w:t>Ved anlæg af infrastruktur, eksempelvis veje, skaber GNSS betydelige effektivitetsgevinster. Top- con har således beregnet, at den daglige omkostning til lønninger ved gravearbejde til vejanlæg er omtrent 3.000 $, og at Topcons mest avancerede løsning kan spare op til </w:t>
      </w:r>
      <w:r>
        <w:rPr>
          <w:b/>
        </w:rPr>
        <w:t>79 % </w:t>
      </w:r>
      <w:r>
        <w:rPr/>
        <w:t>af den anvendte tid sammenlignet med traditionelle metoder. Dvs. at medarbejderlønninger ved 1 km gravearbejde er 7.342 $ med GNSS-løsningen mod 13.123 $ ved traditionelle metoder. Hertil kommer asfalt og andre råmaterialer, som kan spares, fordi anlægsprocessen er mere målrettet. Her beregner Top- co</w:t>
      </w:r>
      <w:r>
        <w:rPr>
          <w:spacing w:val="-2"/>
        </w:rPr>
        <w:t>n</w:t>
      </w:r>
      <w:r>
        <w:rPr/>
        <w:t>,</w:t>
      </w:r>
      <w:r>
        <w:rPr>
          <w:spacing w:val="-2"/>
        </w:rPr>
        <w:t> </w:t>
      </w:r>
      <w:r>
        <w:rPr/>
        <w:t>at</w:t>
      </w:r>
      <w:r>
        <w:rPr>
          <w:spacing w:val="-1"/>
        </w:rPr>
        <w:t> </w:t>
      </w:r>
      <w:r>
        <w:rPr/>
        <w:t>man </w:t>
      </w:r>
      <w:r>
        <w:rPr>
          <w:spacing w:val="-1"/>
        </w:rPr>
        <w:t>k</w:t>
      </w:r>
      <w:r>
        <w:rPr/>
        <w:t>an spare</w:t>
      </w:r>
      <w:r>
        <w:rPr>
          <w:spacing w:val="-1"/>
        </w:rPr>
        <w:t> </w:t>
      </w:r>
      <w:r>
        <w:rPr/>
        <w:t>materialer</w:t>
      </w:r>
      <w:r>
        <w:rPr>
          <w:spacing w:val="-1"/>
        </w:rPr>
        <w:t> </w:t>
      </w:r>
      <w:r>
        <w:rPr>
          <w:spacing w:val="-2"/>
        </w:rPr>
        <w:t>t</w:t>
      </w:r>
      <w:r>
        <w:rPr/>
        <w:t>il en</w:t>
      </w:r>
      <w:r>
        <w:rPr>
          <w:spacing w:val="-2"/>
        </w:rPr>
        <w:t> </w:t>
      </w:r>
      <w:r>
        <w:rPr>
          <w:spacing w:val="-1"/>
        </w:rPr>
        <w:t>v</w:t>
      </w:r>
      <w:r>
        <w:rPr/>
        <w:t>ærdi af</w:t>
      </w:r>
      <w:r>
        <w:rPr>
          <w:spacing w:val="-2"/>
        </w:rPr>
        <w:t> </w:t>
      </w:r>
      <w:r>
        <w:rPr/>
        <w:t>5</w:t>
      </w:r>
      <w:r>
        <w:rPr>
          <w:spacing w:val="-1"/>
        </w:rPr>
        <w:t>.</w:t>
      </w:r>
      <w:r>
        <w:rPr/>
        <w:t>1</w:t>
      </w:r>
      <w:r>
        <w:rPr>
          <w:spacing w:val="-2"/>
        </w:rPr>
        <w:t>6</w:t>
      </w:r>
      <w:r>
        <w:rPr/>
        <w:t>0</w:t>
      </w:r>
      <w:r>
        <w:rPr>
          <w:spacing w:val="-1"/>
        </w:rPr>
        <w:t> </w:t>
      </w:r>
      <w:r>
        <w:rPr/>
        <w:t>$</w:t>
      </w:r>
      <w:r>
        <w:rPr>
          <w:spacing w:val="-1"/>
        </w:rPr>
        <w:t> </w:t>
      </w:r>
      <w:r>
        <w:rPr>
          <w:spacing w:val="4"/>
        </w:rPr>
        <w:t>p</w:t>
      </w:r>
      <w:r>
        <w:rPr>
          <w:spacing w:val="-1"/>
        </w:rPr>
        <w:t>r</w:t>
      </w:r>
      <w:r>
        <w:rPr/>
        <w:t>.</w:t>
      </w:r>
      <w:r>
        <w:rPr>
          <w:spacing w:val="-2"/>
        </w:rPr>
        <w:t> </w:t>
      </w:r>
      <w:r>
        <w:rPr>
          <w:spacing w:val="-1"/>
        </w:rPr>
        <w:t>k</w:t>
      </w:r>
      <w:r>
        <w:rPr/>
        <w:t>m</w:t>
      </w:r>
      <w:r>
        <w:rPr>
          <w:spacing w:val="1"/>
        </w:rPr>
        <w:t> </w:t>
      </w:r>
      <w:r>
        <w:rPr>
          <w:spacing w:val="-1"/>
        </w:rPr>
        <w:t>v</w:t>
      </w:r>
      <w:r>
        <w:rPr/>
        <w:t>e</w:t>
      </w:r>
      <w:r>
        <w:rPr>
          <w:spacing w:val="-1"/>
        </w:rPr>
        <w:t>j</w:t>
      </w:r>
      <w:r>
        <w:rPr/>
        <w:t>.</w:t>
      </w:r>
      <w:r>
        <w:rPr>
          <w:w w:val="99"/>
          <w:position w:val="6"/>
          <w:sz w:val="8"/>
        </w:rPr>
        <w:t>130</w:t>
      </w:r>
      <w:r>
        <w:rPr>
          <w:position w:val="6"/>
          <w:sz w:val="8"/>
        </w:rPr>
        <w:t> </w:t>
      </w:r>
      <w:r>
        <w:rPr>
          <w:spacing w:val="6"/>
          <w:position w:val="6"/>
          <w:sz w:val="8"/>
        </w:rPr>
        <w:t> </w:t>
      </w:r>
      <w:r>
        <w:rPr>
          <w:spacing w:val="-1"/>
        </w:rPr>
        <w:t>S</w:t>
      </w:r>
      <w:r>
        <w:rPr/>
        <w:t>amlet </w:t>
      </w:r>
      <w:r>
        <w:rPr>
          <w:spacing w:val="-2"/>
        </w:rPr>
        <w:t>h</w:t>
      </w:r>
      <w:r>
        <w:rPr/>
        <w:t>ar</w:t>
      </w:r>
      <w:r>
        <w:rPr>
          <w:spacing w:val="1"/>
        </w:rPr>
        <w:t> </w:t>
      </w:r>
      <w:r>
        <w:rPr>
          <w:spacing w:val="-1"/>
        </w:rPr>
        <w:t>T</w:t>
      </w:r>
      <w:r>
        <w:rPr/>
        <w:t>opcon</w:t>
      </w:r>
      <w:r>
        <w:rPr>
          <w:spacing w:val="-2"/>
        </w:rPr>
        <w:t> </w:t>
      </w:r>
      <w:r>
        <w:rPr/>
        <w:t>bereg</w:t>
      </w:r>
      <w:r>
        <w:rPr>
          <w:spacing w:val="-2"/>
        </w:rPr>
        <w:t>n</w:t>
      </w:r>
      <w:r>
        <w:rPr/>
        <w:t>et, at</w:t>
      </w:r>
      <w:r>
        <w:rPr>
          <w:spacing w:val="-1"/>
        </w:rPr>
        <w:t> </w:t>
      </w:r>
      <w:r>
        <w:rPr/>
        <w:t>det mest</w:t>
      </w:r>
      <w:r>
        <w:rPr>
          <w:spacing w:val="-1"/>
        </w:rPr>
        <w:t> </w:t>
      </w:r>
      <w:r>
        <w:rPr/>
        <w:t>a</w:t>
      </w:r>
      <w:r>
        <w:rPr>
          <w:spacing w:val="-1"/>
        </w:rPr>
        <w:t>v</w:t>
      </w:r>
      <w:r>
        <w:rPr/>
        <w:t>a</w:t>
      </w:r>
      <w:r>
        <w:rPr>
          <w:spacing w:val="-2"/>
        </w:rPr>
        <w:t>n</w:t>
      </w:r>
      <w:r>
        <w:rPr/>
        <w:t>cer</w:t>
      </w:r>
      <w:r>
        <w:rPr>
          <w:spacing w:val="1"/>
        </w:rPr>
        <w:t>e</w:t>
      </w:r>
      <w:r>
        <w:rPr/>
        <w:t>de</w:t>
      </w:r>
      <w:r>
        <w:rPr>
          <w:spacing w:val="-1"/>
        </w:rPr>
        <w:t> </w:t>
      </w:r>
      <w:r>
        <w:rPr/>
        <w:t>s</w:t>
      </w:r>
      <w:r>
        <w:rPr>
          <w:spacing w:val="-2"/>
        </w:rPr>
        <w:t>y</w:t>
      </w:r>
      <w:r>
        <w:rPr/>
        <w:t>stem</w:t>
      </w:r>
      <w:r>
        <w:rPr>
          <w:spacing w:val="-1"/>
        </w:rPr>
        <w:t> v</w:t>
      </w:r>
      <w:r>
        <w:rPr/>
        <w:t>il </w:t>
      </w:r>
      <w:r>
        <w:rPr>
          <w:spacing w:val="-1"/>
        </w:rPr>
        <w:t>v</w:t>
      </w:r>
      <w:r>
        <w:rPr/>
        <w:t>ære</w:t>
      </w:r>
      <w:r>
        <w:rPr>
          <w:spacing w:val="2"/>
        </w:rPr>
        <w:t> </w:t>
      </w:r>
      <w:r>
        <w:rPr>
          <w:b/>
        </w:rPr>
        <w:t>ti</w:t>
      </w:r>
      <w:r>
        <w:rPr>
          <w:b/>
          <w:spacing w:val="1"/>
        </w:rPr>
        <w:t>l</w:t>
      </w:r>
      <w:r>
        <w:rPr>
          <w:b/>
          <w:spacing w:val="-2"/>
        </w:rPr>
        <w:t>b</w:t>
      </w:r>
      <w:r>
        <w:rPr>
          <w:b/>
        </w:rPr>
        <w:t>a</w:t>
      </w:r>
      <w:r>
        <w:rPr>
          <w:b/>
          <w:spacing w:val="-2"/>
        </w:rPr>
        <w:t>g</w:t>
      </w:r>
      <w:r>
        <w:rPr>
          <w:b/>
          <w:spacing w:val="-1"/>
        </w:rPr>
        <w:t>ebet</w:t>
      </w:r>
      <w:r>
        <w:rPr>
          <w:b/>
        </w:rPr>
        <w:t>alt efter a</w:t>
      </w:r>
      <w:r>
        <w:rPr>
          <w:b/>
          <w:spacing w:val="-2"/>
        </w:rPr>
        <w:t>n</w:t>
      </w:r>
      <w:r>
        <w:rPr>
          <w:b/>
        </w:rPr>
        <w:t>l</w:t>
      </w:r>
      <w:r>
        <w:rPr>
          <w:b/>
          <w:spacing w:val="-1"/>
        </w:rPr>
        <w:t>æ</w:t>
      </w:r>
      <w:r>
        <w:rPr>
          <w:b/>
        </w:rPr>
        <w:t>g</w:t>
      </w:r>
      <w:r>
        <w:rPr>
          <w:b/>
          <w:spacing w:val="-1"/>
        </w:rPr>
        <w:t> </w:t>
      </w:r>
      <w:r>
        <w:rPr>
          <w:b/>
        </w:rPr>
        <w:t>af</w:t>
      </w:r>
      <w:r>
        <w:rPr>
          <w:b/>
          <w:spacing w:val="1"/>
        </w:rPr>
        <w:t> </w:t>
      </w:r>
      <w:r>
        <w:rPr>
          <w:b/>
          <w:spacing w:val="-1"/>
        </w:rPr>
        <w:t>4,0</w:t>
      </w:r>
      <w:r>
        <w:rPr>
          <w:b/>
        </w:rPr>
        <w:t>2 </w:t>
      </w:r>
      <w:r>
        <w:rPr>
          <w:b/>
          <w:spacing w:val="-1"/>
        </w:rPr>
        <w:t>k</w:t>
      </w:r>
      <w:r>
        <w:rPr>
          <w:b/>
        </w:rPr>
        <w:t>m</w:t>
      </w:r>
      <w:r>
        <w:rPr>
          <w:b/>
          <w:spacing w:val="-1"/>
        </w:rPr>
        <w:t> </w:t>
      </w:r>
      <w:r>
        <w:rPr>
          <w:b/>
        </w:rPr>
        <w:t>v</w:t>
      </w:r>
      <w:r>
        <w:rPr>
          <w:b/>
          <w:spacing w:val="-1"/>
        </w:rPr>
        <w:t>e</w:t>
      </w:r>
      <w:r>
        <w:rPr>
          <w:b/>
          <w:spacing w:val="2"/>
        </w:rPr>
        <w:t>j</w:t>
      </w:r>
      <w:r>
        <w:rPr>
          <w:spacing w:val="-1"/>
        </w:rPr>
        <w:t>.</w:t>
      </w:r>
      <w:r>
        <w:rPr>
          <w:w w:val="99"/>
          <w:position w:val="6"/>
          <w:sz w:val="8"/>
        </w:rPr>
        <w:t>131</w:t>
      </w:r>
    </w:p>
    <w:p>
      <w:pPr>
        <w:pStyle w:val="BodyText"/>
        <w:spacing w:before="4"/>
        <w:rPr>
          <w:sz w:val="19"/>
        </w:rPr>
      </w:pPr>
    </w:p>
    <w:p>
      <w:pPr>
        <w:pStyle w:val="BodyText"/>
        <w:spacing w:line="264" w:lineRule="auto"/>
        <w:ind w:left="742" w:right="1321"/>
        <w:jc w:val="both"/>
      </w:pPr>
      <w:r>
        <w:rPr/>
        <w:t>I udgangspunktet tilfalder effektiviseringsgevinsterne ved brug af GNSS i byggeriet den entrepre- nør, som vinder entreprisen, men konkurrence i markedet bør medføre, at (nogle af) gevinsterne tilfalder ordregiveren, som i mange tilfælde vil være kommunerne eller staten.</w:t>
      </w:r>
    </w:p>
    <w:p>
      <w:pPr>
        <w:pStyle w:val="BodyText"/>
        <w:spacing w:before="7"/>
        <w:rPr>
          <w:sz w:val="19"/>
        </w:rPr>
      </w:pPr>
    </w:p>
    <w:p>
      <w:pPr>
        <w:pStyle w:val="BodyText"/>
        <w:spacing w:line="264" w:lineRule="auto"/>
        <w:ind w:left="742" w:right="1185"/>
      </w:pPr>
      <w:r>
        <w:rPr/>
        <w:t>I forbindelse med anlægsprojekter er det vigtigt at overvåge eksisterende bygninger og sikre, at eventuel jordsedimentering og vibrationer, som følge af projektet, er under kontrol og ikke skader de eksisterende bygninger. Konstruktionen af Londons nye undergrundslinje, Crossrail, indarbejder således avancerede højpræcisions-GNSS-enheder til at sikre, at de bevaringsværdige bygninger over linjen ikke sætter sig.</w:t>
      </w:r>
      <w:r>
        <w:rPr>
          <w:w w:val="99"/>
          <w:position w:val="6"/>
          <w:sz w:val="8"/>
        </w:rPr>
        <w:t>132</w:t>
      </w:r>
      <w:r>
        <w:rPr>
          <w:position w:val="6"/>
          <w:sz w:val="8"/>
        </w:rPr>
        <w:t>  </w:t>
      </w:r>
      <w:r>
        <w:rPr/>
        <w:t>Man kan også anvende JO-satellitter med Synergetic Aperture Radar (SAR)-sensorer til at overvåge sedimentering (og hævning) af jorden og dermed vurdere effekten af gravearbejde.</w:t>
      </w:r>
      <w:r>
        <w:rPr>
          <w:w w:val="99"/>
          <w:position w:val="6"/>
          <w:sz w:val="8"/>
        </w:rPr>
        <w:t>133</w:t>
      </w:r>
      <w:r>
        <w:rPr>
          <w:position w:val="6"/>
          <w:sz w:val="8"/>
        </w:rPr>
        <w:t>  </w:t>
      </w:r>
      <w:r>
        <w:rPr/>
        <w:t>Skyskrabere og broer monitoreres også ved hjælp af GNSS, hvor nøjagtige må- linger over tid kan give tidlige indikationer om anlæggets sundhed og hjælpe med at sikre, at ska- der kan udbedres, før de bliver så alvorlige, at anlæggene må lukkes.</w:t>
      </w:r>
    </w:p>
    <w:p>
      <w:pPr>
        <w:pStyle w:val="BodyText"/>
        <w:spacing w:before="4"/>
        <w:rPr>
          <w:sz w:val="19"/>
        </w:rPr>
      </w:pPr>
    </w:p>
    <w:p>
      <w:pPr>
        <w:pStyle w:val="BodyText"/>
        <w:spacing w:line="264" w:lineRule="auto"/>
        <w:ind w:left="742" w:right="1232"/>
        <w:rPr>
          <w:sz w:val="8"/>
        </w:rPr>
      </w:pPr>
      <w:r>
        <w:rPr/>
        <w:t>Brugen af rummet behøver ikke være begrænset til bygninger, men kan også bruges til kortlæg- ning af de planter der findes i byen. Japansk pileurt, for eksempel, er en invasiv art, hvis rodnet kan skade fundamenter, bygninger, veje mv. Viden om udbredelsen af japansk pileurt er vigtig for (potentielle) ejere (inklusive kommuner og staten) og forsikringsselskaber, som kan pålægge hus- ejere at bekæmpe planten som betingelse for husforsikring. Det slovenske Centre of Excellence of Space Science and Technology (SPACE </w:t>
      </w:r>
      <w:r>
        <w:rPr>
          <w:rFonts w:ascii="Wingdings" w:hAnsi="Wingdings"/>
        </w:rPr>
        <w:t></w:t>
      </w:r>
      <w:r>
        <w:rPr>
          <w:rFonts w:ascii="Times New Roman" w:hAnsi="Times New Roman"/>
        </w:rPr>
        <w:t> </w:t>
      </w:r>
      <w:r>
        <w:rPr/>
        <w:t>SI) har vist, at JO-data er tilstrækkeligt til at kortlægge </w:t>
      </w:r>
      <w:r>
        <w:rPr>
          <w:spacing w:val="-2"/>
        </w:rPr>
        <w:t>u</w:t>
      </w:r>
      <w:r>
        <w:rPr/>
        <w:t>dbredel</w:t>
      </w:r>
      <w:r>
        <w:rPr>
          <w:spacing w:val="-3"/>
        </w:rPr>
        <w:t>s</w:t>
      </w:r>
      <w:r>
        <w:rPr/>
        <w:t>en</w:t>
      </w:r>
      <w:r>
        <w:rPr>
          <w:spacing w:val="-2"/>
        </w:rPr>
        <w:t> </w:t>
      </w:r>
      <w:r>
        <w:rPr/>
        <w:t>af</w:t>
      </w:r>
      <w:r>
        <w:rPr>
          <w:spacing w:val="-2"/>
        </w:rPr>
        <w:t> </w:t>
      </w:r>
      <w:r>
        <w:rPr>
          <w:spacing w:val="-1"/>
        </w:rPr>
        <w:t>ja</w:t>
      </w:r>
      <w:r>
        <w:rPr/>
        <w:t>pa</w:t>
      </w:r>
      <w:r>
        <w:rPr>
          <w:spacing w:val="-2"/>
        </w:rPr>
        <w:t>n</w:t>
      </w:r>
      <w:r>
        <w:rPr>
          <w:spacing w:val="1"/>
        </w:rPr>
        <w:t>s</w:t>
      </w:r>
      <w:r>
        <w:rPr/>
        <w:t>k</w:t>
      </w:r>
      <w:r>
        <w:rPr>
          <w:spacing w:val="-2"/>
        </w:rPr>
        <w:t> </w:t>
      </w:r>
      <w:r>
        <w:rPr/>
        <w:t>pile</w:t>
      </w:r>
      <w:r>
        <w:rPr>
          <w:spacing w:val="-2"/>
        </w:rPr>
        <w:t>u</w:t>
      </w:r>
      <w:r>
        <w:rPr/>
        <w:t>rt,</w:t>
      </w:r>
      <w:r>
        <w:rPr>
          <w:spacing w:val="-2"/>
        </w:rPr>
        <w:t> h</w:t>
      </w:r>
      <w:r>
        <w:rPr>
          <w:spacing w:val="-1"/>
        </w:rPr>
        <w:t>v</w:t>
      </w:r>
      <w:r>
        <w:rPr/>
        <w:t>il</w:t>
      </w:r>
      <w:r>
        <w:rPr>
          <w:spacing w:val="-1"/>
        </w:rPr>
        <w:t>k</w:t>
      </w:r>
      <w:r>
        <w:rPr/>
        <w:t>et till</w:t>
      </w:r>
      <w:r>
        <w:rPr>
          <w:spacing w:val="-3"/>
        </w:rPr>
        <w:t>a</w:t>
      </w:r>
      <w:r>
        <w:rPr/>
        <w:t>der</w:t>
      </w:r>
      <w:r>
        <w:rPr>
          <w:spacing w:val="-1"/>
        </w:rPr>
        <w:t> </w:t>
      </w:r>
      <w:r>
        <w:rPr/>
        <w:t>målr</w:t>
      </w:r>
      <w:r>
        <w:rPr>
          <w:spacing w:val="-2"/>
        </w:rPr>
        <w:t>et</w:t>
      </w:r>
      <w:r>
        <w:rPr/>
        <w:t>tet be</w:t>
      </w:r>
      <w:r>
        <w:rPr>
          <w:spacing w:val="-1"/>
        </w:rPr>
        <w:t>k</w:t>
      </w:r>
      <w:r>
        <w:rPr/>
        <w:t>æ</w:t>
      </w:r>
      <w:r>
        <w:rPr>
          <w:spacing w:val="-3"/>
        </w:rPr>
        <w:t>m</w:t>
      </w:r>
      <w:r>
        <w:rPr/>
        <w:t>pel</w:t>
      </w:r>
      <w:r>
        <w:rPr>
          <w:spacing w:val="-3"/>
        </w:rPr>
        <w:t>s</w:t>
      </w:r>
      <w:r>
        <w:rPr/>
        <w:t>e</w:t>
      </w:r>
      <w:r>
        <w:rPr>
          <w:spacing w:val="5"/>
        </w:rPr>
        <w:t>.</w:t>
      </w:r>
      <w:r>
        <w:rPr>
          <w:w w:val="99"/>
          <w:position w:val="6"/>
          <w:sz w:val="8"/>
        </w:rPr>
        <w:t>134</w:t>
      </w:r>
    </w:p>
    <w:p>
      <w:pPr>
        <w:pStyle w:val="BodyText"/>
        <w:spacing w:before="6"/>
        <w:rPr>
          <w:sz w:val="23"/>
        </w:rPr>
      </w:pPr>
      <w:r>
        <w:rPr/>
        <w:pict>
          <v:line style="position:absolute;mso-position-horizontal-relative:page;mso-position-vertical-relative:paragraph;z-index:5744;mso-wrap-distance-left:0;mso-wrap-distance-right:0" from="85.103996pt,16.522675pt" to="229.123996pt,16.522675pt" stroked="true" strokeweight=".48004pt" strokecolor="#000000">
            <v:stroke dashstyle="solid"/>
            <w10:wrap type="topAndBottom"/>
          </v:line>
        </w:pict>
      </w:r>
    </w:p>
    <w:p>
      <w:pPr>
        <w:spacing w:before="99"/>
        <w:ind w:left="742" w:right="0" w:firstLine="0"/>
        <w:jc w:val="left"/>
        <w:rPr>
          <w:sz w:val="13"/>
        </w:rPr>
      </w:pPr>
      <w:r>
        <w:rPr>
          <w:w w:val="95"/>
          <w:position w:val="6"/>
          <w:sz w:val="8"/>
        </w:rPr>
        <w:t>127           </w:t>
      </w:r>
      <w:r>
        <w:rPr>
          <w:spacing w:val="16"/>
          <w:w w:val="95"/>
          <w:position w:val="6"/>
          <w:sz w:val="8"/>
        </w:rPr>
        <w:t> </w:t>
      </w:r>
      <w:hyperlink r:id="rId146">
        <w:r>
          <w:rPr>
            <w:color w:val="009DDF"/>
            <w:w w:val="95"/>
            <w:sz w:val="13"/>
          </w:rPr>
          <w:t>http://gpsworld.com/centimeter-level-rtk-accuracy-more-and-more-available-for-less-and-less/</w:t>
        </w:r>
      </w:hyperlink>
    </w:p>
    <w:p>
      <w:pPr>
        <w:spacing w:before="42"/>
        <w:ind w:left="742" w:right="0" w:firstLine="0"/>
        <w:jc w:val="left"/>
        <w:rPr>
          <w:sz w:val="13"/>
        </w:rPr>
      </w:pPr>
      <w:r>
        <w:rPr>
          <w:position w:val="6"/>
          <w:sz w:val="8"/>
        </w:rPr>
        <w:t>128 </w:t>
      </w:r>
      <w:hyperlink r:id="rId147">
        <w:r>
          <w:rPr>
            <w:color w:val="009DDF"/>
            <w:sz w:val="13"/>
          </w:rPr>
          <w:t>http://www.leica-geosystems.dk/dk/Leica-SmartNet-Danmark_74970.htm</w:t>
        </w:r>
      </w:hyperlink>
    </w:p>
    <w:p>
      <w:pPr>
        <w:spacing w:before="43"/>
        <w:ind w:left="742" w:right="0" w:firstLine="0"/>
        <w:jc w:val="left"/>
        <w:rPr>
          <w:sz w:val="13"/>
        </w:rPr>
      </w:pPr>
      <w:r>
        <w:rPr>
          <w:position w:val="6"/>
          <w:sz w:val="8"/>
        </w:rPr>
        <w:t>129 </w:t>
      </w:r>
      <w:hyperlink r:id="rId148">
        <w:r>
          <w:rPr>
            <w:color w:val="009DDF"/>
            <w:sz w:val="13"/>
          </w:rPr>
          <w:t>http://www.geoteam.dk/produkter/gpsnetdk/entreprenoerer.html</w:t>
        </w:r>
      </w:hyperlink>
    </w:p>
    <w:p>
      <w:pPr>
        <w:spacing w:before="41"/>
        <w:ind w:left="742" w:right="0" w:firstLine="0"/>
        <w:jc w:val="left"/>
        <w:rPr>
          <w:sz w:val="13"/>
        </w:rPr>
      </w:pPr>
      <w:r>
        <w:rPr>
          <w:position w:val="6"/>
          <w:sz w:val="8"/>
        </w:rPr>
        <w:t>130 </w:t>
      </w:r>
      <w:r>
        <w:rPr>
          <w:sz w:val="13"/>
        </w:rPr>
        <w:t>Her antages, at vejen er 12.8m bred, man kan spare 9,1 mm asfalttykkelse og asfalt koster 20.39 $ pr. ton.</w:t>
      </w:r>
    </w:p>
    <w:p>
      <w:pPr>
        <w:spacing w:before="44"/>
        <w:ind w:left="742" w:right="0" w:firstLine="0"/>
        <w:jc w:val="left"/>
        <w:rPr>
          <w:sz w:val="13"/>
        </w:rPr>
      </w:pPr>
      <w:r>
        <w:rPr>
          <w:position w:val="6"/>
          <w:sz w:val="8"/>
        </w:rPr>
        <w:t>131 </w:t>
      </w:r>
      <w:hyperlink r:id="rId149">
        <w:r>
          <w:rPr>
            <w:color w:val="009DDF"/>
            <w:sz w:val="13"/>
          </w:rPr>
          <w:t>http://topconcare.com/roi-calculators/3d-mc-3d-mc2-roadwork-roi-calculator/</w:t>
        </w:r>
      </w:hyperlink>
    </w:p>
    <w:p>
      <w:pPr>
        <w:spacing w:before="41"/>
        <w:ind w:left="742" w:right="0" w:firstLine="0"/>
        <w:jc w:val="left"/>
        <w:rPr>
          <w:sz w:val="13"/>
        </w:rPr>
      </w:pPr>
      <w:r>
        <w:rPr>
          <w:position w:val="6"/>
          <w:sz w:val="8"/>
        </w:rPr>
        <w:t>132 </w:t>
      </w:r>
      <w:hyperlink r:id="rId150">
        <w:r>
          <w:rPr>
            <w:color w:val="009DDF"/>
            <w:sz w:val="13"/>
          </w:rPr>
          <w:t>https://www.ice.org.uk/disciplines-and-resources/case-studies/crossrail-tunnel-construction-monitoring</w:t>
        </w:r>
      </w:hyperlink>
    </w:p>
    <w:p>
      <w:pPr>
        <w:spacing w:line="316" w:lineRule="auto" w:before="43"/>
        <w:ind w:left="742" w:right="1181" w:firstLine="0"/>
        <w:jc w:val="left"/>
        <w:rPr>
          <w:sz w:val="13"/>
        </w:rPr>
      </w:pPr>
      <w:r>
        <w:rPr>
          <w:position w:val="6"/>
          <w:sz w:val="8"/>
        </w:rPr>
        <w:t>133 </w:t>
      </w:r>
      <w:r>
        <w:rPr>
          <w:sz w:val="13"/>
        </w:rPr>
        <w:t>Adam Thomas, Fugro NPA Satellite Mapping UK (2012) </w:t>
      </w:r>
      <w:r>
        <w:rPr>
          <w:i/>
          <w:sz w:val="13"/>
        </w:rPr>
        <w:t>Earth Observation data and services in support of the rail sector &amp; the Live </w:t>
      </w:r>
      <w:r>
        <w:rPr>
          <w:i/>
          <w:sz w:val="13"/>
        </w:rPr>
        <w:t>Land project </w:t>
      </w:r>
      <w:r>
        <w:rPr>
          <w:sz w:val="13"/>
        </w:rPr>
        <w:t>præsentation ved European Space Solutions 2012.</w:t>
      </w:r>
    </w:p>
    <w:p>
      <w:pPr>
        <w:spacing w:line="161" w:lineRule="exact" w:before="0"/>
        <w:ind w:left="742" w:right="0" w:firstLine="0"/>
        <w:jc w:val="left"/>
        <w:rPr>
          <w:i/>
          <w:sz w:val="13"/>
        </w:rPr>
      </w:pPr>
      <w:r>
        <w:rPr>
          <w:position w:val="6"/>
          <w:sz w:val="8"/>
        </w:rPr>
        <w:t>134 </w:t>
      </w:r>
      <w:r>
        <w:rPr>
          <w:sz w:val="13"/>
        </w:rPr>
        <w:t>Krištof Oštir m.fl. Slovenian Centre of Excellence for Space Sciences and Technologies (2014) </w:t>
      </w:r>
      <w:r>
        <w:rPr>
          <w:i/>
          <w:sz w:val="13"/>
        </w:rPr>
        <w:t>Application of remote sensing in urban</w:t>
      </w:r>
    </w:p>
    <w:p>
      <w:pPr>
        <w:spacing w:before="51"/>
        <w:ind w:left="742" w:right="0" w:firstLine="0"/>
        <w:jc w:val="left"/>
        <w:rPr>
          <w:sz w:val="13"/>
        </w:rPr>
      </w:pPr>
      <w:r>
        <w:rPr>
          <w:i/>
          <w:sz w:val="13"/>
        </w:rPr>
        <w:t>forests – identification of tree species and detection of Japanese knotweed </w:t>
      </w:r>
      <w:r>
        <w:rPr>
          <w:sz w:val="13"/>
        </w:rPr>
        <w:t>præsentation ved European Space Solutions 2014.</w:t>
      </w:r>
    </w:p>
    <w:p>
      <w:pPr>
        <w:spacing w:after="0"/>
        <w:jc w:val="left"/>
        <w:rPr>
          <w:sz w:val="13"/>
        </w:rPr>
        <w:sectPr>
          <w:pgSz w:w="11910" w:h="16840"/>
          <w:pgMar w:header="0" w:footer="539" w:top="1580" w:bottom="800" w:left="960" w:right="0"/>
        </w:sectPr>
      </w:pPr>
    </w:p>
    <w:p>
      <w:pPr>
        <w:pStyle w:val="BodyText"/>
        <w:spacing w:before="11"/>
        <w:rPr>
          <w:sz w:val="21"/>
        </w:rPr>
      </w:pPr>
    </w:p>
    <w:p>
      <w:pPr>
        <w:pStyle w:val="ListParagraph"/>
        <w:numPr>
          <w:ilvl w:val="2"/>
          <w:numId w:val="15"/>
        </w:numPr>
        <w:tabs>
          <w:tab w:pos="743" w:val="left" w:leader="none"/>
        </w:tabs>
        <w:spacing w:line="240" w:lineRule="auto" w:before="100" w:after="0"/>
        <w:ind w:left="742" w:right="0" w:hanging="624"/>
        <w:jc w:val="left"/>
        <w:rPr>
          <w:b/>
          <w:sz w:val="18"/>
        </w:rPr>
      </w:pPr>
      <w:r>
        <w:rPr>
          <w:b/>
          <w:sz w:val="18"/>
        </w:rPr>
        <w:t>Energi</w:t>
      </w:r>
    </w:p>
    <w:p>
      <w:pPr>
        <w:pStyle w:val="BodyText"/>
        <w:spacing w:line="264" w:lineRule="auto" w:before="21"/>
        <w:ind w:left="742" w:right="1126"/>
      </w:pPr>
      <w:r>
        <w:rPr/>
        <w:t>Den voksende befolkning gør, at energien er knap, og den energi der er til rådighed, skal bruges mere effektivt. EU’s direktiv om energieffektivitet</w:t>
      </w:r>
      <w:r>
        <w:rPr>
          <w:w w:val="99"/>
          <w:position w:val="6"/>
          <w:sz w:val="8"/>
        </w:rPr>
        <w:t>135</w:t>
      </w:r>
      <w:r>
        <w:rPr>
          <w:position w:val="6"/>
          <w:sz w:val="8"/>
        </w:rPr>
        <w:t>  </w:t>
      </w:r>
      <w:r>
        <w:rPr/>
        <w:t>foreskriver således, at mere effektiv brug af energi skal udmøntes i energibesparelser i unionen på 20 % pr. 2020. Direktivet pålægger desu- den, at offentlige bygninger skal foregå med et godt eksempel og skal forbedres med energieffekti- ve løsninger, og fra 2014 at der hvert år bør implementeres energieffektive løsninger på bygninger, der udgør 3 % af det samlede offentlige gulvareal.</w:t>
      </w:r>
    </w:p>
    <w:p>
      <w:pPr>
        <w:pStyle w:val="BodyText"/>
        <w:spacing w:before="5"/>
        <w:rPr>
          <w:sz w:val="19"/>
        </w:rPr>
      </w:pPr>
    </w:p>
    <w:p>
      <w:pPr>
        <w:pStyle w:val="BodyText"/>
        <w:spacing w:line="264" w:lineRule="auto" w:before="1"/>
        <w:ind w:left="742" w:right="1349"/>
        <w:rPr>
          <w:sz w:val="8"/>
        </w:rPr>
      </w:pPr>
      <w:r>
        <w:rPr/>
        <w:t>Danmarks mål er forskellig fra de samlede EU-mål, idet landet er forpligtet til at nedbringe sit energiforbrug gennem energieffektivisering med 14 % i 2020 sammenlignet med 2006.</w:t>
      </w:r>
      <w:r>
        <w:rPr>
          <w:w w:val="99"/>
          <w:position w:val="6"/>
          <w:sz w:val="8"/>
        </w:rPr>
        <w:t>136</w:t>
      </w:r>
      <w:r>
        <w:rPr>
          <w:position w:val="6"/>
          <w:sz w:val="8"/>
        </w:rPr>
        <w:t>  </w:t>
      </w:r>
      <w:r>
        <w:rPr/>
        <w:t>I 2014 blev regeringens strategi for energirenovering af bygninger fremlagt, og denne strategi forventes at nedbringe nettoenergiforbruget i den eksisterende bygningsmasse med 35 % pr. 2050.</w:t>
      </w:r>
      <w:r>
        <w:rPr>
          <w:w w:val="99"/>
          <w:position w:val="6"/>
          <w:sz w:val="8"/>
        </w:rPr>
        <w:t>137</w:t>
      </w:r>
    </w:p>
    <w:p>
      <w:pPr>
        <w:pStyle w:val="BodyText"/>
        <w:spacing w:before="6"/>
        <w:rPr>
          <w:sz w:val="19"/>
        </w:rPr>
      </w:pPr>
    </w:p>
    <w:p>
      <w:pPr>
        <w:pStyle w:val="BodyText"/>
        <w:spacing w:line="264" w:lineRule="auto"/>
        <w:ind w:left="742" w:right="1161"/>
        <w:rPr>
          <w:sz w:val="8"/>
        </w:rPr>
      </w:pPr>
      <w:r>
        <w:rPr/>
        <w:t>Energieffektivisering kræver et godt kendskab til den eksisterende bygningsmasses energitab, men energimålinger af bygninger kan være en bekostelig affære for kommuner og andre ejere af man- ge, store bygninger. Copernicus Masters – DLR Environmental Challenge blev i 2012 vundet af ThermCERT, som anvender JO-data til at kortlægge bygningers varmetab og giver dermed offentli- ge myndigheder og andre ejere mange forskellige bygninger rundt om i en kommune eller landet mulighed for at udvælge de bygninger, hvor effektiviseringsprojekter kan medføre den største ge- vinst, og foretage detaljeret analyse af de mest effektive løsninger. En anden fordel ved satellitba- serede data er, at de er indsamlet af den samme sensor og analyseret ved hjælp af det samme software, hvilket sikrer det bedst mulige sammenligningsgrundlag for de enkelte bygningers resul- tater.</w:t>
      </w:r>
      <w:r>
        <w:rPr>
          <w:w w:val="99"/>
          <w:position w:val="6"/>
          <w:sz w:val="8"/>
        </w:rPr>
        <w:t>138</w:t>
      </w:r>
    </w:p>
    <w:p>
      <w:pPr>
        <w:pStyle w:val="BodyText"/>
        <w:spacing w:before="3"/>
        <w:rPr>
          <w:sz w:val="19"/>
        </w:rPr>
      </w:pPr>
    </w:p>
    <w:p>
      <w:pPr>
        <w:pStyle w:val="BodyText"/>
        <w:spacing w:line="264" w:lineRule="auto"/>
        <w:ind w:left="742" w:right="1186"/>
      </w:pPr>
      <w:r>
        <w:rPr/>
        <w:t>Ud over energi</w:t>
      </w:r>
      <w:r>
        <w:rPr>
          <w:b/>
        </w:rPr>
        <w:t>forbrug </w:t>
      </w:r>
      <w:r>
        <w:rPr/>
        <w:t>påvirkes energi</w:t>
      </w:r>
      <w:r>
        <w:rPr>
          <w:b/>
        </w:rPr>
        <w:t>forsyning </w:t>
      </w:r>
      <w:r>
        <w:rPr/>
        <w:t>også af urbaniseringen. Det danske forsynings- netværk varetages af EnergiNet, som har ansvaret for at det danske el- og gassystem er velfunge- rende.</w:t>
      </w:r>
      <w:r>
        <w:rPr>
          <w:w w:val="99"/>
          <w:position w:val="6"/>
          <w:sz w:val="8"/>
        </w:rPr>
        <w:t>139</w:t>
      </w:r>
      <w:r>
        <w:rPr>
          <w:position w:val="6"/>
          <w:sz w:val="8"/>
        </w:rPr>
        <w:t>  </w:t>
      </w:r>
      <w:r>
        <w:rPr/>
        <w:t>For at sikre forsyningssikkerheden er det nødvendigt at overvåge netværket og at reagere på at ændringer i efterspørgsel modsvares tilstrækkeligt i udbud. Derudover er det vigtigt at sikre, at fejl på netværket udbedres hurtigt og effektivt. De såkaldte Phasor Measurement Units (PMU) måler udsving på netværket og giver mulighed for at estimere kvaliteten af den transmitterede energi. PMU anvender ofte GNSS til at sikre, at de til hovedkvarteret indsendte observationer har nøjagtige tidsoplysninger, som gør, at eventuelle uventede udsving kan føres tilbage til, hvor et eventuelt problem opstår og muliggør derved bedre udbedring af fejl.</w:t>
      </w:r>
    </w:p>
    <w:p>
      <w:pPr>
        <w:pStyle w:val="BodyText"/>
        <w:spacing w:before="4"/>
        <w:rPr>
          <w:sz w:val="19"/>
        </w:rPr>
      </w:pPr>
    </w:p>
    <w:p>
      <w:pPr>
        <w:pStyle w:val="BodyText"/>
        <w:spacing w:line="264" w:lineRule="auto"/>
        <w:ind w:left="742" w:right="1174"/>
      </w:pPr>
      <w:r>
        <w:rPr/>
        <w:t>Inden for energi gør byudviklingen også, at energiproduktionen evt. skal øges. Danmark har ambi- tiøse mål om at opnå total uafhængighed af fossile brændstoffer pr. 2050</w:t>
      </w:r>
      <w:r>
        <w:rPr>
          <w:w w:val="99"/>
          <w:position w:val="6"/>
          <w:sz w:val="8"/>
        </w:rPr>
        <w:t>140</w:t>
      </w:r>
      <w:r>
        <w:rPr/>
        <w:t>, og det er derfor nød- vendigt at erstatte kapaciteten på de eksisterende kraftværker med alternative kilder som vind- og solenergi.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5768;mso-wrap-distance-left:0;mso-wrap-distance-right:0" from="85.103996pt,11.026172pt" to="229.123996pt,11.026172pt" stroked="true" strokeweight=".48004pt" strokecolor="#000000">
            <v:stroke dashstyle="solid"/>
            <w10:wrap type="topAndBottom"/>
          </v:line>
        </w:pict>
      </w:r>
    </w:p>
    <w:p>
      <w:pPr>
        <w:spacing w:line="321" w:lineRule="auto" w:before="99"/>
        <w:ind w:left="742" w:right="1341" w:firstLine="0"/>
        <w:jc w:val="left"/>
        <w:rPr>
          <w:sz w:val="13"/>
        </w:rPr>
      </w:pPr>
      <w:r>
        <w:rPr>
          <w:position w:val="6"/>
          <w:sz w:val="8"/>
        </w:rPr>
        <w:t>135 </w:t>
      </w:r>
      <w:r>
        <w:rPr>
          <w:sz w:val="13"/>
        </w:rPr>
        <w:t>DIRECTIVE 2012/27/EU OF THE EUROPEAN PARLIAMENT AND OF THE COUNCIL of 25 October 2012 on energy efficiency, amending Directives 2009/125/EC and 2010/30/EU and repealing Directives 2004/8/EC and 2006/32/EC.</w:t>
      </w:r>
    </w:p>
    <w:p>
      <w:pPr>
        <w:spacing w:line="155" w:lineRule="exact" w:before="0"/>
        <w:ind w:left="742" w:right="0" w:firstLine="0"/>
        <w:jc w:val="left"/>
        <w:rPr>
          <w:sz w:val="13"/>
        </w:rPr>
      </w:pPr>
      <w:r>
        <w:rPr>
          <w:position w:val="6"/>
          <w:sz w:val="8"/>
        </w:rPr>
        <w:t>136 </w:t>
      </w:r>
      <w:hyperlink r:id="rId151">
        <w:r>
          <w:rPr>
            <w:color w:val="009DDF"/>
            <w:sz w:val="13"/>
          </w:rPr>
          <w:t>http://www.ens.dk/forbrug-besparelser/energibesparelser-offentlige-sektor</w:t>
        </w:r>
      </w:hyperlink>
    </w:p>
    <w:p>
      <w:pPr>
        <w:spacing w:before="43"/>
        <w:ind w:left="742" w:right="0" w:firstLine="0"/>
        <w:jc w:val="left"/>
        <w:rPr>
          <w:sz w:val="13"/>
        </w:rPr>
      </w:pPr>
      <w:r>
        <w:rPr>
          <w:position w:val="6"/>
          <w:sz w:val="8"/>
        </w:rPr>
        <w:t>137 </w:t>
      </w:r>
      <w:hyperlink r:id="rId152">
        <w:r>
          <w:rPr>
            <w:color w:val="009DDF"/>
            <w:sz w:val="13"/>
          </w:rPr>
          <w:t>http://www.ens.dk/forbrug-besparelser/energirenoveringsstrategi/strategi-energirenovering-bygninger</w:t>
        </w:r>
      </w:hyperlink>
    </w:p>
    <w:p>
      <w:pPr>
        <w:spacing w:before="41"/>
        <w:ind w:left="742" w:right="0" w:firstLine="0"/>
        <w:jc w:val="left"/>
        <w:rPr>
          <w:sz w:val="13"/>
        </w:rPr>
      </w:pPr>
      <w:r>
        <w:rPr>
          <w:position w:val="6"/>
          <w:sz w:val="8"/>
        </w:rPr>
        <w:t>138 </w:t>
      </w:r>
      <w:hyperlink r:id="rId153">
        <w:r>
          <w:rPr>
            <w:color w:val="009DDF"/>
            <w:sz w:val="13"/>
          </w:rPr>
          <w:t>https://astrosat.biz/products/thermcert</w:t>
        </w:r>
      </w:hyperlink>
    </w:p>
    <w:p>
      <w:pPr>
        <w:spacing w:before="44"/>
        <w:ind w:left="742" w:right="0" w:firstLine="0"/>
        <w:jc w:val="left"/>
        <w:rPr>
          <w:sz w:val="13"/>
        </w:rPr>
      </w:pPr>
      <w:r>
        <w:rPr>
          <w:position w:val="6"/>
          <w:sz w:val="8"/>
        </w:rPr>
        <w:t>139 </w:t>
      </w:r>
      <w:hyperlink r:id="rId154">
        <w:r>
          <w:rPr>
            <w:color w:val="009DDF"/>
            <w:sz w:val="13"/>
          </w:rPr>
          <w:t>http://energinet.dk/DA/OM-OS/Om-virksomheden/Sider/default.aspx</w:t>
        </w:r>
      </w:hyperlink>
    </w:p>
    <w:p>
      <w:pPr>
        <w:spacing w:before="41"/>
        <w:ind w:left="742" w:right="0" w:firstLine="0"/>
        <w:jc w:val="left"/>
        <w:rPr>
          <w:sz w:val="13"/>
        </w:rPr>
      </w:pPr>
      <w:r>
        <w:rPr>
          <w:position w:val="6"/>
          <w:sz w:val="8"/>
        </w:rPr>
        <w:t>140 </w:t>
      </w:r>
      <w:hyperlink r:id="rId155">
        <w:r>
          <w:rPr>
            <w:color w:val="009DDF"/>
            <w:sz w:val="13"/>
          </w:rPr>
          <w:t>http://www.ens.dk/politik/dansk-klima-energipolitik</w:t>
        </w:r>
      </w:hyperlink>
    </w:p>
    <w:p>
      <w:pPr>
        <w:spacing w:after="0"/>
        <w:jc w:val="left"/>
        <w:rPr>
          <w:sz w:val="13"/>
        </w:rPr>
        <w:sectPr>
          <w:pgSz w:w="11910" w:h="16840"/>
          <w:pgMar w:header="0" w:footer="539" w:top="1580" w:bottom="800" w:left="960" w:right="0"/>
        </w:sectPr>
      </w:pPr>
    </w:p>
    <w:p>
      <w:pPr>
        <w:pStyle w:val="BodyText"/>
        <w:spacing w:line="264" w:lineRule="auto" w:before="126"/>
        <w:ind w:left="742" w:right="7162"/>
      </w:pPr>
      <w:r>
        <w:rPr/>
        <w:drawing>
          <wp:anchor distT="0" distB="0" distL="0" distR="0" allowOverlap="1" layoutInCell="1" locked="0" behindDoc="0" simplePos="0" relativeHeight="7864">
            <wp:simplePos x="0" y="0"/>
            <wp:positionH relativeFrom="page">
              <wp:posOffset>3220720</wp:posOffset>
            </wp:positionH>
            <wp:positionV relativeFrom="paragraph">
              <wp:posOffset>428857</wp:posOffset>
            </wp:positionV>
            <wp:extent cx="3609975" cy="1724025"/>
            <wp:effectExtent l="0" t="0" r="0" b="0"/>
            <wp:wrapNone/>
            <wp:docPr id="81" name="image63.jpeg" descr=""/>
            <wp:cNvGraphicFramePr>
              <a:graphicFrameLocks noChangeAspect="1"/>
            </wp:cNvGraphicFramePr>
            <a:graphic>
              <a:graphicData uri="http://schemas.openxmlformats.org/drawingml/2006/picture">
                <pic:pic>
                  <pic:nvPicPr>
                    <pic:cNvPr id="82" name="image63.jpeg"/>
                    <pic:cNvPicPr/>
                  </pic:nvPicPr>
                  <pic:blipFill>
                    <a:blip r:embed="rId156" cstate="print"/>
                    <a:stretch>
                      <a:fillRect/>
                    </a:stretch>
                  </pic:blipFill>
                  <pic:spPr>
                    <a:xfrm>
                      <a:off x="0" y="0"/>
                      <a:ext cx="3609975" cy="1724025"/>
                    </a:xfrm>
                    <a:prstGeom prst="rect">
                      <a:avLst/>
                    </a:prstGeom>
                  </pic:spPr>
                </pic:pic>
              </a:graphicData>
            </a:graphic>
          </wp:anchor>
        </w:drawing>
      </w:r>
      <w:r>
        <w:rPr/>
        <w:pict>
          <v:shape style="position:absolute;margin-left:243.610001pt;margin-top:13.50773pt;width:301.1pt;height:234.95pt;mso-position-horizontal-relative:page;mso-position-vertical-relative:paragraph;z-index:78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1"/>
                  </w:tblGrid>
                  <w:tr>
                    <w:trPr>
                      <w:trHeight w:val="1738" w:hRule="atLeast"/>
                    </w:trPr>
                    <w:tc>
                      <w:tcPr>
                        <w:tcW w:w="6021" w:type="dxa"/>
                      </w:tcPr>
                      <w:p>
                        <w:pPr>
                          <w:pStyle w:val="TableParagraph"/>
                          <w:spacing w:before="1"/>
                          <w:ind w:left="200"/>
                          <w:rPr>
                            <w:b/>
                            <w:sz w:val="15"/>
                          </w:rPr>
                        </w:pPr>
                        <w:r>
                          <w:rPr>
                            <w:b/>
                            <w:color w:val="009DDF"/>
                            <w:sz w:val="15"/>
                          </w:rPr>
                          <w:t>Figur 29. Gennemsnitlig havvindhastighed over 10 år</w:t>
                        </w:r>
                      </w:p>
                    </w:tc>
                  </w:tr>
                  <w:tr>
                    <w:trPr>
                      <w:trHeight w:val="2959" w:hRule="atLeast"/>
                    </w:trPr>
                    <w:tc>
                      <w:tcPr>
                        <w:tcW w:w="6021" w:type="dxa"/>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9"/>
                          <w:ind w:left="0"/>
                          <w:rPr>
                            <w:sz w:val="28"/>
                          </w:rPr>
                        </w:pPr>
                      </w:p>
                      <w:p>
                        <w:pPr>
                          <w:pStyle w:val="TableParagraph"/>
                          <w:spacing w:before="0"/>
                          <w:ind w:left="200"/>
                          <w:rPr>
                            <w:sz w:val="16"/>
                          </w:rPr>
                        </w:pPr>
                        <w:r>
                          <w:rPr>
                            <w:sz w:val="16"/>
                          </w:rPr>
                          <w:t>Kilde: C. B. Hasager, M. Badger, A.Mouche</w:t>
                        </w:r>
                        <w:r>
                          <w:rPr>
                            <w:sz w:val="16"/>
                            <w:vertAlign w:val="superscript"/>
                          </w:rPr>
                          <w:t>141</w:t>
                        </w:r>
                        <w:r>
                          <w:rPr>
                            <w:sz w:val="16"/>
                            <w:vertAlign w:val="baseline"/>
                          </w:rPr>
                          <w:t>, I. Karagali, P. Astrup,</w:t>
                        </w:r>
                      </w:p>
                      <w:p>
                        <w:pPr>
                          <w:pStyle w:val="TableParagraph"/>
                          <w:spacing w:line="240" w:lineRule="atLeast" w:before="0"/>
                          <w:ind w:left="200" w:right="130"/>
                          <w:rPr>
                            <w:i/>
                            <w:sz w:val="16"/>
                          </w:rPr>
                        </w:pPr>
                        <w:r>
                          <w:rPr>
                            <w:sz w:val="16"/>
                          </w:rPr>
                          <w:t>M. Nielsen, F. Bingöl, A. Peña, X.G. Larsén, J. Badger, A.Hahmann, T. Mikkelsen og S.-E.Gryning fra Risø, Nationallaboratoriet for Bæredygtig Energi, DTU, </w:t>
                        </w:r>
                        <w:r>
                          <w:rPr>
                            <w:i/>
                            <w:sz w:val="16"/>
                          </w:rPr>
                          <w:t>Offshore wind resource estimation for wind </w:t>
                        </w:r>
                        <w:r>
                          <w:rPr>
                            <w:i/>
                            <w:sz w:val="16"/>
                          </w:rPr>
                          <w:t>energy </w:t>
                        </w:r>
                        <w:r>
                          <w:rPr>
                            <w:i/>
                            <w:color w:val="009DDF"/>
                            <w:sz w:val="16"/>
                          </w:rPr>
                          <w:t>http://orbit.dtu.dk/fedora/objects/orbit:59191/datastreams/ file_5019080/content</w:t>
                        </w:r>
                      </w:p>
                    </w:tc>
                  </w:tr>
                </w:tbl>
                <w:p>
                  <w:pPr>
                    <w:pStyle w:val="BodyText"/>
                  </w:pPr>
                </w:p>
              </w:txbxContent>
            </v:textbox>
            <w10:wrap type="none"/>
          </v:shape>
        </w:pict>
      </w:r>
      <w:r>
        <w:rPr/>
        <w:t>JO-data fra SAR-sensorer kan også her bidrage til at træffe den bedste beslutning om placering af vindmøller. Figur 29 viser ek- sempelvis den gennemsnitlige vindhastighed i danske farvande, baseret på</w:t>
      </w:r>
      <w:r>
        <w:rPr>
          <w:spacing w:val="-1"/>
        </w:rPr>
        <w:t> </w:t>
      </w:r>
      <w:r>
        <w:rPr/>
        <w:t>må</w:t>
      </w:r>
      <w:r>
        <w:rPr>
          <w:spacing w:val="-2"/>
        </w:rPr>
        <w:t>l</w:t>
      </w:r>
      <w:r>
        <w:rPr/>
        <w:t>i</w:t>
      </w:r>
      <w:r>
        <w:rPr>
          <w:spacing w:val="-2"/>
        </w:rPr>
        <w:t>n</w:t>
      </w:r>
      <w:r>
        <w:rPr/>
        <w:t>ger</w:t>
      </w:r>
      <w:r>
        <w:rPr>
          <w:spacing w:val="-1"/>
        </w:rPr>
        <w:t> f</w:t>
      </w:r>
      <w:r>
        <w:rPr/>
        <w:t>ra</w:t>
      </w:r>
      <w:r>
        <w:rPr>
          <w:spacing w:val="-2"/>
        </w:rPr>
        <w:t> </w:t>
      </w:r>
      <w:r>
        <w:rPr>
          <w:spacing w:val="-1"/>
        </w:rPr>
        <w:t>R</w:t>
      </w:r>
      <w:r>
        <w:rPr/>
        <w:t>E</w:t>
      </w:r>
      <w:r>
        <w:rPr>
          <w:spacing w:val="-1"/>
        </w:rPr>
        <w:t>MS</w:t>
      </w:r>
      <w:r>
        <w:rPr>
          <w:spacing w:val="2"/>
        </w:rPr>
        <w:t>S</w:t>
      </w:r>
      <w:r>
        <w:rPr>
          <w:w w:val="99"/>
          <w:position w:val="6"/>
          <w:sz w:val="8"/>
        </w:rPr>
        <w:t>142 </w:t>
      </w:r>
      <w:r>
        <w:rPr/>
        <w:t>over en 10-årig periode. Disse informationer tillader, at havmøl- leparker kan placeres på de mest fordelagtige lokaliteter uden at kræve adgang til vejrobservati- onsdata, som i reglen ikke dæk- ker havet med samme</w:t>
      </w:r>
      <w:r>
        <w:rPr>
          <w:spacing w:val="-8"/>
        </w:rPr>
        <w:t> </w:t>
      </w:r>
      <w:r>
        <w:rPr/>
        <w:t>præcision.</w:t>
      </w:r>
    </w:p>
    <w:p>
      <w:pPr>
        <w:pStyle w:val="BodyText"/>
        <w:spacing w:before="1"/>
        <w:rPr>
          <w:sz w:val="19"/>
        </w:rPr>
      </w:pPr>
    </w:p>
    <w:p>
      <w:pPr>
        <w:pStyle w:val="BodyText"/>
        <w:spacing w:line="264" w:lineRule="auto"/>
        <w:ind w:left="742" w:right="7202"/>
      </w:pPr>
      <w:r>
        <w:rPr/>
        <w:t>Ud over vindmøller er solenergi en væsentlig kilde til grøn energi i Danmark. Også her er JO-data af væsentlig betydning, idet de kan anvendes til at beregne overfladetemperaturen i et om-</w:t>
      </w:r>
    </w:p>
    <w:p>
      <w:pPr>
        <w:pStyle w:val="BodyText"/>
        <w:spacing w:line="215" w:lineRule="exact"/>
        <w:ind w:left="742"/>
        <w:rPr>
          <w:sz w:val="8"/>
        </w:rPr>
      </w:pPr>
      <w:r>
        <w:rPr/>
        <w:t>råde o</w:t>
      </w:r>
      <w:r>
        <w:rPr>
          <w:spacing w:val="-1"/>
        </w:rPr>
        <w:t>v</w:t>
      </w:r>
      <w:r>
        <w:rPr/>
        <w:t>er</w:t>
      </w:r>
      <w:r>
        <w:rPr>
          <w:spacing w:val="-1"/>
        </w:rPr>
        <w:t> </w:t>
      </w:r>
      <w:r>
        <w:rPr/>
        <w:t>tid</w:t>
      </w:r>
      <w:r>
        <w:rPr>
          <w:spacing w:val="-1"/>
        </w:rPr>
        <w:t> </w:t>
      </w:r>
      <w:r>
        <w:rPr>
          <w:spacing w:val="-2"/>
        </w:rPr>
        <w:t>o</w:t>
      </w:r>
      <w:r>
        <w:rPr/>
        <w:t>g</w:t>
      </w:r>
      <w:r>
        <w:rPr>
          <w:spacing w:val="-1"/>
        </w:rPr>
        <w:t> </w:t>
      </w:r>
      <w:r>
        <w:rPr/>
        <w:t>derm</w:t>
      </w:r>
      <w:r>
        <w:rPr>
          <w:spacing w:val="-2"/>
        </w:rPr>
        <w:t>e</w:t>
      </w:r>
      <w:r>
        <w:rPr/>
        <w:t>d</w:t>
      </w:r>
      <w:r>
        <w:rPr>
          <w:spacing w:val="-1"/>
        </w:rPr>
        <w:t> </w:t>
      </w:r>
      <w:r>
        <w:rPr/>
        <w:t>s</w:t>
      </w:r>
      <w:r>
        <w:rPr>
          <w:spacing w:val="-2"/>
        </w:rPr>
        <w:t>i</w:t>
      </w:r>
      <w:r>
        <w:rPr>
          <w:spacing w:val="-1"/>
        </w:rPr>
        <w:t>k</w:t>
      </w:r>
      <w:r>
        <w:rPr/>
        <w:t>re,</w:t>
      </w:r>
      <w:r>
        <w:rPr>
          <w:spacing w:val="-2"/>
        </w:rPr>
        <w:t> </w:t>
      </w:r>
      <w:r>
        <w:rPr/>
        <w:t>at</w:t>
      </w:r>
      <w:r>
        <w:rPr>
          <w:spacing w:val="-1"/>
        </w:rPr>
        <w:t> </w:t>
      </w:r>
      <w:r>
        <w:rPr/>
        <w:t>solce</w:t>
      </w:r>
      <w:r>
        <w:rPr>
          <w:spacing w:val="1"/>
        </w:rPr>
        <w:t>l</w:t>
      </w:r>
      <w:r>
        <w:rPr>
          <w:spacing w:val="-2"/>
        </w:rPr>
        <w:t>l</w:t>
      </w:r>
      <w:r>
        <w:rPr/>
        <w:t>epar</w:t>
      </w:r>
      <w:r>
        <w:rPr>
          <w:spacing w:val="-2"/>
        </w:rPr>
        <w:t>k</w:t>
      </w:r>
      <w:r>
        <w:rPr/>
        <w:t>er</w:t>
      </w:r>
      <w:r>
        <w:rPr>
          <w:spacing w:val="-1"/>
        </w:rPr>
        <w:t> </w:t>
      </w:r>
      <w:r>
        <w:rPr/>
        <w:t>plac</w:t>
      </w:r>
      <w:r>
        <w:rPr>
          <w:spacing w:val="-2"/>
        </w:rPr>
        <w:t>e</w:t>
      </w:r>
      <w:r>
        <w:rPr/>
        <w:t>res</w:t>
      </w:r>
      <w:r>
        <w:rPr>
          <w:spacing w:val="2"/>
        </w:rPr>
        <w:t> </w:t>
      </w:r>
      <w:r>
        <w:rPr/>
        <w:t>på</w:t>
      </w:r>
      <w:r>
        <w:rPr>
          <w:spacing w:val="-1"/>
        </w:rPr>
        <w:t> </w:t>
      </w:r>
      <w:r>
        <w:rPr/>
        <w:t>de</w:t>
      </w:r>
      <w:r>
        <w:rPr>
          <w:spacing w:val="-1"/>
        </w:rPr>
        <w:t> </w:t>
      </w:r>
      <w:r>
        <w:rPr/>
        <w:t>mest</w:t>
      </w:r>
      <w:r>
        <w:rPr>
          <w:spacing w:val="-1"/>
        </w:rPr>
        <w:t> f</w:t>
      </w:r>
      <w:r>
        <w:rPr/>
        <w:t>ordel</w:t>
      </w:r>
      <w:r>
        <w:rPr>
          <w:spacing w:val="-3"/>
        </w:rPr>
        <w:t>a</w:t>
      </w:r>
      <w:r>
        <w:rPr/>
        <w:t>gt</w:t>
      </w:r>
      <w:r>
        <w:rPr>
          <w:spacing w:val="-2"/>
        </w:rPr>
        <w:t>ig</w:t>
      </w:r>
      <w:r>
        <w:rPr/>
        <w:t>e</w:t>
      </w:r>
      <w:r>
        <w:rPr>
          <w:spacing w:val="-1"/>
        </w:rPr>
        <w:t> </w:t>
      </w:r>
      <w:r>
        <w:rPr/>
        <w:t>lo</w:t>
      </w:r>
      <w:r>
        <w:rPr>
          <w:spacing w:val="-1"/>
        </w:rPr>
        <w:t>k</w:t>
      </w:r>
      <w:r>
        <w:rPr/>
        <w:t>al</w:t>
      </w:r>
      <w:r>
        <w:rPr>
          <w:spacing w:val="-2"/>
        </w:rPr>
        <w:t>i</w:t>
      </w:r>
      <w:r>
        <w:rPr/>
        <w:t>te</w:t>
      </w:r>
      <w:r>
        <w:rPr>
          <w:spacing w:val="-2"/>
        </w:rPr>
        <w:t>t</w:t>
      </w:r>
      <w:r>
        <w:rPr/>
        <w:t>er</w:t>
      </w:r>
      <w:r>
        <w:rPr>
          <w:spacing w:val="2"/>
        </w:rPr>
        <w:t>.</w:t>
      </w:r>
      <w:r>
        <w:rPr>
          <w:w w:val="99"/>
          <w:position w:val="6"/>
          <w:sz w:val="8"/>
        </w:rPr>
        <w:t>143</w:t>
      </w:r>
    </w:p>
    <w:p>
      <w:pPr>
        <w:pStyle w:val="BodyText"/>
        <w:spacing w:before="6"/>
        <w:rPr>
          <w:sz w:val="21"/>
        </w:rPr>
      </w:pPr>
    </w:p>
    <w:p>
      <w:pPr>
        <w:pStyle w:val="BodyText"/>
        <w:spacing w:line="264" w:lineRule="auto"/>
        <w:ind w:left="742" w:right="1325"/>
      </w:pPr>
      <w:r>
        <w:rPr/>
        <w:t>Private borgere, som ønsker at installere solcelleanlæg, drager fordel af satellitdata, idet leveran- dører kan bruge offentligt tilgængelige og kommercielle tjenester til at indsamle grunddata om borgerens bolig, såsom tagets orientering og skyggegivende obstruktioner som træer eller høje nabobygninger.</w:t>
      </w:r>
    </w:p>
    <w:p>
      <w:pPr>
        <w:pStyle w:val="BodyText"/>
        <w:spacing w:before="6"/>
        <w:rPr>
          <w:sz w:val="19"/>
        </w:rPr>
      </w:pPr>
    </w:p>
    <w:p>
      <w:pPr>
        <w:pStyle w:val="BodyText"/>
        <w:spacing w:line="264" w:lineRule="auto" w:before="1"/>
        <w:ind w:left="742" w:right="1246"/>
      </w:pPr>
      <w:r>
        <w:rPr/>
        <w:t>En række analyser peger på vand som et centralt område for global økonomisk vækst over de kommende årtier. Dette hænger særligt sammen med, at en stadigt større befolkning har behov for rent vand. I dag lever godt 1,7 mia. mennesker i regioner, hvor der er vandstress. Dvs. at der er så lidt ferskvand til stede, at de vil opleve vandproblemer i løbet af et år. Samtidig vil 1,8 mia. mennesker leve i lande med decideret vandmangel. Fra et vækstperspektiv betyder det, at mange lande over de kommende år skal foretage store investeringer i nye løsninger på vandområdet</w:t>
      </w:r>
      <w:r>
        <w:rPr>
          <w:w w:val="99"/>
          <w:position w:val="6"/>
          <w:sz w:val="8"/>
        </w:rPr>
        <w:t>144</w:t>
      </w:r>
      <w:r>
        <w:rPr/>
        <w:t>.</w:t>
      </w:r>
    </w:p>
    <w:p>
      <w:pPr>
        <w:pStyle w:val="BodyText"/>
        <w:spacing w:before="5"/>
        <w:rPr>
          <w:sz w:val="19"/>
        </w:rPr>
      </w:pPr>
    </w:p>
    <w:p>
      <w:pPr>
        <w:pStyle w:val="BodyText"/>
        <w:spacing w:line="264" w:lineRule="auto"/>
        <w:ind w:left="742" w:right="1118"/>
      </w:pPr>
      <w:r>
        <w:rPr/>
        <w:t>På vandområdet har Danmark nogle store førende virksomheder og mange små og mellemstore innovative virksomheder inden for et bredt spektrum af teknologier. Det drejer sig bl.a. om tekno- logier til vandbesparelser, vandrensning, pumpeteknologier, vedligeholdelse af infrastruktur, analy- semetoder, online monitering og modellering. I forhold til brug af satellitdata kan særligt DHI GRAS nævnes. Virksomheden arbejder med satellitbaseret jordobservation for flere interessenter, blandt andre ESA. Det gælder eksempelvis store projekter om vandressourceforvaltning i Afrika og klima- tilpasningsprojekter i Sydøstasien. Ud over aktiv deltagelse i ESA-finansierede projekter har firmaet flere operationelle services og ydelser, som baserer sig på jordobservationsdata fra ESA’s JO- missioner (bl.a. ENVISAT, Sentinel).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5792;mso-wrap-distance-left:0;mso-wrap-distance-right:0" from="85.103996pt,8.331757pt" to="229.123996pt,8.331757pt" stroked="true" strokeweight=".48004pt" strokecolor="#000000">
            <v:stroke dashstyle="solid"/>
            <w10:wrap type="topAndBottom"/>
          </v:line>
        </w:pict>
      </w:r>
    </w:p>
    <w:p>
      <w:pPr>
        <w:spacing w:before="99"/>
        <w:ind w:left="742" w:right="0" w:firstLine="0"/>
        <w:jc w:val="left"/>
        <w:rPr>
          <w:sz w:val="13"/>
        </w:rPr>
      </w:pPr>
      <w:r>
        <w:rPr>
          <w:position w:val="6"/>
          <w:sz w:val="8"/>
        </w:rPr>
        <w:t>141 </w:t>
      </w:r>
      <w:r>
        <w:rPr>
          <w:sz w:val="13"/>
        </w:rPr>
        <w:t>CLS, France; ikke Risø.</w:t>
      </w:r>
    </w:p>
    <w:p>
      <w:pPr>
        <w:spacing w:before="43"/>
        <w:ind w:left="742" w:right="0" w:firstLine="0"/>
        <w:jc w:val="left"/>
        <w:rPr>
          <w:sz w:val="13"/>
        </w:rPr>
      </w:pPr>
      <w:r>
        <w:rPr>
          <w:position w:val="6"/>
          <w:sz w:val="8"/>
        </w:rPr>
        <w:t>142 </w:t>
      </w:r>
      <w:r>
        <w:rPr>
          <w:sz w:val="13"/>
        </w:rPr>
        <w:t>Remote Sensing Systems, </w:t>
      </w:r>
      <w:hyperlink r:id="rId157">
        <w:r>
          <w:rPr>
            <w:color w:val="009DDF"/>
            <w:sz w:val="13"/>
          </w:rPr>
          <w:t>http://www.remss.com/about/who-we-are.</w:t>
        </w:r>
      </w:hyperlink>
    </w:p>
    <w:p>
      <w:pPr>
        <w:spacing w:before="41"/>
        <w:ind w:left="742" w:right="0" w:firstLine="0"/>
        <w:jc w:val="left"/>
        <w:rPr>
          <w:i/>
          <w:sz w:val="13"/>
        </w:rPr>
      </w:pPr>
      <w:r>
        <w:rPr>
          <w:position w:val="6"/>
          <w:sz w:val="8"/>
        </w:rPr>
        <w:t>143 </w:t>
      </w:r>
      <w:r>
        <w:rPr>
          <w:sz w:val="13"/>
        </w:rPr>
        <w:t>Dr Heinz Ossenbirk, Europakommissionens Joint Research Centre (2013) </w:t>
      </w:r>
      <w:r>
        <w:rPr>
          <w:i/>
          <w:sz w:val="13"/>
        </w:rPr>
        <w:t>Renewable Energy Challenges: Solutions from Space</w:t>
      </w:r>
    </w:p>
    <w:p>
      <w:pPr>
        <w:spacing w:before="54"/>
        <w:ind w:left="742" w:right="0" w:firstLine="0"/>
        <w:jc w:val="left"/>
        <w:rPr>
          <w:sz w:val="13"/>
        </w:rPr>
      </w:pPr>
      <w:r>
        <w:rPr>
          <w:sz w:val="13"/>
        </w:rPr>
        <w:t>præsentation ved European Space Solutions 2013.</w:t>
      </w:r>
    </w:p>
    <w:p>
      <w:pPr>
        <w:spacing w:before="41"/>
        <w:ind w:left="742" w:right="0" w:firstLine="0"/>
        <w:jc w:val="left"/>
        <w:rPr>
          <w:sz w:val="13"/>
        </w:rPr>
      </w:pPr>
      <w:r>
        <w:rPr>
          <w:position w:val="6"/>
          <w:sz w:val="8"/>
        </w:rPr>
        <w:t>144 </w:t>
      </w:r>
      <w:r>
        <w:rPr>
          <w:sz w:val="13"/>
        </w:rPr>
        <w:t>Miljøministeriet, 2012: Danske virksomheder på vandområdet.</w:t>
      </w:r>
    </w:p>
    <w:p>
      <w:pPr>
        <w:spacing w:after="0"/>
        <w:jc w:val="left"/>
        <w:rPr>
          <w:sz w:val="13"/>
        </w:rPr>
        <w:sectPr>
          <w:pgSz w:w="11910" w:h="16840"/>
          <w:pgMar w:header="0" w:footer="539" w:top="1580" w:bottom="800" w:left="960" w:right="0"/>
        </w:sectPr>
      </w:pPr>
    </w:p>
    <w:p>
      <w:pPr>
        <w:spacing w:before="105"/>
        <w:ind w:left="742" w:right="0" w:firstLine="0"/>
        <w:jc w:val="left"/>
        <w:rPr>
          <w:b/>
          <w:sz w:val="22"/>
        </w:rPr>
      </w:pPr>
      <w:bookmarkStart w:name="_bookmark63" w:id="64"/>
      <w:bookmarkEnd w:id="64"/>
      <w:r>
        <w:rPr/>
      </w:r>
      <w:r>
        <w:rPr>
          <w:b/>
          <w:color w:val="009DDF"/>
          <w:sz w:val="22"/>
        </w:rPr>
        <w:t>BILAG 1: METODEBILAG</w:t>
      </w:r>
    </w:p>
    <w:p>
      <w:pPr>
        <w:pStyle w:val="BodyText"/>
        <w:spacing w:before="9"/>
        <w:rPr>
          <w:b/>
          <w:sz w:val="25"/>
        </w:rPr>
      </w:pPr>
    </w:p>
    <w:p>
      <w:pPr>
        <w:pStyle w:val="ListParagraph"/>
        <w:numPr>
          <w:ilvl w:val="1"/>
          <w:numId w:val="25"/>
        </w:numPr>
        <w:tabs>
          <w:tab w:pos="741" w:val="left" w:leader="none"/>
          <w:tab w:pos="743" w:val="left" w:leader="none"/>
        </w:tabs>
        <w:spacing w:line="240" w:lineRule="auto" w:before="0" w:after="0"/>
        <w:ind w:left="742" w:right="0" w:hanging="624"/>
        <w:jc w:val="left"/>
        <w:rPr>
          <w:b/>
          <w:sz w:val="18"/>
        </w:rPr>
      </w:pPr>
      <w:r>
        <w:rPr>
          <w:b/>
          <w:sz w:val="18"/>
        </w:rPr>
        <w:t>Rumområdets reelle omfang i</w:t>
      </w:r>
      <w:r>
        <w:rPr>
          <w:b/>
          <w:spacing w:val="-1"/>
          <w:sz w:val="18"/>
        </w:rPr>
        <w:t> </w:t>
      </w:r>
      <w:r>
        <w:rPr>
          <w:b/>
          <w:sz w:val="18"/>
        </w:rPr>
        <w:t>Danmark</w:t>
      </w:r>
    </w:p>
    <w:p>
      <w:pPr>
        <w:pStyle w:val="BodyText"/>
        <w:spacing w:before="22"/>
        <w:ind w:left="742"/>
      </w:pPr>
      <w:r>
        <w:rPr/>
        <w:t>Kapitlet involverede tre delopgaver, metoden for løsning af disse er beskrevet i dette bilag.</w:t>
      </w:r>
    </w:p>
    <w:p>
      <w:pPr>
        <w:pStyle w:val="BodyText"/>
        <w:spacing w:before="5"/>
        <w:rPr>
          <w:sz w:val="21"/>
        </w:rPr>
      </w:pPr>
    </w:p>
    <w:p>
      <w:pPr>
        <w:pStyle w:val="ListParagraph"/>
        <w:numPr>
          <w:ilvl w:val="2"/>
          <w:numId w:val="25"/>
        </w:numPr>
        <w:tabs>
          <w:tab w:pos="743" w:val="left" w:leader="none"/>
        </w:tabs>
        <w:spacing w:line="240" w:lineRule="auto" w:before="1" w:after="0"/>
        <w:ind w:left="742" w:right="0" w:hanging="624"/>
        <w:jc w:val="left"/>
        <w:rPr>
          <w:b/>
          <w:sz w:val="18"/>
        </w:rPr>
      </w:pPr>
      <w:r>
        <w:rPr>
          <w:b/>
          <w:sz w:val="18"/>
        </w:rPr>
        <w:t>Identifikation</w:t>
      </w:r>
    </w:p>
    <w:p>
      <w:pPr>
        <w:pStyle w:val="BodyText"/>
        <w:spacing w:line="264" w:lineRule="auto" w:before="21"/>
        <w:ind w:left="742" w:right="1177"/>
      </w:pPr>
      <w:r>
        <w:rPr/>
        <w:t>Rumrelevante virksomheder er identificeret med udgangspunkt i adskillige kilder modtaget fra Sty- relsen for Forskning og Innovation (FI), London Economics’ interne lister af virksomheder med rumaktivitet, samt omfattende internetsøgning.</w:t>
      </w:r>
    </w:p>
    <w:p>
      <w:pPr>
        <w:pStyle w:val="ListParagraph"/>
        <w:numPr>
          <w:ilvl w:val="3"/>
          <w:numId w:val="25"/>
        </w:numPr>
        <w:tabs>
          <w:tab w:pos="1461" w:val="left" w:leader="none"/>
          <w:tab w:pos="1462" w:val="left" w:leader="none"/>
        </w:tabs>
        <w:spacing w:line="261" w:lineRule="auto" w:before="0" w:after="0"/>
        <w:ind w:left="1462" w:right="1177" w:hanging="360"/>
        <w:jc w:val="left"/>
        <w:rPr>
          <w:sz w:val="18"/>
        </w:rPr>
      </w:pPr>
      <w:r>
        <w:rPr>
          <w:sz w:val="18"/>
        </w:rPr>
        <w:t>FIs lister (ESA (under-)leverandører, FP6, FP7, og Horizon 2020 ansøgere, JO interessentli- ste, øvrige</w:t>
      </w:r>
      <w:r>
        <w:rPr>
          <w:spacing w:val="-4"/>
          <w:sz w:val="18"/>
        </w:rPr>
        <w:t> </w:t>
      </w:r>
      <w:r>
        <w:rPr>
          <w:sz w:val="18"/>
        </w:rPr>
        <w:t>virksomheder)</w:t>
      </w:r>
    </w:p>
    <w:p>
      <w:pPr>
        <w:pStyle w:val="ListParagraph"/>
        <w:numPr>
          <w:ilvl w:val="3"/>
          <w:numId w:val="25"/>
        </w:numPr>
        <w:tabs>
          <w:tab w:pos="1461" w:val="left" w:leader="none"/>
          <w:tab w:pos="1462" w:val="left" w:leader="none"/>
        </w:tabs>
        <w:spacing w:line="240" w:lineRule="auto" w:before="0" w:after="0"/>
        <w:ind w:left="1462" w:right="0" w:hanging="360"/>
        <w:jc w:val="left"/>
        <w:rPr>
          <w:sz w:val="18"/>
        </w:rPr>
      </w:pPr>
      <w:r>
        <w:rPr>
          <w:sz w:val="18"/>
        </w:rPr>
        <w:t>London Economics’ interne lister af rumvirksomheder inklusiv</w:t>
      </w:r>
      <w:r>
        <w:rPr>
          <w:spacing w:val="-17"/>
          <w:sz w:val="18"/>
        </w:rPr>
        <w:t> </w:t>
      </w:r>
      <w:r>
        <w:rPr>
          <w:sz w:val="18"/>
        </w:rPr>
        <w:t>datterselskaber</w:t>
      </w:r>
    </w:p>
    <w:p>
      <w:pPr>
        <w:pStyle w:val="ListParagraph"/>
        <w:numPr>
          <w:ilvl w:val="3"/>
          <w:numId w:val="25"/>
        </w:numPr>
        <w:tabs>
          <w:tab w:pos="1461" w:val="left" w:leader="none"/>
          <w:tab w:pos="1462" w:val="left" w:leader="none"/>
        </w:tabs>
        <w:spacing w:line="240" w:lineRule="auto" w:before="19" w:after="0"/>
        <w:ind w:left="1462" w:right="0" w:hanging="360"/>
        <w:jc w:val="left"/>
        <w:rPr>
          <w:sz w:val="18"/>
        </w:rPr>
      </w:pPr>
      <w:r>
        <w:rPr>
          <w:sz w:val="18"/>
        </w:rPr>
        <w:t>Hjælpemiddeldatabasen</w:t>
      </w:r>
    </w:p>
    <w:p>
      <w:pPr>
        <w:pStyle w:val="ListParagraph"/>
        <w:numPr>
          <w:ilvl w:val="3"/>
          <w:numId w:val="25"/>
        </w:numPr>
        <w:tabs>
          <w:tab w:pos="1461" w:val="left" w:leader="none"/>
          <w:tab w:pos="1462" w:val="left" w:leader="none"/>
        </w:tabs>
        <w:spacing w:line="240" w:lineRule="auto" w:before="19" w:after="0"/>
        <w:ind w:left="1462" w:right="0" w:hanging="360"/>
        <w:jc w:val="left"/>
        <w:rPr>
          <w:sz w:val="18"/>
        </w:rPr>
      </w:pPr>
      <w:r>
        <w:rPr>
          <w:sz w:val="18"/>
        </w:rPr>
        <w:t>Sponsorer af</w:t>
      </w:r>
      <w:r>
        <w:rPr>
          <w:spacing w:val="-4"/>
          <w:sz w:val="18"/>
        </w:rPr>
        <w:t> </w:t>
      </w:r>
      <w:r>
        <w:rPr>
          <w:sz w:val="18"/>
        </w:rPr>
        <w:t>rumrejsen.dk</w:t>
      </w:r>
    </w:p>
    <w:p>
      <w:pPr>
        <w:pStyle w:val="ListParagraph"/>
        <w:numPr>
          <w:ilvl w:val="3"/>
          <w:numId w:val="25"/>
        </w:numPr>
        <w:tabs>
          <w:tab w:pos="1461" w:val="left" w:leader="none"/>
          <w:tab w:pos="1462" w:val="left" w:leader="none"/>
        </w:tabs>
        <w:spacing w:line="240" w:lineRule="auto" w:before="20" w:after="0"/>
        <w:ind w:left="1462" w:right="0" w:hanging="360"/>
        <w:jc w:val="left"/>
        <w:rPr>
          <w:sz w:val="18"/>
        </w:rPr>
      </w:pPr>
      <w:r>
        <w:rPr>
          <w:sz w:val="18"/>
        </w:rPr>
        <w:t>Publikationer fra DTU samt Kortlægning af Rumområdet i</w:t>
      </w:r>
      <w:r>
        <w:rPr>
          <w:spacing w:val="-10"/>
          <w:sz w:val="18"/>
        </w:rPr>
        <w:t> </w:t>
      </w:r>
      <w:r>
        <w:rPr>
          <w:sz w:val="18"/>
        </w:rPr>
        <w:t>Danmark</w:t>
      </w:r>
    </w:p>
    <w:p>
      <w:pPr>
        <w:pStyle w:val="ListParagraph"/>
        <w:numPr>
          <w:ilvl w:val="3"/>
          <w:numId w:val="25"/>
        </w:numPr>
        <w:tabs>
          <w:tab w:pos="1461" w:val="left" w:leader="none"/>
          <w:tab w:pos="1462" w:val="left" w:leader="none"/>
        </w:tabs>
        <w:spacing w:line="240" w:lineRule="auto" w:before="20" w:after="0"/>
        <w:ind w:left="1462" w:right="0" w:hanging="360"/>
        <w:jc w:val="left"/>
        <w:rPr>
          <w:sz w:val="18"/>
        </w:rPr>
      </w:pPr>
      <w:r>
        <w:rPr>
          <w:sz w:val="18"/>
        </w:rPr>
        <w:t>Google-søgning på ”.dk” sider</w:t>
      </w:r>
      <w:r>
        <w:rPr>
          <w:spacing w:val="-5"/>
          <w:sz w:val="18"/>
        </w:rPr>
        <w:t> </w:t>
      </w:r>
      <w:r>
        <w:rPr>
          <w:sz w:val="18"/>
        </w:rPr>
        <w:t>af</w:t>
      </w:r>
    </w:p>
    <w:p>
      <w:pPr>
        <w:pStyle w:val="BodyText"/>
        <w:tabs>
          <w:tab w:pos="2181" w:val="left" w:leader="none"/>
        </w:tabs>
        <w:spacing w:before="19"/>
        <w:ind w:left="1822"/>
      </w:pPr>
      <w:r>
        <w:rPr>
          <w:rFonts w:ascii="Courier New"/>
        </w:rPr>
        <w:t>o</w:t>
        <w:tab/>
      </w:r>
      <w:r>
        <w:rPr/>
        <w:t>GPS, Satellit, Space, GNSS, VSAT, Inmarsat/Iridium/Thuraya</w:t>
      </w:r>
      <w:r>
        <w:rPr>
          <w:spacing w:val="-10"/>
        </w:rPr>
        <w:t> </w:t>
      </w:r>
      <w:r>
        <w:rPr/>
        <w:t>m.fl.</w:t>
      </w:r>
    </w:p>
    <w:p>
      <w:pPr>
        <w:pStyle w:val="BodyText"/>
        <w:spacing w:before="2"/>
        <w:rPr>
          <w:sz w:val="20"/>
        </w:rPr>
      </w:pPr>
    </w:p>
    <w:p>
      <w:pPr>
        <w:pStyle w:val="ListParagraph"/>
        <w:numPr>
          <w:ilvl w:val="2"/>
          <w:numId w:val="25"/>
        </w:numPr>
        <w:tabs>
          <w:tab w:pos="743" w:val="left" w:leader="none"/>
        </w:tabs>
        <w:spacing w:line="240" w:lineRule="auto" w:before="0" w:after="0"/>
        <w:ind w:left="742" w:right="0" w:hanging="624"/>
        <w:jc w:val="left"/>
        <w:rPr>
          <w:b/>
          <w:sz w:val="18"/>
        </w:rPr>
      </w:pPr>
      <w:r>
        <w:rPr>
          <w:b/>
          <w:sz w:val="18"/>
        </w:rPr>
        <w:t>Virksomhedsanalyse</w:t>
      </w:r>
    </w:p>
    <w:p>
      <w:pPr>
        <w:pStyle w:val="BodyText"/>
        <w:spacing w:line="264" w:lineRule="auto" w:before="21"/>
        <w:ind w:left="742" w:right="1121"/>
      </w:pPr>
      <w:r>
        <w:rPr/>
        <w:t>Virksomhedsanalysen er baseret på det bedste tilgængelige data. Interviews med enkelte nøgle- virksomheder med stor betydning for det samlede resultat eller stor diversificering i rum-relaterede aktiviteter er blevet interviewet for at sikre bedst mulig præcision. Øvrige virksomheder er analyse- ret gennem årsrapporter, hvis muligt, og information fra hjemmesider.</w:t>
      </w:r>
    </w:p>
    <w:p>
      <w:pPr>
        <w:pStyle w:val="BodyText"/>
        <w:spacing w:line="264" w:lineRule="auto"/>
        <w:ind w:left="742" w:right="1211"/>
      </w:pPr>
      <w:r>
        <w:rPr/>
        <w:t>Få danske rumvirksomheder er børsnoterede, og kvaliteten og præcisionen i tilgængelig data er derfor begrænset. Vi har derfor anvendt den samme procedure til analyse af virksomheder, som vi har brugt i forbindelse med andre rumprojekter for GSA og UK Space Agency.</w:t>
      </w:r>
    </w:p>
    <w:p>
      <w:pPr>
        <w:pStyle w:val="BodyText"/>
        <w:spacing w:line="264" w:lineRule="auto"/>
        <w:ind w:left="742" w:right="1168"/>
      </w:pPr>
      <w:r>
        <w:rPr/>
        <w:t>Analyseprocessen resulterede i en vurdering af hver enkelt virksomheds rumomsætningsgrad (dvs. andelen af omsætning der stammer fra rumrelaterede aktiviteter) samt andelen af rumomsætning der stammer fra de forskellige aktiviteter i værdikæden.</w:t>
      </w:r>
    </w:p>
    <w:p>
      <w:pPr>
        <w:spacing w:after="0" w:line="264" w:lineRule="auto"/>
        <w:sectPr>
          <w:pgSz w:w="11910" w:h="16840"/>
          <w:pgMar w:header="0" w:footer="539" w:top="1580" w:bottom="800" w:left="960" w:right="0"/>
        </w:sectPr>
      </w:pPr>
    </w:p>
    <w:p>
      <w:pPr>
        <w:spacing w:before="105"/>
        <w:ind w:left="742" w:right="0" w:firstLine="0"/>
        <w:jc w:val="left"/>
        <w:rPr>
          <w:b/>
          <w:sz w:val="22"/>
        </w:rPr>
      </w:pPr>
      <w:bookmarkStart w:name="_bookmark64" w:id="65"/>
      <w:bookmarkEnd w:id="65"/>
      <w:r>
        <w:rPr/>
      </w:r>
      <w:r>
        <w:rPr>
          <w:b/>
          <w:color w:val="009DDF"/>
          <w:sz w:val="22"/>
        </w:rPr>
        <w:t>BILAG 2: PROFILER FOR INTERVIEWEDE VIRKSOMHEDER</w:t>
      </w:r>
    </w:p>
    <w:p>
      <w:pPr>
        <w:pStyle w:val="BodyText"/>
        <w:spacing w:before="10" w:after="1"/>
        <w:rPr>
          <w:b/>
          <w:sz w:val="23"/>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1659"/>
        <w:gridCol w:w="7522"/>
      </w:tblGrid>
      <w:tr>
        <w:trPr>
          <w:trHeight w:val="294" w:hRule="atLeast"/>
        </w:trPr>
        <w:tc>
          <w:tcPr>
            <w:tcW w:w="1659" w:type="dxa"/>
            <w:tcBorders>
              <w:right w:val="nil"/>
            </w:tcBorders>
            <w:shd w:val="clear" w:color="auto" w:fill="A7D2F5"/>
          </w:tcPr>
          <w:p>
            <w:pPr>
              <w:pStyle w:val="TableParagraph"/>
              <w:rPr>
                <w:b/>
                <w:sz w:val="16"/>
              </w:rPr>
            </w:pPr>
            <w:r>
              <w:rPr>
                <w:b/>
                <w:color w:val="FFFFFF"/>
                <w:sz w:val="16"/>
              </w:rPr>
              <w:t>Virksomhed</w:t>
            </w:r>
          </w:p>
        </w:tc>
        <w:tc>
          <w:tcPr>
            <w:tcW w:w="7522" w:type="dxa"/>
            <w:tcBorders>
              <w:left w:val="nil"/>
            </w:tcBorders>
            <w:shd w:val="clear" w:color="auto" w:fill="A7D2F5"/>
          </w:tcPr>
          <w:p>
            <w:pPr>
              <w:pStyle w:val="TableParagraph"/>
              <w:ind w:left="127"/>
              <w:rPr>
                <w:b/>
                <w:sz w:val="16"/>
              </w:rPr>
            </w:pPr>
            <w:r>
              <w:rPr>
                <w:b/>
                <w:color w:val="FFFFFF"/>
                <w:sz w:val="16"/>
              </w:rPr>
              <w:t>Beskrivelse</w:t>
            </w:r>
          </w:p>
        </w:tc>
      </w:tr>
      <w:tr>
        <w:trPr>
          <w:trHeight w:val="2219" w:hRule="atLeast"/>
        </w:trPr>
        <w:tc>
          <w:tcPr>
            <w:tcW w:w="1659" w:type="dxa"/>
            <w:tcBorders>
              <w:right w:val="nil"/>
            </w:tcBorders>
            <w:shd w:val="clear" w:color="auto" w:fill="E9F4FB"/>
          </w:tcPr>
          <w:p>
            <w:pPr>
              <w:pStyle w:val="TableParagraph"/>
              <w:rPr>
                <w:sz w:val="16"/>
              </w:rPr>
            </w:pPr>
            <w:r>
              <w:rPr>
                <w:sz w:val="16"/>
              </w:rPr>
              <w:t>DHI GRAS</w:t>
            </w:r>
          </w:p>
        </w:tc>
        <w:tc>
          <w:tcPr>
            <w:tcW w:w="7522" w:type="dxa"/>
            <w:tcBorders>
              <w:left w:val="nil"/>
            </w:tcBorders>
            <w:shd w:val="clear" w:color="auto" w:fill="E9F4FB"/>
          </w:tcPr>
          <w:p>
            <w:pPr>
              <w:pStyle w:val="TableParagraph"/>
              <w:spacing w:line="264" w:lineRule="auto"/>
              <w:ind w:left="127" w:right="100"/>
              <w:rPr>
                <w:sz w:val="16"/>
              </w:rPr>
            </w:pPr>
            <w:r>
              <w:rPr>
                <w:sz w:val="16"/>
              </w:rPr>
              <w:t>DHI GRAS arbejder med satellitbaseret jordobservation for flere interessenter, blandt andet ESA. Det gælder eksempelvis store projekter omkring vandressourceforvaltning i Afrika og klimatilpasningsprojekter i Sydøstasien. Udover aktiv deltagelse i ESA- finansierede projekter har firmaet flere operationelle services og ydelser som baserer sig på jordobservationsdata fra ESA’s missioner (bl.a. ENVISAT, Sentinel). DHI GRAS er offi- ciel distributør af satellitbilleder fra de globale operatører af satellitter. Udover at distribu- ere satellitbilleder arbejder DHI GRAS med at analysere billederne for at kortlægge miljø- forhold i hele verden. DHI GRAS er ejet af DHI, som er en uafhængig forsknings- og kon- sulentvirksomhed specialiseret i vandmiljø. DHI GRAS beskæftiger 10 fuldtidsmedarbej- dere.</w:t>
            </w:r>
          </w:p>
        </w:tc>
      </w:tr>
      <w:tr>
        <w:trPr>
          <w:trHeight w:val="1576" w:hRule="atLeast"/>
        </w:trPr>
        <w:tc>
          <w:tcPr>
            <w:tcW w:w="1659" w:type="dxa"/>
            <w:tcBorders>
              <w:right w:val="nil"/>
            </w:tcBorders>
          </w:tcPr>
          <w:p>
            <w:pPr>
              <w:pStyle w:val="TableParagraph"/>
              <w:rPr>
                <w:sz w:val="16"/>
              </w:rPr>
            </w:pPr>
            <w:r>
              <w:rPr>
                <w:sz w:val="16"/>
              </w:rPr>
              <w:t>Cobham Satcom</w:t>
            </w:r>
          </w:p>
        </w:tc>
        <w:tc>
          <w:tcPr>
            <w:tcW w:w="7522" w:type="dxa"/>
            <w:tcBorders>
              <w:left w:val="nil"/>
            </w:tcBorders>
          </w:tcPr>
          <w:p>
            <w:pPr>
              <w:pStyle w:val="TableParagraph"/>
              <w:spacing w:line="264" w:lineRule="auto"/>
              <w:ind w:left="127" w:right="74"/>
              <w:rPr>
                <w:sz w:val="16"/>
              </w:rPr>
            </w:pPr>
            <w:r>
              <w:rPr>
                <w:sz w:val="16"/>
              </w:rPr>
              <w:t>Cobham Satcom, tidligere Thrane &amp; Thrane A/S, er en del af den engelske Cobham- koncern, hvis produkter og serviceydelser har været omdrejningspunktet for avancerede militære og civile systemer i mere end 75 år. Virksomheden udvikler, producerer og sæl- ger udstyr og systemer til global, mobil kommunikation baseret på satellit- og radiotekno- logi. Produkterne sikrer kommunikation mellem mennesker på land, til vands og i luften. Virksomheden beskæftiger ca. 550 fultidsmedarbejdere i Danmark, heraf ca. 250 uden for Aalborg og resten i Lyngby.</w:t>
            </w:r>
          </w:p>
        </w:tc>
      </w:tr>
      <w:tr>
        <w:trPr>
          <w:trHeight w:val="1364" w:hRule="atLeast"/>
        </w:trPr>
        <w:tc>
          <w:tcPr>
            <w:tcW w:w="1659" w:type="dxa"/>
            <w:tcBorders>
              <w:right w:val="nil"/>
            </w:tcBorders>
            <w:shd w:val="clear" w:color="auto" w:fill="E9F4FB"/>
          </w:tcPr>
          <w:p>
            <w:pPr>
              <w:pStyle w:val="TableParagraph"/>
              <w:spacing w:line="261" w:lineRule="auto" w:before="42"/>
              <w:ind w:right="88"/>
              <w:rPr>
                <w:sz w:val="16"/>
              </w:rPr>
            </w:pPr>
            <w:r>
              <w:rPr>
                <w:sz w:val="16"/>
              </w:rPr>
              <w:t>Danish Aerospace Company</w:t>
            </w:r>
          </w:p>
        </w:tc>
        <w:tc>
          <w:tcPr>
            <w:tcW w:w="7522" w:type="dxa"/>
            <w:tcBorders>
              <w:left w:val="nil"/>
            </w:tcBorders>
            <w:shd w:val="clear" w:color="auto" w:fill="E9F4FB"/>
          </w:tcPr>
          <w:p>
            <w:pPr>
              <w:pStyle w:val="TableParagraph"/>
              <w:spacing w:line="264" w:lineRule="auto" w:before="42"/>
              <w:ind w:left="127" w:right="103"/>
              <w:rPr>
                <w:sz w:val="16"/>
              </w:rPr>
            </w:pPr>
            <w:r>
              <w:rPr>
                <w:sz w:val="16"/>
              </w:rPr>
              <w:t>Danish Aerospace Company producerer bl.a. udstyr til medicinske og fysiologiske forsøg i rummet - blandt andet særlige kondicykler. Virksomheden beskæftiger 18 fultidsmedar- bejdere og har base i Odense. Danish Aerospace Companys udstyr bruges til videnskabe- lige forsøg – især for at finde ud af, hvordan menneskekroppen fungerer i rummet. Ud over at udvikle og fabrikere udstyret er Odense-firmaet direkte med på lyd, video og data, når der udføres nogle af de videnskabelige forsøg på Den internationale</w:t>
            </w:r>
            <w:r>
              <w:rPr>
                <w:spacing w:val="-31"/>
                <w:sz w:val="16"/>
              </w:rPr>
              <w:t> </w:t>
            </w:r>
            <w:r>
              <w:rPr>
                <w:sz w:val="16"/>
              </w:rPr>
              <w:t>Rumstation.</w:t>
            </w:r>
          </w:p>
        </w:tc>
      </w:tr>
      <w:tr>
        <w:trPr>
          <w:trHeight w:val="1790" w:hRule="atLeast"/>
        </w:trPr>
        <w:tc>
          <w:tcPr>
            <w:tcW w:w="1659" w:type="dxa"/>
            <w:tcBorders>
              <w:right w:val="nil"/>
            </w:tcBorders>
          </w:tcPr>
          <w:p>
            <w:pPr>
              <w:pStyle w:val="TableParagraph"/>
              <w:spacing w:line="264" w:lineRule="auto"/>
              <w:ind w:right="133"/>
              <w:rPr>
                <w:sz w:val="16"/>
              </w:rPr>
            </w:pPr>
            <w:r>
              <w:rPr>
                <w:sz w:val="16"/>
              </w:rPr>
              <w:t>FORCE Technolo- gy</w:t>
            </w:r>
          </w:p>
        </w:tc>
        <w:tc>
          <w:tcPr>
            <w:tcW w:w="7522" w:type="dxa"/>
            <w:tcBorders>
              <w:left w:val="nil"/>
            </w:tcBorders>
          </w:tcPr>
          <w:p>
            <w:pPr>
              <w:pStyle w:val="TableParagraph"/>
              <w:spacing w:line="264" w:lineRule="auto"/>
              <w:ind w:left="127" w:right="82"/>
              <w:rPr>
                <w:sz w:val="16"/>
              </w:rPr>
            </w:pPr>
            <w:r>
              <w:rPr>
                <w:sz w:val="16"/>
              </w:rPr>
              <w:t>GTS-instituttet FORCE Technology har deltaget i ESA’s udvikling af løfteraketter siden 1996. Ydelserne fra FORCE Technology omfatter sensorteknologi, automatisering, ikke- destruktiv kvalitetskontrol, lasersvejsning og additiv produktion. På instituttets hovedkon- tor i Brøndby findes særlige laboratorie- og produktionsfaciliteter, herunder bl.a. lasere af forskellige typer og størrelser, en automatisk og fleksibel svejsecelle, der kan håndtere op til 5 tons og en installation dedikeret til automatiseret inspektion af raketdyser i fuld stør- relse. Instituttets omsætning dækkes udelukkende af udenlandske kunder, heraf tegner ESA sig for langt den overvejende del (ca. 90 %).</w:t>
            </w:r>
          </w:p>
        </w:tc>
      </w:tr>
      <w:tr>
        <w:trPr>
          <w:trHeight w:val="1791" w:hRule="atLeast"/>
        </w:trPr>
        <w:tc>
          <w:tcPr>
            <w:tcW w:w="1659" w:type="dxa"/>
            <w:tcBorders>
              <w:right w:val="nil"/>
            </w:tcBorders>
            <w:shd w:val="clear" w:color="auto" w:fill="E9F4FB"/>
          </w:tcPr>
          <w:p>
            <w:pPr>
              <w:pStyle w:val="TableParagraph"/>
              <w:spacing w:before="42"/>
              <w:rPr>
                <w:sz w:val="16"/>
              </w:rPr>
            </w:pPr>
            <w:r>
              <w:rPr>
                <w:sz w:val="16"/>
              </w:rPr>
              <w:t>GomSpace</w:t>
            </w:r>
          </w:p>
        </w:tc>
        <w:tc>
          <w:tcPr>
            <w:tcW w:w="7522" w:type="dxa"/>
            <w:tcBorders>
              <w:left w:val="nil"/>
            </w:tcBorders>
            <w:shd w:val="clear" w:color="auto" w:fill="E9F4FB"/>
          </w:tcPr>
          <w:p>
            <w:pPr>
              <w:pStyle w:val="TableParagraph"/>
              <w:spacing w:line="264" w:lineRule="auto" w:before="42"/>
              <w:ind w:left="127"/>
              <w:rPr>
                <w:sz w:val="16"/>
              </w:rPr>
            </w:pPr>
            <w:r>
              <w:rPr>
                <w:sz w:val="16"/>
              </w:rPr>
              <w:t>GomSpace er blandt verdens førende inden for nanosatellitter. Teknologien går under navnet 'CubeSats'. Virksomheden beskæftiger aktuelt ca. 40 fuldtidsmedarbejdere, men forventer at beskæftige ca. 55 medarbejdere ved udgangen af 2016. GomSpace blev etableret i 2007 af tre studerende fra Aalborg Universitet. De stærke relationer til univer- siteter opretholdes blandt andet via virksomhedens placering i NOVIs forskerpark, hvor nærhed til forskermiljøet og forskningsfaciliteter på universitetet og universitetshospitalet er i højsædet. GomSpace bliver børsnoteret på NASDAQ First North, Premier i Stockholm. Første handelsdag er d. 16. juni 2016.</w:t>
            </w:r>
          </w:p>
        </w:tc>
      </w:tr>
      <w:tr>
        <w:trPr>
          <w:trHeight w:val="2649" w:hRule="atLeast"/>
        </w:trPr>
        <w:tc>
          <w:tcPr>
            <w:tcW w:w="1659" w:type="dxa"/>
            <w:tcBorders>
              <w:right w:val="nil"/>
            </w:tcBorders>
          </w:tcPr>
          <w:p>
            <w:pPr>
              <w:pStyle w:val="TableParagraph"/>
              <w:rPr>
                <w:sz w:val="16"/>
              </w:rPr>
            </w:pPr>
            <w:r>
              <w:rPr>
                <w:sz w:val="16"/>
              </w:rPr>
              <w:t>NAVIAIR</w:t>
            </w:r>
          </w:p>
        </w:tc>
        <w:tc>
          <w:tcPr>
            <w:tcW w:w="7522" w:type="dxa"/>
            <w:tcBorders>
              <w:left w:val="nil"/>
            </w:tcBorders>
          </w:tcPr>
          <w:p>
            <w:pPr>
              <w:pStyle w:val="TableParagraph"/>
              <w:spacing w:line="264" w:lineRule="auto"/>
              <w:ind w:left="127" w:right="97"/>
              <w:rPr>
                <w:sz w:val="16"/>
              </w:rPr>
            </w:pPr>
            <w:r>
              <w:rPr>
                <w:sz w:val="16"/>
              </w:rPr>
              <w:t>Danmarks flyvekontroltjeneste hvis engagement i Aireon gør virksomheden til en væsent- lig spiller på markedet for satellitbaseret flyovervågning. Aireon er et samarbejde mellem en række selskaber, som i løbet af de kommende år vil etablere verdens første satellitba- serede fuldt globalt dækkende overvågningssystem til luftfarten. Når det nye system</w:t>
            </w:r>
            <w:r>
              <w:rPr>
                <w:spacing w:val="-30"/>
                <w:sz w:val="16"/>
              </w:rPr>
              <w:t> </w:t>
            </w:r>
            <w:r>
              <w:rPr>
                <w:sz w:val="16"/>
              </w:rPr>
              <w:t>efter forventningen er i drift i 2018, vil det være muligt overalt på kloden at hente data om alle fly, som er udstyret med ADS-B-udstyr. Langt de fleste kommercielle fly har allerede i dag dette udstyr, men aktuelt er det mindre end 30 procent af klodens areal, som er dækket af det eksisterende overvågningsudstyr. De resterende – ofte øde – områder er i dag uden overvågning, så lufttrafikstyringen baseres i dag på piloternes egne indrappor- teringer over radioen om position, højde, kurs og fart. Blandt andet på grund af lange rapporteringsintervaller er usikkerheden så stor, at flyvekontrollen lægger meget store sikkerhedsafstande ind mellem</w:t>
            </w:r>
            <w:r>
              <w:rPr>
                <w:spacing w:val="-1"/>
                <w:sz w:val="16"/>
              </w:rPr>
              <w:t> </w:t>
            </w:r>
            <w:r>
              <w:rPr>
                <w:sz w:val="16"/>
              </w:rPr>
              <w:t>flyene.</w:t>
            </w:r>
          </w:p>
        </w:tc>
      </w:tr>
    </w:tbl>
    <w:p>
      <w:pPr>
        <w:spacing w:after="0" w:line="264" w:lineRule="auto"/>
        <w:rPr>
          <w:sz w:val="16"/>
        </w:rPr>
        <w:sectPr>
          <w:pgSz w:w="11910" w:h="16840"/>
          <w:pgMar w:header="0" w:footer="539" w:top="1580" w:bottom="800" w:left="960" w:right="0"/>
        </w:sectPr>
      </w:pPr>
    </w:p>
    <w:p>
      <w:pPr>
        <w:pStyle w:val="BodyText"/>
        <w:spacing w:before="11"/>
        <w:rPr>
          <w:rFonts w:ascii="Times New Roman"/>
          <w:sz w:val="8"/>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1478"/>
        <w:gridCol w:w="7703"/>
      </w:tblGrid>
      <w:tr>
        <w:trPr>
          <w:trHeight w:val="294" w:hRule="atLeast"/>
        </w:trPr>
        <w:tc>
          <w:tcPr>
            <w:tcW w:w="1478" w:type="dxa"/>
            <w:tcBorders>
              <w:right w:val="nil"/>
            </w:tcBorders>
            <w:shd w:val="clear" w:color="auto" w:fill="A7D2F5"/>
          </w:tcPr>
          <w:p>
            <w:pPr>
              <w:pStyle w:val="TableParagraph"/>
              <w:rPr>
                <w:b/>
                <w:sz w:val="16"/>
              </w:rPr>
            </w:pPr>
            <w:r>
              <w:rPr>
                <w:b/>
                <w:color w:val="FFFFFF"/>
                <w:sz w:val="16"/>
              </w:rPr>
              <w:t>Virksomhed</w:t>
            </w:r>
          </w:p>
        </w:tc>
        <w:tc>
          <w:tcPr>
            <w:tcW w:w="7703" w:type="dxa"/>
            <w:tcBorders>
              <w:left w:val="nil"/>
            </w:tcBorders>
            <w:shd w:val="clear" w:color="auto" w:fill="A7D2F5"/>
          </w:tcPr>
          <w:p>
            <w:pPr>
              <w:pStyle w:val="TableParagraph"/>
              <w:ind w:left="308"/>
              <w:rPr>
                <w:b/>
                <w:sz w:val="16"/>
              </w:rPr>
            </w:pPr>
            <w:r>
              <w:rPr>
                <w:b/>
                <w:color w:val="FFFFFF"/>
                <w:sz w:val="16"/>
              </w:rPr>
              <w:t>Beskrivelse</w:t>
            </w:r>
          </w:p>
        </w:tc>
      </w:tr>
      <w:tr>
        <w:trPr>
          <w:trHeight w:val="1576" w:hRule="atLeast"/>
        </w:trPr>
        <w:tc>
          <w:tcPr>
            <w:tcW w:w="1478" w:type="dxa"/>
            <w:tcBorders>
              <w:right w:val="nil"/>
            </w:tcBorders>
            <w:shd w:val="clear" w:color="auto" w:fill="E9F4FB"/>
          </w:tcPr>
          <w:p>
            <w:pPr>
              <w:pStyle w:val="TableParagraph"/>
              <w:rPr>
                <w:sz w:val="16"/>
              </w:rPr>
            </w:pPr>
            <w:r>
              <w:rPr>
                <w:sz w:val="16"/>
              </w:rPr>
              <w:t>Terma</w:t>
            </w:r>
          </w:p>
        </w:tc>
        <w:tc>
          <w:tcPr>
            <w:tcW w:w="7703" w:type="dxa"/>
            <w:tcBorders>
              <w:left w:val="nil"/>
            </w:tcBorders>
            <w:shd w:val="clear" w:color="auto" w:fill="E9F4FB"/>
          </w:tcPr>
          <w:p>
            <w:pPr>
              <w:pStyle w:val="TableParagraph"/>
              <w:spacing w:line="264" w:lineRule="auto"/>
              <w:ind w:left="308" w:right="11"/>
              <w:rPr>
                <w:sz w:val="16"/>
              </w:rPr>
            </w:pPr>
            <w:r>
              <w:rPr>
                <w:sz w:val="16"/>
              </w:rPr>
              <w:t>Termas første rumudstyr blev opsendt i 1972, og virksomheden er derfor blandt de mest erfarne europæiske leverandører af udstyr til rummissioner. Termas spidskompetence ligger i højtudviklet nicheteknologier og robuste operationelle systemer til rumindustrien. Terma dækker alle faser af en upstream rummission, og virksomhedens software og produkter bruges af astronauter og satellitter verden over. Terma tilbyder løsninger inden for videnskabelige missioner, jordobservation, navigation og kommunikation. Terma er blandt Danmarks mest succesrige ESA-leverandører.</w:t>
            </w:r>
          </w:p>
        </w:tc>
      </w:tr>
    </w:tbl>
    <w:p>
      <w:pPr>
        <w:spacing w:after="0" w:line="264" w:lineRule="auto"/>
        <w:rPr>
          <w:sz w:val="16"/>
        </w:rPr>
        <w:sectPr>
          <w:pgSz w:w="11910" w:h="16840"/>
          <w:pgMar w:header="0" w:footer="539" w:top="1580" w:bottom="720" w:left="960" w:right="0"/>
        </w:sectPr>
      </w:pPr>
    </w:p>
    <w:p>
      <w:pPr>
        <w:spacing w:before="105"/>
        <w:ind w:left="742" w:right="0" w:firstLine="0"/>
        <w:jc w:val="left"/>
        <w:rPr>
          <w:b/>
          <w:sz w:val="22"/>
        </w:rPr>
      </w:pPr>
      <w:bookmarkStart w:name="_bookmark65" w:id="66"/>
      <w:bookmarkEnd w:id="66"/>
      <w:r>
        <w:rPr/>
      </w:r>
      <w:r>
        <w:rPr>
          <w:b/>
          <w:color w:val="009DDF"/>
          <w:sz w:val="22"/>
        </w:rPr>
        <w:t>BILAG 3: VÆRDIKÆDEKONVERTERING</w:t>
      </w:r>
    </w:p>
    <w:p>
      <w:pPr>
        <w:pStyle w:val="BodyText"/>
        <w:spacing w:line="264" w:lineRule="auto" w:before="32"/>
        <w:ind w:left="742" w:right="1288"/>
        <w:jc w:val="both"/>
      </w:pPr>
      <w:r>
        <w:rPr/>
        <w:t>Rumomsætningsgrader i alle værdikædeelementer er blevet ganget med total omsætning og der- ved konverteret til rumomsætning af Danmarks Statistik, som også har aggregeret data til samlet niveau.</w:t>
      </w:r>
    </w:p>
    <w:p>
      <w:pPr>
        <w:pStyle w:val="BodyText"/>
        <w:spacing w:line="264" w:lineRule="auto"/>
        <w:ind w:left="742" w:right="1461"/>
      </w:pPr>
      <w:r>
        <w:rPr/>
        <w:t>Fordi Danmarks Statistik kræver mindst 10 virksomheder til aggregering har vi været nødt til at konvertere værdikæden til en på højere niveau. Tabellen nedenfor beskriver konverteringen.</w:t>
      </w:r>
    </w:p>
    <w:p>
      <w:pPr>
        <w:pStyle w:val="BodyText"/>
        <w:spacing w:before="6"/>
        <w:rPr>
          <w:sz w:val="31"/>
        </w:rPr>
      </w:pPr>
    </w:p>
    <w:p>
      <w:pPr>
        <w:spacing w:before="0"/>
        <w:ind w:left="742" w:right="0" w:firstLine="0"/>
        <w:jc w:val="left"/>
        <w:rPr>
          <w:b/>
          <w:sz w:val="15"/>
        </w:rPr>
      </w:pPr>
      <w:r>
        <w:rPr/>
        <w:pict>
          <v:group style="position:absolute;margin-left:140.467834pt;margin-top:14.233389pt;width:118.75pt;height:.6pt;mso-position-horizontal-relative:page;mso-position-vertical-relative:paragraph;z-index:5864;mso-wrap-distance-left:0;mso-wrap-distance-right:0" coordorigin="2809,285" coordsize="2375,12">
            <v:line style="position:absolute" from="2815,290" to="5179,290" stroked="true" strokeweight=".563972pt" strokecolor="#000000">
              <v:stroke dashstyle="solid"/>
            </v:line>
            <v:line style="position:absolute" from="2809,290" to="5184,290" stroked="true" strokeweight=".563972pt" strokecolor="#000000">
              <v:stroke dashstyle="solid"/>
            </v:line>
            <w10:wrap type="topAndBottom"/>
          </v:group>
        </w:pict>
      </w:r>
      <w:r>
        <w:rPr/>
        <w:pict>
          <v:group style="position:absolute;margin-left:310.659302pt;margin-top:14.233389pt;width:148.75pt;height:.6pt;mso-position-horizontal-relative:page;mso-position-vertical-relative:paragraph;z-index:5888;mso-wrap-distance-left:0;mso-wrap-distance-right:0" coordorigin="6213,285" coordsize="2975,12">
            <v:line style="position:absolute" from="6219,290" to="9182,290" stroked="true" strokeweight=".563972pt" strokecolor="#000000">
              <v:stroke dashstyle="solid"/>
            </v:line>
            <v:line style="position:absolute" from="6213,290" to="9187,290" stroked="true" strokeweight=".563972pt" strokecolor="#000000">
              <v:stroke dashstyle="solid"/>
            </v:line>
            <w10:wrap type="topAndBottom"/>
          </v:group>
        </w:pict>
      </w:r>
      <w:r>
        <w:rPr/>
        <w:pict>
          <v:shape style="position:absolute;margin-left:85.614716pt;margin-top:14.798941pt;width:55.45pt;height:33.65pt;mso-position-horizontal-relative:page;mso-position-vertical-relative:paragraph;z-index:8128" type="#_x0000_t202" filled="true" fillcolor="#053579" stroked="false">
            <v:textbox inset="0,0,0,0">
              <w:txbxContent>
                <w:p>
                  <w:pPr>
                    <w:pStyle w:val="BodyText"/>
                    <w:spacing w:before="3"/>
                    <w:rPr>
                      <w:rFonts w:ascii="Calibri"/>
                    </w:rPr>
                  </w:pPr>
                </w:p>
                <w:p>
                  <w:pPr>
                    <w:spacing w:before="0"/>
                    <w:ind w:left="214" w:right="0" w:firstLine="0"/>
                    <w:jc w:val="left"/>
                    <w:rPr>
                      <w:rFonts w:ascii="Calibri"/>
                      <w:sz w:val="17"/>
                    </w:rPr>
                  </w:pPr>
                  <w:r>
                    <w:rPr>
                      <w:rFonts w:ascii="Calibri"/>
                      <w:color w:val="FFFFFF"/>
                      <w:sz w:val="17"/>
                    </w:rPr>
                    <w:t>Upstream</w:t>
                  </w:r>
                </w:p>
              </w:txbxContent>
            </v:textbox>
            <v:fill type="solid"/>
            <w10:wrap type="none"/>
          </v:shape>
        </w:pict>
      </w:r>
      <w:r>
        <w:rPr/>
        <w:pict>
          <v:shape style="position:absolute;margin-left:458.804108pt;margin-top:14.517254pt;width:71.25pt;height:56.55pt;mso-position-horizontal-relative:page;mso-position-vertical-relative:paragraph;z-index:8224" type="#_x0000_t202" filled="true" fillcolor="#757070" stroked="false">
            <v:textbox inset="0,0,0,0">
              <w:txbxContent>
                <w:p>
                  <w:pPr>
                    <w:pStyle w:val="BodyText"/>
                    <w:rPr>
                      <w:rFonts w:ascii="Calibri"/>
                      <w:sz w:val="16"/>
                    </w:rPr>
                  </w:pPr>
                </w:p>
                <w:p>
                  <w:pPr>
                    <w:pStyle w:val="BodyText"/>
                    <w:spacing w:before="2"/>
                    <w:rPr>
                      <w:rFonts w:ascii="Calibri"/>
                      <w:sz w:val="21"/>
                    </w:rPr>
                  </w:pPr>
                </w:p>
                <w:p>
                  <w:pPr>
                    <w:spacing w:before="0"/>
                    <w:ind w:left="169" w:right="0" w:firstLine="0"/>
                    <w:jc w:val="left"/>
                    <w:rPr>
                      <w:rFonts w:ascii="Calibri"/>
                      <w:sz w:val="17"/>
                    </w:rPr>
                  </w:pPr>
                  <w:r>
                    <w:rPr>
                      <w:rFonts w:ascii="Calibri"/>
                      <w:color w:val="FFFFFF"/>
                      <w:sz w:val="17"/>
                    </w:rPr>
                    <w:t>Rumproduktion</w:t>
                  </w:r>
                </w:p>
              </w:txbxContent>
            </v:textbox>
            <v:fill type="solid"/>
            <w10:wrap type="none"/>
          </v:shape>
        </w:pict>
      </w:r>
      <w:r>
        <w:rPr>
          <w:b/>
          <w:color w:val="009DDF"/>
          <w:sz w:val="15"/>
        </w:rPr>
        <w:t>Figur 30. Værdikædekonvertering</w:t>
      </w:r>
    </w:p>
    <w:p>
      <w:pPr>
        <w:tabs>
          <w:tab w:pos="5286" w:val="left" w:leader="none"/>
        </w:tabs>
        <w:spacing w:before="0"/>
        <w:ind w:left="2686" w:right="0" w:firstLine="0"/>
        <w:jc w:val="left"/>
        <w:rPr>
          <w:rFonts w:ascii="Calibri"/>
          <w:sz w:val="17"/>
        </w:rPr>
      </w:pPr>
      <w:r>
        <w:rPr>
          <w:rFonts w:ascii="Calibri"/>
          <w:spacing w:val="2"/>
          <w:sz w:val="17"/>
        </w:rPr>
        <w:t>Satellitter</w:t>
        <w:tab/>
        <w:t>Satellitter</w:t>
      </w:r>
    </w:p>
    <w:p>
      <w:pPr>
        <w:pStyle w:val="BodyText"/>
        <w:spacing w:line="20" w:lineRule="exact"/>
        <w:ind w:left="1843"/>
        <w:rPr>
          <w:rFonts w:ascii="Calibri"/>
          <w:sz w:val="2"/>
        </w:rPr>
      </w:pPr>
      <w:r>
        <w:rPr>
          <w:rFonts w:ascii="Calibri"/>
          <w:sz w:val="2"/>
        </w:rPr>
        <w:pict>
          <v:group style="width:118.75pt;height:.6pt;mso-position-horizontal-relative:char;mso-position-vertical-relative:line" coordorigin="0,0" coordsize="2375,12">
            <v:line style="position:absolute" from="6,6" to="2369,6" stroked="true" strokeweight=".563972pt" strokecolor="#000000">
              <v:stroke dashstyle="solid"/>
            </v:line>
            <v:line style="position:absolute" from="0,6" to="2375,6" stroked="true" strokeweight=".582772pt" strokecolor="#000000">
              <v:stroke dashstyle="solid"/>
            </v:line>
          </v:group>
        </w:pict>
      </w:r>
      <w:r>
        <w:rPr>
          <w:rFonts w:ascii="Calibri"/>
          <w:sz w:val="2"/>
        </w:rPr>
      </w:r>
    </w:p>
    <w:p>
      <w:pPr>
        <w:tabs>
          <w:tab w:pos="5286" w:val="left" w:leader="none"/>
        </w:tabs>
        <w:spacing w:line="170" w:lineRule="auto" w:before="14" w:after="13"/>
        <w:ind w:left="2527" w:right="4697" w:hanging="396"/>
        <w:jc w:val="left"/>
        <w:rPr>
          <w:rFonts w:ascii="Calibri" w:hAnsi="Calibri"/>
          <w:sz w:val="17"/>
        </w:rPr>
      </w:pPr>
      <w:r>
        <w:rPr/>
        <w:pict>
          <v:group style="position:absolute;margin-left:140.467834pt;margin-top:-1.016163pt;width:389.6pt;height:226.7pt;mso-position-horizontal-relative:page;mso-position-vertical-relative:paragraph;z-index:-175648" coordorigin="2809,-20" coordsize="7792,4534">
            <v:line style="position:absolute" from="2815,1116" to="5179,1116" stroked="true" strokeweight=".563972pt" strokecolor="#000000">
              <v:stroke dashstyle="solid"/>
            </v:line>
            <v:line style="position:absolute" from="2809,1116" to="5184,1116" stroked="true" strokeweight=".563972pt" strokecolor="#000000">
              <v:stroke dashstyle="solid"/>
            </v:line>
            <v:line style="position:absolute" from="2815,1795" to="5179,1795" stroked="true" strokeweight=".563972pt" strokecolor="#000000">
              <v:stroke dashstyle="solid"/>
            </v:line>
            <v:line style="position:absolute" from="2809,1794" to="5184,1794" stroked="true" strokeweight=".563972pt" strokecolor="#000000">
              <v:stroke dashstyle="solid"/>
            </v:line>
            <v:line style="position:absolute" from="2815,2020" to="5179,2020" stroked="true" strokeweight=".563972pt" strokecolor="#000000">
              <v:stroke dashstyle="solid"/>
            </v:line>
            <v:line style="position:absolute" from="2809,2021" to="5184,2021" stroked="true" strokeweight=".563972pt" strokecolor="#000000">
              <v:stroke dashstyle="solid"/>
            </v:line>
            <v:line style="position:absolute" from="2815,2473" to="5179,2473" stroked="true" strokeweight=".563972pt" strokecolor="#000000">
              <v:stroke dashstyle="solid"/>
            </v:line>
            <v:line style="position:absolute" from="2809,2473" to="5184,2473" stroked="true" strokeweight=".563972pt" strokecolor="#000000">
              <v:stroke dashstyle="solid"/>
            </v:line>
            <v:line style="position:absolute" from="6219,-15" to="9182,-15" stroked="true" strokeweight=".563972pt" strokecolor="#000000">
              <v:stroke dashstyle="solid"/>
            </v:line>
            <v:line style="position:absolute" from="6213,-14" to="9187,-14" stroked="true" strokeweight=".582772pt" strokecolor="#000000">
              <v:stroke dashstyle="solid"/>
            </v:line>
            <v:line style="position:absolute" from="6219,438" to="9182,438" stroked="true" strokeweight=".563972pt" strokecolor="#000000">
              <v:stroke dashstyle="solid"/>
            </v:line>
            <v:line style="position:absolute" from="6213,438" to="9187,438" stroked="true" strokeweight=".563972pt" strokecolor="#000000">
              <v:stroke dashstyle="solid"/>
            </v:line>
            <v:line style="position:absolute" from="6219,664" to="9182,664" stroked="true" strokeweight=".563972pt" strokecolor="#000000">
              <v:stroke dashstyle="solid"/>
            </v:line>
            <v:line style="position:absolute" from="6213,664" to="9187,664" stroked="true" strokeweight=".563972pt" strokecolor="#000000">
              <v:stroke dashstyle="solid"/>
            </v:line>
            <v:line style="position:absolute" from="6219,890" to="9182,890" stroked="true" strokeweight=".563972pt" strokecolor="#000000">
              <v:stroke dashstyle="solid"/>
            </v:line>
            <v:line style="position:absolute" from="6213,890" to="9187,890" stroked="true" strokeweight=".563972pt" strokecolor="#000000">
              <v:stroke dashstyle="solid"/>
            </v:line>
            <v:line style="position:absolute" from="6219,1116" to="9182,1116" stroked="true" strokeweight=".563972pt" strokecolor="#000000">
              <v:stroke dashstyle="solid"/>
            </v:line>
            <v:line style="position:absolute" from="6213,1116" to="9187,1116" stroked="true" strokeweight=".563972pt" strokecolor="#000000">
              <v:stroke dashstyle="solid"/>
            </v:line>
            <v:shape style="position:absolute;left:5966;top:27;width:185;height:1087" coordorigin="5966,27" coordsize="185,1087" path="m6151,1113l6115,1112,6086,1109,6066,1104,6059,1098,6059,252,6051,246,6032,241,6002,238,5966,236,6002,235,6032,232,6051,227,6059,221,6059,43,6066,37,6086,32,6115,28,6151,27e" filled="false" stroked="true" strokeweight="1.288502pt" strokecolor="#053579">
              <v:path arrowok="t"/>
              <v:stroke dashstyle="solid"/>
            </v:shape>
            <v:line style="position:absolute" from="5184,237" to="5966,237" stroked="true" strokeweight="1.688853pt" strokecolor="#053579">
              <v:stroke dashstyle="solid"/>
            </v:line>
            <v:line style="position:absolute" from="6219,1568" to="9182,1568" stroked="true" strokeweight=".563972pt" strokecolor="#000000">
              <v:stroke dashstyle="solid"/>
            </v:line>
            <v:line style="position:absolute" from="6213,1569" to="9187,1569" stroked="true" strokeweight=".563972pt" strokecolor="#000000">
              <v:stroke dashstyle="solid"/>
            </v:line>
            <v:line style="position:absolute" from="6219,1795" to="9182,1795" stroked="true" strokeweight=".563972pt" strokecolor="#000000">
              <v:stroke dashstyle="solid"/>
            </v:line>
            <v:line style="position:absolute" from="6213,1794" to="9187,1794" stroked="true" strokeweight=".563972pt" strokecolor="#000000">
              <v:stroke dashstyle="solid"/>
            </v:line>
            <v:line style="position:absolute" from="6219,2020" to="9182,2020" stroked="true" strokeweight=".563972pt" strokecolor="#000000">
              <v:stroke dashstyle="solid"/>
            </v:line>
            <v:line style="position:absolute" from="6213,2021" to="9187,2021" stroked="true" strokeweight=".563972pt" strokecolor="#000000">
              <v:stroke dashstyle="solid"/>
            </v:line>
            <v:line style="position:absolute" from="6219,2473" to="9182,2473" stroked="true" strokeweight=".563972pt" strokecolor="#000000">
              <v:stroke dashstyle="solid"/>
            </v:line>
            <v:line style="position:absolute" from="6213,2473" to="9187,2473" stroked="true" strokeweight=".563972pt" strokecolor="#000000">
              <v:stroke dashstyle="solid"/>
            </v:line>
            <v:shape style="position:absolute;left:5966;top:1117;width:185;height:1341" coordorigin="5966,1118" coordsize="185,1341" path="m6151,2458l6115,2457,6086,2453,6066,2448,6059,2442,6059,1340,6051,1334,6032,1330,6002,1326,5966,1325,6002,1324,6032,1321,6051,1316,6059,1310,6059,1133,6066,1127,6086,1122,6115,1119,6151,1118e" filled="false" stroked="true" strokeweight="1.288551pt" strokecolor="#b4c5e7">
              <v:path arrowok="t"/>
              <v:stroke dashstyle="solid"/>
            </v:shape>
            <v:line style="position:absolute" from="5184,1688" to="6152,2581" stroked="true" strokeweight="1.691951pt" strokecolor="#b4c5e7">
              <v:stroke dashstyle="solid"/>
            </v:line>
            <v:line style="position:absolute" from="2815,2699" to="5179,2699" stroked="true" strokeweight=".563972pt" strokecolor="#000000">
              <v:stroke dashstyle="solid"/>
            </v:line>
            <v:line style="position:absolute" from="2809,2699" to="5184,2699" stroked="true" strokeweight=".563972pt" strokecolor="#000000">
              <v:stroke dashstyle="solid"/>
            </v:line>
            <v:line style="position:absolute" from="6219,2699" to="9182,2699" stroked="true" strokeweight=".563972pt" strokecolor="#000000">
              <v:stroke dashstyle="solid"/>
            </v:line>
            <v:line style="position:absolute" from="6213,2699" to="9187,2699" stroked="true" strokeweight=".563972pt" strokecolor="#000000">
              <v:stroke dashstyle="solid"/>
            </v:line>
            <v:line style="position:absolute" from="5184,1897" to="6152,2791" stroked="true" strokeweight="1.691951pt" strokecolor="#b4c5e7">
              <v:stroke dashstyle="solid"/>
            </v:line>
            <v:line style="position:absolute" from="6219,2925" to="9182,2925" stroked="true" strokeweight=".563972pt" strokecolor="#000000">
              <v:stroke dashstyle="solid"/>
            </v:line>
            <v:line style="position:absolute" from="6213,2925" to="9187,2925" stroked="true" strokeweight=".563972pt" strokecolor="#000000">
              <v:stroke dashstyle="solid"/>
            </v:line>
            <v:shape style="position:absolute;left:6162;top:8606;width:1725;height:2374" coordorigin="6162,8606" coordsize="1725,2374" path="m5191,2198l6159,3092m5184,2560l5994,3534e" filled="false" stroked="true" strokeweight="1.69222pt" strokecolor="#b4c5e7">
              <v:path arrowok="t"/>
              <v:stroke dashstyle="solid"/>
            </v:shape>
            <v:line style="position:absolute" from="6219,3377" to="9182,3377" stroked="true" strokeweight=".563972pt" strokecolor="#000000">
              <v:stroke dashstyle="solid"/>
            </v:line>
            <v:line style="position:absolute" from="6213,3377" to="9187,3377" stroked="true" strokeweight=".563972pt" strokecolor="#000000">
              <v:stroke dashstyle="solid"/>
            </v:line>
            <v:line style="position:absolute" from="6219,3603" to="9182,3603" stroked="true" strokeweight=".563972pt" strokecolor="#000000">
              <v:stroke dashstyle="solid"/>
            </v:line>
            <v:line style="position:absolute" from="6213,3604" to="9187,3604" stroked="true" strokeweight=".582764pt" strokecolor="#000000">
              <v:stroke dashstyle="solid"/>
            </v:line>
            <v:line style="position:absolute" from="6219,3830" to="9182,3830" stroked="true" strokeweight=".563972pt" strokecolor="#000000">
              <v:stroke dashstyle="solid"/>
            </v:line>
            <v:line style="position:absolute" from="6213,3830" to="9187,3830" stroked="true" strokeweight=".563972pt" strokecolor="#000000">
              <v:stroke dashstyle="solid"/>
            </v:line>
            <v:line style="position:absolute" from="6219,4056" to="9182,4056" stroked="true" strokeweight=".563972pt" strokecolor="#000000">
              <v:stroke dashstyle="solid"/>
            </v:line>
            <v:line style="position:absolute" from="6213,4056" to="9187,4056" stroked="true" strokeweight=".563972pt" strokecolor="#000000">
              <v:stroke dashstyle="solid"/>
            </v:line>
            <v:line style="position:absolute" from="6219,4282" to="9182,4282" stroked="true" strokeweight=".563972pt" strokecolor="#000000">
              <v:stroke dashstyle="solid"/>
            </v:line>
            <v:line style="position:absolute" from="6213,4282" to="9187,4282" stroked="true" strokeweight=".563972pt" strokecolor="#000000">
              <v:stroke dashstyle="solid"/>
            </v:line>
            <v:line style="position:absolute" from="6219,4508" to="10595,4508" stroked="true" strokeweight=".563972pt" strokecolor="#000000">
              <v:stroke dashstyle="solid"/>
            </v:line>
            <v:line style="position:absolute" from="6213,4508" to="10601,4508" stroked="true" strokeweight=".563972pt" strokecolor="#000000">
              <v:stroke dashstyle="solid"/>
            </v:line>
            <v:shape style="position:absolute;left:5993;top:3361;width:165;height:1114" coordorigin="5994,3362" coordsize="165,1114" path="m6158,4475l6126,4474,6100,4471,6082,4467,6076,4461,6076,3548,6069,3542,6052,3538,6025,3535,5994,3534,6025,3533,6052,3530,6069,3526,6076,3520,6076,3375,6082,3370,6100,3366,6126,3363,6158,3362e" filled="false" stroked="true" strokeweight="1.288537pt" strokecolor="#b4c5e7">
              <v:path arrowok="t"/>
              <v:stroke dashstyle="solid"/>
            </v:shape>
            <v:rect style="position:absolute;left:2881;top:1130;width:2228;height:230" filled="true" fillcolor="#ffffff" stroked="false">
              <v:fill type="solid"/>
            </v:rect>
            <w10:wrap type="none"/>
          </v:group>
        </w:pict>
      </w:r>
      <w:r>
        <w:rPr/>
        <w:pict>
          <v:line style="position:absolute;mso-position-horizontal-relative:page;mso-position-vertical-relative:paragraph;z-index:-175624" from="259.186737pt,-6.004004pt" to="310.461273pt,-6.004004pt" stroked="true" strokeweight="1.688853pt" strokecolor="#053579">
            <v:stroke dashstyle="solid"/>
            <w10:wrap type="none"/>
          </v:line>
        </w:pict>
      </w:r>
      <w:r>
        <w:rPr>
          <w:rFonts w:ascii="Calibri" w:hAnsi="Calibri"/>
          <w:sz w:val="17"/>
        </w:rPr>
        <w:t>Andet end</w:t>
      </w:r>
      <w:r>
        <w:rPr>
          <w:rFonts w:ascii="Calibri" w:hAnsi="Calibri"/>
          <w:spacing w:val="1"/>
          <w:sz w:val="17"/>
        </w:rPr>
        <w:t> </w:t>
      </w:r>
      <w:r>
        <w:rPr>
          <w:rFonts w:ascii="Calibri" w:hAnsi="Calibri"/>
          <w:sz w:val="17"/>
        </w:rPr>
        <w:t>Satellitter,</w:t>
      </w:r>
      <w:r>
        <w:rPr>
          <w:rFonts w:ascii="Calibri" w:hAnsi="Calibri"/>
          <w:spacing w:val="3"/>
          <w:sz w:val="17"/>
        </w:rPr>
        <w:t> </w:t>
      </w:r>
      <w:r>
        <w:rPr>
          <w:rFonts w:ascii="Calibri" w:hAnsi="Calibri"/>
          <w:sz w:val="17"/>
        </w:rPr>
        <w:t>inkl</w:t>
        <w:tab/>
      </w:r>
      <w:r>
        <w:rPr>
          <w:rFonts w:ascii="Calibri" w:hAnsi="Calibri"/>
          <w:spacing w:val="-2"/>
          <w:position w:val="-10"/>
          <w:sz w:val="17"/>
        </w:rPr>
        <w:t>Rumtransport </w:t>
      </w:r>
      <w:r>
        <w:rPr>
          <w:rFonts w:ascii="Calibri" w:hAnsi="Calibri"/>
          <w:sz w:val="17"/>
        </w:rPr>
        <w:t>affyringsstøtte</w:t>
      </w:r>
    </w:p>
    <w:p>
      <w:pPr>
        <w:pStyle w:val="BodyText"/>
        <w:spacing w:line="20" w:lineRule="exact"/>
        <w:ind w:left="1843"/>
        <w:rPr>
          <w:rFonts w:ascii="Calibri"/>
          <w:sz w:val="2"/>
        </w:rPr>
      </w:pPr>
      <w:r>
        <w:rPr>
          <w:rFonts w:ascii="Calibri"/>
          <w:sz w:val="2"/>
        </w:rPr>
        <w:pict>
          <v:group style="width:118.75pt;height:.6pt;mso-position-horizontal-relative:char;mso-position-vertical-relative:line" coordorigin="0,0" coordsize="2375,12">
            <v:line style="position:absolute" from="6,6" to="2369,6" stroked="true" strokeweight=".563972pt" strokecolor="#000000">
              <v:stroke dashstyle="solid"/>
            </v:line>
            <v:line style="position:absolute" from="0,6" to="2375,6" stroked="true" strokeweight=".563972pt" strokecolor="#000000">
              <v:stroke dashstyle="solid"/>
            </v:line>
          </v:group>
        </w:pict>
      </w:r>
      <w:r>
        <w:rPr>
          <w:rFonts w:ascii="Calibri"/>
          <w:sz w:val="2"/>
        </w:rPr>
      </w:r>
    </w:p>
    <w:p>
      <w:pPr>
        <w:spacing w:line="261" w:lineRule="auto" w:before="0"/>
        <w:ind w:left="5287" w:right="3942" w:firstLine="0"/>
        <w:jc w:val="left"/>
        <w:rPr>
          <w:rFonts w:ascii="Calibri" w:hAnsi="Calibri"/>
          <w:sz w:val="17"/>
        </w:rPr>
      </w:pPr>
      <w:r>
        <w:rPr/>
        <w:pict>
          <v:shape style="position:absolute;margin-left:458.804108pt;margin-top:21.950083pt;width:71.25pt;height:45.25pt;mso-position-horizontal-relative:page;mso-position-vertical-relative:paragraph;z-index:8200" type="#_x0000_t202" filled="true" fillcolor="#adaaaa" stroked="false">
            <v:textbox inset="0,0,0,0">
              <w:txbxContent>
                <w:p>
                  <w:pPr>
                    <w:pStyle w:val="BodyText"/>
                    <w:rPr>
                      <w:rFonts w:ascii="Calibri"/>
                      <w:sz w:val="16"/>
                    </w:rPr>
                  </w:pPr>
                </w:p>
                <w:p>
                  <w:pPr>
                    <w:pStyle w:val="BodyText"/>
                    <w:spacing w:before="11"/>
                    <w:rPr>
                      <w:rFonts w:ascii="Calibri"/>
                      <w:sz w:val="11"/>
                    </w:rPr>
                  </w:pPr>
                </w:p>
                <w:p>
                  <w:pPr>
                    <w:spacing w:before="0"/>
                    <w:ind w:left="214" w:right="0" w:firstLine="0"/>
                    <w:jc w:val="left"/>
                    <w:rPr>
                      <w:rFonts w:ascii="Calibri"/>
                      <w:sz w:val="17"/>
                    </w:rPr>
                  </w:pPr>
                  <w:r>
                    <w:rPr>
                      <w:rFonts w:ascii="Calibri"/>
                      <w:sz w:val="17"/>
                    </w:rPr>
                    <w:t>Rumoperation</w:t>
                  </w:r>
                </w:p>
              </w:txbxContent>
            </v:textbox>
            <v:fill type="solid"/>
            <w10:wrap type="none"/>
          </v:shape>
        </w:pict>
      </w:r>
      <w:r>
        <w:rPr>
          <w:rFonts w:ascii="Calibri" w:hAnsi="Calibri"/>
          <w:sz w:val="17"/>
        </w:rPr>
        <w:t>Jordstationer Grundforskning Affyringsstøtte/-facilitet</w:t>
      </w:r>
    </w:p>
    <w:p>
      <w:pPr>
        <w:spacing w:after="0" w:line="261" w:lineRule="auto"/>
        <w:jc w:val="left"/>
        <w:rPr>
          <w:rFonts w:ascii="Calibri" w:hAnsi="Calibri"/>
          <w:sz w:val="17"/>
        </w:rPr>
        <w:sectPr>
          <w:pgSz w:w="11910" w:h="16840"/>
          <w:pgMar w:header="0" w:footer="539" w:top="1580" w:bottom="720" w:left="960" w:right="0"/>
        </w:sectPr>
      </w:pPr>
    </w:p>
    <w:p>
      <w:pPr>
        <w:tabs>
          <w:tab w:pos="4223" w:val="left" w:leader="none"/>
          <w:tab w:pos="5044" w:val="left" w:leader="none"/>
        </w:tabs>
        <w:spacing w:line="227" w:lineRule="exact" w:before="0"/>
        <w:ind w:left="2045" w:right="0" w:firstLine="0"/>
        <w:jc w:val="left"/>
        <w:rPr>
          <w:rFonts w:ascii="Calibri"/>
          <w:sz w:val="19"/>
        </w:rPr>
      </w:pPr>
      <w:r>
        <w:rPr/>
        <w:pict>
          <v:shape style="position:absolute;margin-left:144.420868pt;margin-top:1.741146pt;width:110.45pt;height:8.5pt;mso-position-horizontal-relative:page;mso-position-vertical-relative:paragraph;z-index:-175672" type="#_x0000_t202" filled="false" stroked="false">
            <v:textbox inset="0,0,0,0">
              <w:txbxContent>
                <w:p>
                  <w:pPr>
                    <w:spacing w:line="170" w:lineRule="exact" w:before="0"/>
                    <w:ind w:left="0" w:right="0" w:firstLine="0"/>
                    <w:jc w:val="left"/>
                    <w:rPr>
                      <w:rFonts w:ascii="Calibri"/>
                      <w:sz w:val="17"/>
                    </w:rPr>
                  </w:pPr>
                  <w:r>
                    <w:rPr>
                      <w:rFonts w:ascii="Calibri"/>
                      <w:sz w:val="17"/>
                    </w:rPr>
                    <w:t>Salg af rumabonnementer (inkl.</w:t>
                  </w:r>
                </w:p>
              </w:txbxContent>
            </v:textbox>
            <w10:wrap type="none"/>
          </v:shape>
        </w:pict>
      </w:r>
      <w:r>
        <w:rPr/>
        <w:pict>
          <v:shape style="position:absolute;margin-left:85.614716pt;margin-top:-.662313pt;width:55.45pt;height:79.150pt;mso-position-horizontal-relative:page;mso-position-vertical-relative:paragraph;z-index:8104" type="#_x0000_t202" filled="true" fillcolor="#b4c5e7" stroked="false">
            <v:textbox inset="0,0,0,0">
              <w:txbxContent>
                <w:p>
                  <w:pPr>
                    <w:pStyle w:val="BodyText"/>
                    <w:rPr>
                      <w:rFonts w:ascii="Calibri"/>
                      <w:sz w:val="16"/>
                    </w:rPr>
                  </w:pPr>
                </w:p>
                <w:p>
                  <w:pPr>
                    <w:pStyle w:val="BodyText"/>
                    <w:rPr>
                      <w:rFonts w:ascii="Calibri"/>
                      <w:sz w:val="16"/>
                    </w:rPr>
                  </w:pPr>
                </w:p>
                <w:p>
                  <w:pPr>
                    <w:pStyle w:val="BodyText"/>
                    <w:spacing w:before="8"/>
                    <w:rPr>
                      <w:rFonts w:ascii="Calibri"/>
                      <w:sz w:val="23"/>
                    </w:rPr>
                  </w:pPr>
                </w:p>
                <w:p>
                  <w:pPr>
                    <w:spacing w:before="1"/>
                    <w:ind w:left="101" w:right="0" w:firstLine="0"/>
                    <w:jc w:val="left"/>
                    <w:rPr>
                      <w:rFonts w:ascii="Calibri"/>
                      <w:sz w:val="17"/>
                    </w:rPr>
                  </w:pPr>
                  <w:r>
                    <w:rPr>
                      <w:rFonts w:ascii="Calibri"/>
                      <w:sz w:val="17"/>
                    </w:rPr>
                    <w:t>Downstream</w:t>
                  </w:r>
                </w:p>
              </w:txbxContent>
            </v:textbox>
            <v:fill type="solid"/>
            <w10:wrap type="none"/>
          </v:shape>
        </w:pict>
      </w:r>
      <w:r>
        <w:rPr>
          <w:rFonts w:ascii="Calibri"/>
          <w:sz w:val="19"/>
        </w:rPr>
        <w:t>Salg af rumtjenester</w:t>
      </w:r>
      <w:r>
        <w:rPr>
          <w:rFonts w:ascii="Calibri"/>
          <w:spacing w:val="-17"/>
          <w:sz w:val="19"/>
        </w:rPr>
        <w:t> </w:t>
      </w:r>
      <w:r>
        <w:rPr>
          <w:rFonts w:ascii="Calibri"/>
          <w:sz w:val="19"/>
        </w:rPr>
        <w:t>(inkl.</w:t>
        <w:tab/>
      </w:r>
      <w:r>
        <w:rPr>
          <w:rFonts w:ascii="Calibri"/>
          <w:w w:val="99"/>
          <w:sz w:val="19"/>
          <w:u w:val="thick" w:color="B4C5E7"/>
        </w:rPr>
        <w:t> </w:t>
      </w:r>
      <w:r>
        <w:rPr>
          <w:rFonts w:ascii="Calibri"/>
          <w:sz w:val="19"/>
          <w:u w:val="thick" w:color="B4C5E7"/>
        </w:rPr>
        <w:tab/>
      </w:r>
    </w:p>
    <w:p>
      <w:pPr>
        <w:spacing w:line="206" w:lineRule="exact" w:before="0"/>
        <w:ind w:left="2041" w:right="0" w:firstLine="0"/>
        <w:jc w:val="left"/>
        <w:rPr>
          <w:rFonts w:ascii="Calibri"/>
          <w:sz w:val="17"/>
        </w:rPr>
      </w:pPr>
      <w:r>
        <w:rPr>
          <w:rFonts w:ascii="Calibri"/>
          <w:sz w:val="17"/>
        </w:rPr>
        <w:t>TV og</w:t>
      </w:r>
      <w:r>
        <w:rPr>
          <w:rFonts w:ascii="Calibri"/>
          <w:spacing w:val="-4"/>
          <w:sz w:val="17"/>
        </w:rPr>
        <w:t> </w:t>
      </w:r>
      <w:r>
        <w:rPr>
          <w:rFonts w:ascii="Calibri"/>
          <w:sz w:val="17"/>
        </w:rPr>
        <w:t>jordstationsoperation)</w:t>
      </w:r>
    </w:p>
    <w:p>
      <w:pPr>
        <w:pStyle w:val="BodyText"/>
        <w:spacing w:line="20" w:lineRule="exact"/>
        <w:ind w:left="1843"/>
        <w:rPr>
          <w:rFonts w:ascii="Calibri"/>
          <w:sz w:val="2"/>
        </w:rPr>
      </w:pPr>
      <w:r>
        <w:rPr>
          <w:rFonts w:ascii="Calibri"/>
          <w:sz w:val="2"/>
        </w:rPr>
        <w:pict>
          <v:group style="width:118.75pt;height:.6pt;mso-position-horizontal-relative:char;mso-position-vertical-relative:line" coordorigin="0,0" coordsize="2375,12">
            <v:line style="position:absolute" from="6,6" to="2369,6" stroked="true" strokeweight=".563972pt" strokecolor="#000000">
              <v:stroke dashstyle="solid"/>
            </v:line>
            <v:line style="position:absolute" from="0,6" to="2375,6" stroked="true" strokeweight=".563972pt" strokecolor="#000000">
              <v:stroke dashstyle="solid"/>
            </v:line>
          </v:group>
        </w:pict>
      </w:r>
      <w:r>
        <w:rPr>
          <w:rFonts w:ascii="Calibri"/>
          <w:sz w:val="2"/>
        </w:rPr>
      </w:r>
    </w:p>
    <w:p>
      <w:pPr>
        <w:spacing w:before="113"/>
        <w:ind w:left="202" w:right="0" w:firstLine="0"/>
        <w:jc w:val="left"/>
        <w:rPr>
          <w:rFonts w:ascii="Calibri"/>
          <w:sz w:val="17"/>
        </w:rPr>
      </w:pPr>
      <w:r>
        <w:rPr/>
        <w:br w:type="column"/>
      </w:r>
      <w:r>
        <w:rPr>
          <w:rFonts w:ascii="Calibri"/>
          <w:sz w:val="17"/>
        </w:rPr>
        <w:t>Satellitoperation</w:t>
      </w:r>
    </w:p>
    <w:p>
      <w:pPr>
        <w:spacing w:after="0"/>
        <w:jc w:val="left"/>
        <w:rPr>
          <w:rFonts w:ascii="Calibri"/>
          <w:sz w:val="17"/>
        </w:rPr>
        <w:sectPr>
          <w:type w:val="continuous"/>
          <w:pgSz w:w="11910" w:h="16840"/>
          <w:pgMar w:top="1400" w:bottom="280" w:left="960" w:right="0"/>
          <w:cols w:num="2" w:equalWidth="0">
            <w:col w:w="5045" w:space="40"/>
            <w:col w:w="5865"/>
          </w:cols>
        </w:sectPr>
      </w:pPr>
    </w:p>
    <w:p>
      <w:pPr>
        <w:tabs>
          <w:tab w:pos="5286" w:val="left" w:leader="none"/>
        </w:tabs>
        <w:spacing w:line="261" w:lineRule="auto" w:before="0"/>
        <w:ind w:left="2256" w:right="3827" w:hanging="272"/>
        <w:jc w:val="left"/>
        <w:rPr>
          <w:rFonts w:ascii="Calibri"/>
          <w:sz w:val="17"/>
        </w:rPr>
      </w:pPr>
      <w:r>
        <w:rPr/>
        <w:pict>
          <v:shape style="position:absolute;margin-left:458.804108pt;margin-top:10.633005pt;width:71.25pt;height:79.150pt;mso-position-horizontal-relative:page;mso-position-vertical-relative:paragraph;z-index:8176" type="#_x0000_t202" filled="true" fillcolor="#bebebe" stroked="false">
            <v:textbox inset="0,0,0,0">
              <w:txbxContent>
                <w:p>
                  <w:pPr>
                    <w:pStyle w:val="BodyText"/>
                    <w:rPr>
                      <w:rFonts w:ascii="Calibri"/>
                      <w:sz w:val="16"/>
                    </w:rPr>
                  </w:pPr>
                </w:p>
                <w:p>
                  <w:pPr>
                    <w:pStyle w:val="BodyText"/>
                    <w:rPr>
                      <w:rFonts w:ascii="Calibri"/>
                      <w:sz w:val="16"/>
                    </w:rPr>
                  </w:pPr>
                </w:p>
                <w:p>
                  <w:pPr>
                    <w:pStyle w:val="BodyText"/>
                    <w:spacing w:before="8"/>
                    <w:rPr>
                      <w:rFonts w:ascii="Calibri"/>
                      <w:sz w:val="23"/>
                    </w:rPr>
                  </w:pPr>
                </w:p>
                <w:p>
                  <w:pPr>
                    <w:spacing w:before="1"/>
                    <w:ind w:left="79" w:right="0" w:firstLine="0"/>
                    <w:jc w:val="left"/>
                    <w:rPr>
                      <w:rFonts w:ascii="Calibri"/>
                      <w:sz w:val="17"/>
                    </w:rPr>
                  </w:pPr>
                  <w:r>
                    <w:rPr>
                      <w:rFonts w:ascii="Calibri"/>
                      <w:sz w:val="17"/>
                    </w:rPr>
                    <w:t>Rumapplikationer</w:t>
                  </w:r>
                </w:p>
              </w:txbxContent>
            </v:textbox>
            <v:fill type="solid"/>
            <w10:wrap type="none"/>
          </v:shape>
        </w:pict>
      </w:r>
      <w:r>
        <w:rPr>
          <w:rFonts w:ascii="Calibri"/>
          <w:spacing w:val="2"/>
          <w:sz w:val="17"/>
        </w:rPr>
        <w:t>Fremstilling</w:t>
      </w:r>
      <w:r>
        <w:rPr>
          <w:rFonts w:ascii="Calibri"/>
          <w:spacing w:val="-5"/>
          <w:sz w:val="17"/>
        </w:rPr>
        <w:t> </w:t>
      </w:r>
      <w:r>
        <w:rPr>
          <w:rFonts w:ascii="Calibri"/>
          <w:sz w:val="17"/>
        </w:rPr>
        <w:t>af</w:t>
      </w:r>
      <w:r>
        <w:rPr>
          <w:rFonts w:ascii="Calibri"/>
          <w:spacing w:val="2"/>
          <w:sz w:val="17"/>
        </w:rPr>
        <w:t> </w:t>
      </w:r>
      <w:r>
        <w:rPr>
          <w:rFonts w:ascii="Calibri"/>
          <w:sz w:val="17"/>
        </w:rPr>
        <w:t>brugerenheder</w:t>
        <w:tab/>
        <w:t>Operation af jordstationer Salg</w:t>
      </w:r>
      <w:r>
        <w:rPr>
          <w:rFonts w:ascii="Calibri"/>
          <w:spacing w:val="-4"/>
          <w:sz w:val="17"/>
        </w:rPr>
        <w:t> </w:t>
      </w:r>
      <w:r>
        <w:rPr>
          <w:rFonts w:ascii="Calibri"/>
          <w:sz w:val="17"/>
        </w:rPr>
        <w:t>af</w:t>
      </w:r>
      <w:r>
        <w:rPr>
          <w:rFonts w:ascii="Calibri"/>
          <w:spacing w:val="2"/>
          <w:sz w:val="17"/>
        </w:rPr>
        <w:t> </w:t>
      </w:r>
      <w:r>
        <w:rPr>
          <w:rFonts w:ascii="Calibri"/>
          <w:sz w:val="17"/>
        </w:rPr>
        <w:t>brugerenheder</w:t>
        <w:tab/>
        <w:t>Satellit-TV</w:t>
      </w:r>
    </w:p>
    <w:p>
      <w:pPr>
        <w:spacing w:before="0"/>
        <w:ind w:left="2086" w:right="0" w:firstLine="0"/>
        <w:jc w:val="left"/>
        <w:rPr>
          <w:rFonts w:ascii="Calibri"/>
          <w:sz w:val="17"/>
        </w:rPr>
      </w:pPr>
      <w:r>
        <w:rPr>
          <w:rFonts w:ascii="Calibri"/>
          <w:sz w:val="17"/>
        </w:rPr>
        <w:t>Rumbaserede software- og</w:t>
      </w:r>
    </w:p>
    <w:p>
      <w:pPr>
        <w:tabs>
          <w:tab w:pos="5286" w:val="left" w:leader="none"/>
        </w:tabs>
        <w:spacing w:before="17"/>
        <w:ind w:left="2426" w:right="0" w:firstLine="0"/>
        <w:jc w:val="left"/>
        <w:rPr>
          <w:rFonts w:ascii="Calibri"/>
          <w:sz w:val="17"/>
        </w:rPr>
      </w:pPr>
      <w:r>
        <w:rPr>
          <w:rFonts w:ascii="Calibri"/>
          <w:sz w:val="17"/>
        </w:rPr>
        <w:t>konsulentydelser</w:t>
        <w:tab/>
        <w:t>Salg af</w:t>
      </w:r>
      <w:r>
        <w:rPr>
          <w:rFonts w:ascii="Calibri"/>
          <w:spacing w:val="-6"/>
          <w:sz w:val="17"/>
        </w:rPr>
        <w:t> </w:t>
      </w:r>
      <w:r>
        <w:rPr>
          <w:rFonts w:ascii="Calibri"/>
          <w:sz w:val="17"/>
        </w:rPr>
        <w:t>rumabonnementer</w:t>
      </w:r>
    </w:p>
    <w:p>
      <w:pPr>
        <w:tabs>
          <w:tab w:pos="5286" w:val="left" w:leader="none"/>
        </w:tabs>
        <w:spacing w:line="261" w:lineRule="auto" w:before="18"/>
        <w:ind w:left="5287" w:right="3556" w:hanging="2884"/>
        <w:jc w:val="left"/>
        <w:rPr>
          <w:rFonts w:ascii="Calibri" w:hAnsi="Calibri"/>
          <w:sz w:val="17"/>
        </w:rPr>
      </w:pPr>
      <w:r>
        <w:rPr/>
        <w:pict>
          <v:shape style="position:absolute;margin-left:458.804108pt;margin-top:45.461216pt;width:71.25pt;height:56.25pt;mso-position-horizontal-relative:page;mso-position-vertical-relative:paragraph;z-index:8152" type="#_x0000_t202" filled="true" fillcolor="#d9d9d9" stroked="false">
            <v:textbox inset="0,0,0,0">
              <w:txbxContent>
                <w:p>
                  <w:pPr>
                    <w:pStyle w:val="BodyText"/>
                    <w:rPr>
                      <w:rFonts w:ascii="Calibri"/>
                      <w:sz w:val="16"/>
                    </w:rPr>
                  </w:pPr>
                </w:p>
                <w:p>
                  <w:pPr>
                    <w:pStyle w:val="BodyText"/>
                    <w:spacing w:before="2"/>
                    <w:rPr>
                      <w:rFonts w:ascii="Calibri"/>
                      <w:sz w:val="21"/>
                    </w:rPr>
                  </w:pPr>
                </w:p>
                <w:p>
                  <w:pPr>
                    <w:spacing w:before="0"/>
                    <w:ind w:left="237" w:right="0" w:firstLine="0"/>
                    <w:jc w:val="left"/>
                    <w:rPr>
                      <w:rFonts w:ascii="Calibri" w:hAnsi="Calibri"/>
                      <w:sz w:val="17"/>
                    </w:rPr>
                  </w:pPr>
                  <w:r>
                    <w:rPr>
                      <w:rFonts w:ascii="Calibri" w:hAnsi="Calibri"/>
                      <w:sz w:val="17"/>
                    </w:rPr>
                    <w:t>Følgeservices</w:t>
                  </w:r>
                </w:p>
              </w:txbxContent>
            </v:textbox>
            <v:fill type="solid"/>
            <w10:wrap type="none"/>
          </v:shape>
        </w:pict>
      </w:r>
      <w:r>
        <w:rPr>
          <w:rFonts w:ascii="Calibri" w:hAnsi="Calibri"/>
          <w:spacing w:val="3"/>
          <w:sz w:val="17"/>
        </w:rPr>
        <w:t>Alle</w:t>
      </w:r>
      <w:r>
        <w:rPr>
          <w:rFonts w:ascii="Calibri" w:hAnsi="Calibri"/>
          <w:spacing w:val="7"/>
          <w:sz w:val="17"/>
        </w:rPr>
        <w:t> </w:t>
      </w:r>
      <w:r>
        <w:rPr>
          <w:rFonts w:ascii="Calibri" w:hAnsi="Calibri"/>
          <w:sz w:val="17"/>
        </w:rPr>
        <w:t>Følgeservices</w:t>
        <w:tab/>
      </w:r>
      <w:r>
        <w:rPr>
          <w:rFonts w:ascii="Calibri" w:hAnsi="Calibri"/>
          <w:spacing w:val="2"/>
          <w:sz w:val="17"/>
        </w:rPr>
        <w:t>Fremstilling </w:t>
      </w:r>
      <w:r>
        <w:rPr>
          <w:rFonts w:ascii="Calibri" w:hAnsi="Calibri"/>
          <w:sz w:val="17"/>
        </w:rPr>
        <w:t>af brugerenheder Salg af brugerenheder Rumbaserede software- og konsulentydelser</w:t>
      </w:r>
    </w:p>
    <w:p>
      <w:pPr>
        <w:spacing w:line="261" w:lineRule="auto" w:before="0"/>
        <w:ind w:left="5287" w:right="4682" w:firstLine="0"/>
        <w:jc w:val="left"/>
        <w:rPr>
          <w:rFonts w:ascii="Calibri"/>
          <w:sz w:val="17"/>
        </w:rPr>
      </w:pPr>
      <w:r>
        <w:rPr>
          <w:rFonts w:ascii="Calibri"/>
          <w:sz w:val="17"/>
        </w:rPr>
        <w:t>Finans og jura Forsikring</w:t>
      </w:r>
    </w:p>
    <w:p>
      <w:pPr>
        <w:spacing w:line="261" w:lineRule="auto" w:before="0"/>
        <w:ind w:left="5287" w:right="2872" w:firstLine="0"/>
        <w:jc w:val="left"/>
        <w:rPr>
          <w:rFonts w:ascii="Calibri"/>
          <w:sz w:val="17"/>
        </w:rPr>
      </w:pPr>
      <w:r>
        <w:rPr>
          <w:rFonts w:ascii="Calibri"/>
          <w:sz w:val="17"/>
        </w:rPr>
        <w:t>Markedsanalyse og konsulenttjenester Formidling</w:t>
      </w:r>
    </w:p>
    <w:p>
      <w:pPr>
        <w:spacing w:before="0"/>
        <w:ind w:left="1445" w:right="1389" w:firstLine="0"/>
        <w:jc w:val="center"/>
        <w:rPr>
          <w:rFonts w:ascii="Calibri"/>
          <w:sz w:val="17"/>
        </w:rPr>
      </w:pPr>
      <w:r>
        <w:rPr>
          <w:rFonts w:ascii="Calibri"/>
          <w:sz w:val="17"/>
        </w:rPr>
        <w:t>Andet</w:t>
      </w:r>
    </w:p>
    <w:p>
      <w:pPr>
        <w:spacing w:after="0"/>
        <w:jc w:val="center"/>
        <w:rPr>
          <w:rFonts w:ascii="Calibri"/>
          <w:sz w:val="17"/>
        </w:rPr>
        <w:sectPr>
          <w:type w:val="continuous"/>
          <w:pgSz w:w="11910" w:h="16840"/>
          <w:pgMar w:top="1400" w:bottom="280" w:left="960" w:right="0"/>
        </w:sectPr>
      </w:pPr>
    </w:p>
    <w:p>
      <w:pPr>
        <w:spacing w:before="105"/>
        <w:ind w:left="742" w:right="0" w:firstLine="0"/>
        <w:jc w:val="left"/>
        <w:rPr>
          <w:b/>
          <w:sz w:val="22"/>
        </w:rPr>
      </w:pPr>
      <w:bookmarkStart w:name="_bookmark66" w:id="67"/>
      <w:bookmarkEnd w:id="67"/>
      <w:r>
        <w:rPr/>
      </w:r>
      <w:r>
        <w:rPr>
          <w:b/>
          <w:color w:val="009DDF"/>
          <w:sz w:val="22"/>
        </w:rPr>
        <w:t>BILAG 4: SATELLITMISSIONER MED DANSK DELTAGELSE</w:t>
      </w:r>
    </w:p>
    <w:p>
      <w:pPr>
        <w:pStyle w:val="BodyText"/>
        <w:spacing w:before="10" w:after="1"/>
        <w:rPr>
          <w:b/>
          <w:sz w:val="23"/>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2753"/>
        <w:gridCol w:w="2543"/>
        <w:gridCol w:w="1425"/>
        <w:gridCol w:w="2210"/>
      </w:tblGrid>
      <w:tr>
        <w:trPr>
          <w:trHeight w:val="270" w:hRule="atLeast"/>
        </w:trPr>
        <w:tc>
          <w:tcPr>
            <w:tcW w:w="2753" w:type="dxa"/>
            <w:tcBorders>
              <w:right w:val="nil"/>
            </w:tcBorders>
            <w:shd w:val="clear" w:color="auto" w:fill="A7D2F5"/>
          </w:tcPr>
          <w:p>
            <w:pPr>
              <w:pStyle w:val="TableParagraph"/>
              <w:spacing w:before="2"/>
              <w:rPr>
                <w:b/>
                <w:sz w:val="16"/>
              </w:rPr>
            </w:pPr>
            <w:r>
              <w:rPr>
                <w:b/>
                <w:color w:val="FFFFFF"/>
                <w:sz w:val="16"/>
              </w:rPr>
              <w:t>Mission</w:t>
            </w:r>
          </w:p>
        </w:tc>
        <w:tc>
          <w:tcPr>
            <w:tcW w:w="2543" w:type="dxa"/>
            <w:tcBorders>
              <w:left w:val="nil"/>
              <w:right w:val="nil"/>
            </w:tcBorders>
            <w:shd w:val="clear" w:color="auto" w:fill="A7D2F5"/>
          </w:tcPr>
          <w:p>
            <w:pPr>
              <w:pStyle w:val="TableParagraph"/>
              <w:spacing w:before="2"/>
              <w:ind w:left="1051"/>
              <w:rPr>
                <w:b/>
                <w:sz w:val="16"/>
              </w:rPr>
            </w:pPr>
            <w:r>
              <w:rPr>
                <w:b/>
                <w:color w:val="FFFFFF"/>
                <w:sz w:val="16"/>
              </w:rPr>
              <w:t>Organisation</w:t>
            </w:r>
          </w:p>
        </w:tc>
        <w:tc>
          <w:tcPr>
            <w:tcW w:w="1425" w:type="dxa"/>
            <w:tcBorders>
              <w:left w:val="nil"/>
              <w:right w:val="nil"/>
            </w:tcBorders>
            <w:shd w:val="clear" w:color="auto" w:fill="A7D2F5"/>
          </w:tcPr>
          <w:p>
            <w:pPr>
              <w:pStyle w:val="TableParagraph"/>
              <w:spacing w:before="2"/>
              <w:ind w:left="352"/>
              <w:rPr>
                <w:b/>
                <w:sz w:val="16"/>
              </w:rPr>
            </w:pPr>
            <w:r>
              <w:rPr>
                <w:b/>
                <w:color w:val="FFFFFF"/>
                <w:sz w:val="16"/>
              </w:rPr>
              <w:t>Opsendt</w:t>
            </w:r>
          </w:p>
        </w:tc>
        <w:tc>
          <w:tcPr>
            <w:tcW w:w="2210" w:type="dxa"/>
            <w:tcBorders>
              <w:left w:val="nil"/>
            </w:tcBorders>
            <w:shd w:val="clear" w:color="auto" w:fill="A7D2F5"/>
          </w:tcPr>
          <w:p>
            <w:pPr>
              <w:pStyle w:val="TableParagraph"/>
              <w:spacing w:before="2"/>
              <w:ind w:left="343"/>
              <w:rPr>
                <w:b/>
                <w:sz w:val="16"/>
              </w:rPr>
            </w:pPr>
            <w:r>
              <w:rPr>
                <w:b/>
                <w:color w:val="FFFFFF"/>
                <w:sz w:val="16"/>
              </w:rPr>
              <w:t>Kunde</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ESRO IV</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1972</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COS-B</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1975</w:t>
            </w:r>
          </w:p>
        </w:tc>
        <w:tc>
          <w:tcPr>
            <w:tcW w:w="2210" w:type="dxa"/>
            <w:tcBorders>
              <w:left w:val="nil"/>
            </w:tcBorders>
          </w:tcPr>
          <w:p>
            <w:pPr>
              <w:pStyle w:val="TableParagraph"/>
              <w:spacing w:before="2"/>
              <w:ind w:left="343"/>
              <w:rPr>
                <w:sz w:val="16"/>
              </w:rPr>
            </w:pPr>
            <w:r>
              <w:rPr>
                <w:sz w:val="16"/>
              </w:rPr>
              <w:t>ESA</w:t>
            </w:r>
          </w:p>
        </w:tc>
      </w:tr>
      <w:tr>
        <w:trPr>
          <w:trHeight w:val="267" w:hRule="atLeast"/>
        </w:trPr>
        <w:tc>
          <w:tcPr>
            <w:tcW w:w="2753" w:type="dxa"/>
            <w:tcBorders>
              <w:right w:val="nil"/>
            </w:tcBorders>
            <w:shd w:val="clear" w:color="auto" w:fill="E9F4FB"/>
          </w:tcPr>
          <w:p>
            <w:pPr>
              <w:pStyle w:val="TableParagraph"/>
              <w:spacing w:before="2"/>
              <w:rPr>
                <w:b/>
                <w:sz w:val="16"/>
              </w:rPr>
            </w:pPr>
            <w:r>
              <w:rPr>
                <w:b/>
                <w:sz w:val="16"/>
              </w:rPr>
              <w:t>METEOSAT</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1977</w:t>
            </w:r>
          </w:p>
        </w:tc>
        <w:tc>
          <w:tcPr>
            <w:tcW w:w="2210" w:type="dxa"/>
            <w:tcBorders>
              <w:left w:val="nil"/>
            </w:tcBorders>
            <w:shd w:val="clear" w:color="auto" w:fill="E9F4FB"/>
          </w:tcPr>
          <w:p>
            <w:pPr>
              <w:pStyle w:val="TableParagraph"/>
              <w:spacing w:before="2"/>
              <w:ind w:left="343"/>
              <w:rPr>
                <w:sz w:val="16"/>
              </w:rPr>
            </w:pPr>
            <w:r>
              <w:rPr>
                <w:sz w:val="16"/>
              </w:rPr>
              <w:t>ESA+Andre</w:t>
            </w:r>
          </w:p>
        </w:tc>
      </w:tr>
      <w:tr>
        <w:trPr>
          <w:trHeight w:val="270" w:hRule="atLeast"/>
        </w:trPr>
        <w:tc>
          <w:tcPr>
            <w:tcW w:w="2753" w:type="dxa"/>
            <w:tcBorders>
              <w:right w:val="nil"/>
            </w:tcBorders>
          </w:tcPr>
          <w:p>
            <w:pPr>
              <w:pStyle w:val="TableParagraph"/>
              <w:spacing w:before="4"/>
              <w:rPr>
                <w:b/>
                <w:sz w:val="16"/>
              </w:rPr>
            </w:pPr>
            <w:r>
              <w:rPr>
                <w:b/>
                <w:sz w:val="16"/>
              </w:rPr>
              <w:t>EXOSAT</w:t>
            </w:r>
          </w:p>
        </w:tc>
        <w:tc>
          <w:tcPr>
            <w:tcW w:w="2543" w:type="dxa"/>
            <w:tcBorders>
              <w:left w:val="nil"/>
              <w:right w:val="nil"/>
            </w:tcBorders>
          </w:tcPr>
          <w:p>
            <w:pPr>
              <w:pStyle w:val="TableParagraph"/>
              <w:spacing w:before="4"/>
              <w:ind w:left="1051"/>
              <w:rPr>
                <w:sz w:val="16"/>
              </w:rPr>
            </w:pPr>
            <w:r>
              <w:rPr>
                <w:sz w:val="16"/>
              </w:rPr>
              <w:t>Terma</w:t>
            </w:r>
          </w:p>
        </w:tc>
        <w:tc>
          <w:tcPr>
            <w:tcW w:w="1425" w:type="dxa"/>
            <w:tcBorders>
              <w:left w:val="nil"/>
              <w:right w:val="nil"/>
            </w:tcBorders>
          </w:tcPr>
          <w:p>
            <w:pPr>
              <w:pStyle w:val="TableParagraph"/>
              <w:spacing w:before="4"/>
              <w:ind w:left="352"/>
              <w:rPr>
                <w:sz w:val="16"/>
              </w:rPr>
            </w:pPr>
            <w:r>
              <w:rPr>
                <w:sz w:val="16"/>
              </w:rPr>
              <w:t>1983</w:t>
            </w:r>
          </w:p>
        </w:tc>
        <w:tc>
          <w:tcPr>
            <w:tcW w:w="2210" w:type="dxa"/>
            <w:tcBorders>
              <w:left w:val="nil"/>
            </w:tcBorders>
          </w:tcPr>
          <w:p>
            <w:pPr>
              <w:pStyle w:val="TableParagraph"/>
              <w:spacing w:before="4"/>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OCG</w:t>
            </w:r>
          </w:p>
        </w:tc>
        <w:tc>
          <w:tcPr>
            <w:tcW w:w="2543" w:type="dxa"/>
            <w:tcBorders>
              <w:left w:val="nil"/>
              <w:right w:val="nil"/>
            </w:tcBorders>
            <w:shd w:val="clear" w:color="auto" w:fill="E9F4FB"/>
          </w:tcPr>
          <w:p>
            <w:pPr>
              <w:pStyle w:val="TableParagraph"/>
              <w:spacing w:before="4"/>
              <w:ind w:left="1051"/>
              <w:rPr>
                <w:sz w:val="16"/>
              </w:rPr>
            </w:pPr>
            <w:r>
              <w:rPr>
                <w:sz w:val="16"/>
              </w:rPr>
              <w:t>Terma</w:t>
            </w:r>
          </w:p>
        </w:tc>
        <w:tc>
          <w:tcPr>
            <w:tcW w:w="1425" w:type="dxa"/>
            <w:tcBorders>
              <w:left w:val="nil"/>
              <w:right w:val="nil"/>
            </w:tcBorders>
            <w:shd w:val="clear" w:color="auto" w:fill="E9F4FB"/>
          </w:tcPr>
          <w:p>
            <w:pPr>
              <w:pStyle w:val="TableParagraph"/>
              <w:spacing w:before="4"/>
              <w:ind w:left="352"/>
              <w:rPr>
                <w:sz w:val="16"/>
              </w:rPr>
            </w:pPr>
            <w:r>
              <w:rPr>
                <w:sz w:val="16"/>
              </w:rPr>
              <w:t>1983</w:t>
            </w:r>
          </w:p>
        </w:tc>
        <w:tc>
          <w:tcPr>
            <w:tcW w:w="2210" w:type="dxa"/>
            <w:tcBorders>
              <w:left w:val="nil"/>
            </w:tcBorders>
            <w:shd w:val="clear" w:color="auto" w:fill="E9F4FB"/>
          </w:tcPr>
          <w:p>
            <w:pPr>
              <w:pStyle w:val="TableParagraph"/>
              <w:spacing w:before="4"/>
              <w:ind w:left="343"/>
              <w:rPr>
                <w:sz w:val="16"/>
              </w:rPr>
            </w:pPr>
            <w:r>
              <w:rPr>
                <w:sz w:val="16"/>
              </w:rPr>
              <w:t>Andre</w:t>
            </w:r>
          </w:p>
        </w:tc>
      </w:tr>
      <w:tr>
        <w:trPr>
          <w:trHeight w:val="270" w:hRule="atLeast"/>
        </w:trPr>
        <w:tc>
          <w:tcPr>
            <w:tcW w:w="2753" w:type="dxa"/>
            <w:tcBorders>
              <w:right w:val="nil"/>
            </w:tcBorders>
          </w:tcPr>
          <w:p>
            <w:pPr>
              <w:pStyle w:val="TableParagraph"/>
              <w:spacing w:before="2"/>
              <w:rPr>
                <w:b/>
                <w:sz w:val="16"/>
              </w:rPr>
            </w:pPr>
            <w:r>
              <w:rPr>
                <w:b/>
                <w:sz w:val="16"/>
              </w:rPr>
              <w:t>SPACELAB</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1983</w:t>
            </w:r>
          </w:p>
        </w:tc>
        <w:tc>
          <w:tcPr>
            <w:tcW w:w="2210" w:type="dxa"/>
            <w:tcBorders>
              <w:left w:val="nil"/>
            </w:tcBorders>
          </w:tcPr>
          <w:p>
            <w:pPr>
              <w:pStyle w:val="TableParagraph"/>
              <w:spacing w:before="2"/>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LDEF</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1984</w:t>
            </w:r>
          </w:p>
        </w:tc>
        <w:tc>
          <w:tcPr>
            <w:tcW w:w="2210" w:type="dxa"/>
            <w:tcBorders>
              <w:left w:val="nil"/>
            </w:tcBorders>
            <w:shd w:val="clear" w:color="auto" w:fill="E9F4FB"/>
          </w:tcPr>
          <w:p>
            <w:pPr>
              <w:pStyle w:val="TableParagraph"/>
              <w:spacing w:before="2"/>
              <w:ind w:left="343"/>
              <w:rPr>
                <w:sz w:val="16"/>
              </w:rPr>
            </w:pPr>
            <w:r>
              <w:rPr>
                <w:sz w:val="16"/>
              </w:rPr>
              <w:t>NASA</w:t>
            </w:r>
          </w:p>
        </w:tc>
      </w:tr>
      <w:tr>
        <w:trPr>
          <w:trHeight w:val="270" w:hRule="atLeast"/>
        </w:trPr>
        <w:tc>
          <w:tcPr>
            <w:tcW w:w="2753" w:type="dxa"/>
            <w:tcBorders>
              <w:right w:val="nil"/>
            </w:tcBorders>
          </w:tcPr>
          <w:p>
            <w:pPr>
              <w:pStyle w:val="TableParagraph"/>
              <w:spacing w:before="2"/>
              <w:rPr>
                <w:b/>
                <w:sz w:val="16"/>
              </w:rPr>
            </w:pPr>
            <w:r>
              <w:rPr>
                <w:b/>
                <w:sz w:val="16"/>
              </w:rPr>
              <w:t>OLYMPUS</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1989</w:t>
            </w:r>
          </w:p>
        </w:tc>
        <w:tc>
          <w:tcPr>
            <w:tcW w:w="2210" w:type="dxa"/>
            <w:tcBorders>
              <w:left w:val="nil"/>
            </w:tcBorders>
          </w:tcPr>
          <w:p>
            <w:pPr>
              <w:pStyle w:val="TableParagraph"/>
              <w:spacing w:before="2"/>
              <w:ind w:left="343"/>
              <w:rPr>
                <w:sz w:val="16"/>
              </w:rPr>
            </w:pPr>
            <w:r>
              <w:rPr>
                <w:sz w:val="16"/>
              </w:rPr>
              <w:t>ESA</w:t>
            </w:r>
          </w:p>
        </w:tc>
      </w:tr>
      <w:tr>
        <w:trPr>
          <w:trHeight w:val="268" w:hRule="atLeast"/>
        </w:trPr>
        <w:tc>
          <w:tcPr>
            <w:tcW w:w="2753" w:type="dxa"/>
            <w:tcBorders>
              <w:right w:val="nil"/>
            </w:tcBorders>
            <w:shd w:val="clear" w:color="auto" w:fill="E9F4FB"/>
          </w:tcPr>
          <w:p>
            <w:pPr>
              <w:pStyle w:val="TableParagraph"/>
              <w:spacing w:before="2"/>
              <w:rPr>
                <w:b/>
                <w:sz w:val="16"/>
              </w:rPr>
            </w:pPr>
            <w:r>
              <w:rPr>
                <w:b/>
                <w:sz w:val="16"/>
              </w:rPr>
              <w:t>Ulysses (ISPM)</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1990</w:t>
            </w:r>
          </w:p>
        </w:tc>
        <w:tc>
          <w:tcPr>
            <w:tcW w:w="2210" w:type="dxa"/>
            <w:tcBorders>
              <w:left w:val="nil"/>
            </w:tcBorders>
            <w:shd w:val="clear" w:color="auto" w:fill="E9F4FB"/>
          </w:tcPr>
          <w:p>
            <w:pPr>
              <w:pStyle w:val="TableParagraph"/>
              <w:spacing w:before="2"/>
              <w:ind w:left="343"/>
              <w:rPr>
                <w:sz w:val="16"/>
              </w:rPr>
            </w:pPr>
            <w:r>
              <w:rPr>
                <w:sz w:val="16"/>
              </w:rPr>
              <w:t>ESA+NASA</w:t>
            </w:r>
          </w:p>
        </w:tc>
      </w:tr>
      <w:tr>
        <w:trPr>
          <w:trHeight w:val="270" w:hRule="atLeast"/>
        </w:trPr>
        <w:tc>
          <w:tcPr>
            <w:tcW w:w="2753" w:type="dxa"/>
            <w:tcBorders>
              <w:right w:val="nil"/>
            </w:tcBorders>
          </w:tcPr>
          <w:p>
            <w:pPr>
              <w:pStyle w:val="TableParagraph"/>
              <w:spacing w:before="4"/>
              <w:rPr>
                <w:b/>
                <w:sz w:val="16"/>
              </w:rPr>
            </w:pPr>
            <w:r>
              <w:rPr>
                <w:b/>
                <w:sz w:val="16"/>
              </w:rPr>
              <w:t>EURECA</w:t>
            </w:r>
          </w:p>
        </w:tc>
        <w:tc>
          <w:tcPr>
            <w:tcW w:w="2543" w:type="dxa"/>
            <w:tcBorders>
              <w:left w:val="nil"/>
              <w:right w:val="nil"/>
            </w:tcBorders>
          </w:tcPr>
          <w:p>
            <w:pPr>
              <w:pStyle w:val="TableParagraph"/>
              <w:spacing w:before="4"/>
              <w:ind w:left="1051"/>
              <w:rPr>
                <w:sz w:val="16"/>
              </w:rPr>
            </w:pPr>
            <w:r>
              <w:rPr>
                <w:sz w:val="16"/>
              </w:rPr>
              <w:t>Terma</w:t>
            </w:r>
          </w:p>
        </w:tc>
        <w:tc>
          <w:tcPr>
            <w:tcW w:w="1425" w:type="dxa"/>
            <w:tcBorders>
              <w:left w:val="nil"/>
              <w:right w:val="nil"/>
            </w:tcBorders>
          </w:tcPr>
          <w:p>
            <w:pPr>
              <w:pStyle w:val="TableParagraph"/>
              <w:spacing w:before="4"/>
              <w:ind w:left="352"/>
              <w:rPr>
                <w:sz w:val="16"/>
              </w:rPr>
            </w:pPr>
            <w:r>
              <w:rPr>
                <w:sz w:val="16"/>
              </w:rPr>
              <w:t>1992</w:t>
            </w:r>
          </w:p>
        </w:tc>
        <w:tc>
          <w:tcPr>
            <w:tcW w:w="2210" w:type="dxa"/>
            <w:tcBorders>
              <w:left w:val="nil"/>
            </w:tcBorders>
          </w:tcPr>
          <w:p>
            <w:pPr>
              <w:pStyle w:val="TableParagraph"/>
              <w:spacing w:before="4"/>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ISO</w:t>
            </w:r>
          </w:p>
        </w:tc>
        <w:tc>
          <w:tcPr>
            <w:tcW w:w="2543" w:type="dxa"/>
            <w:tcBorders>
              <w:left w:val="nil"/>
              <w:right w:val="nil"/>
            </w:tcBorders>
            <w:shd w:val="clear" w:color="auto" w:fill="E9F4FB"/>
          </w:tcPr>
          <w:p>
            <w:pPr>
              <w:pStyle w:val="TableParagraph"/>
              <w:spacing w:before="4"/>
              <w:ind w:left="1051"/>
              <w:rPr>
                <w:sz w:val="16"/>
              </w:rPr>
            </w:pPr>
            <w:r>
              <w:rPr>
                <w:sz w:val="16"/>
              </w:rPr>
              <w:t>Terma</w:t>
            </w:r>
          </w:p>
        </w:tc>
        <w:tc>
          <w:tcPr>
            <w:tcW w:w="1425" w:type="dxa"/>
            <w:tcBorders>
              <w:left w:val="nil"/>
              <w:right w:val="nil"/>
            </w:tcBorders>
            <w:shd w:val="clear" w:color="auto" w:fill="E9F4FB"/>
          </w:tcPr>
          <w:p>
            <w:pPr>
              <w:pStyle w:val="TableParagraph"/>
              <w:spacing w:before="4"/>
              <w:ind w:left="352"/>
              <w:rPr>
                <w:sz w:val="16"/>
              </w:rPr>
            </w:pPr>
            <w:r>
              <w:rPr>
                <w:sz w:val="16"/>
              </w:rPr>
              <w:t>1995</w:t>
            </w:r>
          </w:p>
        </w:tc>
        <w:tc>
          <w:tcPr>
            <w:tcW w:w="2210" w:type="dxa"/>
            <w:tcBorders>
              <w:left w:val="nil"/>
            </w:tcBorders>
            <w:shd w:val="clear" w:color="auto" w:fill="E9F4FB"/>
          </w:tcPr>
          <w:p>
            <w:pPr>
              <w:pStyle w:val="TableParagraph"/>
              <w:spacing w:before="4"/>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Cassini/Huygens</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1997</w:t>
            </w:r>
          </w:p>
        </w:tc>
        <w:tc>
          <w:tcPr>
            <w:tcW w:w="2210" w:type="dxa"/>
            <w:tcBorders>
              <w:left w:val="nil"/>
            </w:tcBorders>
          </w:tcPr>
          <w:p>
            <w:pPr>
              <w:pStyle w:val="TableParagraph"/>
              <w:spacing w:before="2"/>
              <w:ind w:left="343"/>
              <w:rPr>
                <w:sz w:val="16"/>
              </w:rPr>
            </w:pPr>
            <w:r>
              <w:rPr>
                <w:sz w:val="16"/>
              </w:rPr>
              <w:t>ESA+NASA</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SKYNET</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1997</w:t>
            </w:r>
          </w:p>
        </w:tc>
        <w:tc>
          <w:tcPr>
            <w:tcW w:w="2210" w:type="dxa"/>
            <w:tcBorders>
              <w:left w:val="nil"/>
            </w:tcBorders>
            <w:shd w:val="clear" w:color="auto" w:fill="E9F4FB"/>
          </w:tcPr>
          <w:p>
            <w:pPr>
              <w:pStyle w:val="TableParagraph"/>
              <w:spacing w:before="2"/>
              <w:ind w:left="343"/>
              <w:rPr>
                <w:sz w:val="16"/>
              </w:rPr>
            </w:pPr>
            <w:r>
              <w:rPr>
                <w:sz w:val="16"/>
              </w:rPr>
              <w:t>Andre</w:t>
            </w:r>
          </w:p>
        </w:tc>
      </w:tr>
      <w:tr>
        <w:trPr>
          <w:trHeight w:val="270" w:hRule="atLeast"/>
        </w:trPr>
        <w:tc>
          <w:tcPr>
            <w:tcW w:w="2753" w:type="dxa"/>
            <w:tcBorders>
              <w:right w:val="nil"/>
            </w:tcBorders>
          </w:tcPr>
          <w:p>
            <w:pPr>
              <w:pStyle w:val="TableParagraph"/>
              <w:spacing w:before="2"/>
              <w:rPr>
                <w:b/>
                <w:sz w:val="16"/>
              </w:rPr>
            </w:pPr>
            <w:r>
              <w:rPr>
                <w:b/>
                <w:sz w:val="16"/>
              </w:rPr>
              <w:t>Ørsted</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1999</w:t>
            </w:r>
          </w:p>
        </w:tc>
        <w:tc>
          <w:tcPr>
            <w:tcW w:w="2210" w:type="dxa"/>
            <w:tcBorders>
              <w:left w:val="nil"/>
            </w:tcBorders>
          </w:tcPr>
          <w:p>
            <w:pPr>
              <w:pStyle w:val="TableParagraph"/>
              <w:spacing w:before="2"/>
              <w:ind w:left="343"/>
              <w:rPr>
                <w:sz w:val="16"/>
              </w:rPr>
            </w:pPr>
            <w:r>
              <w:rPr>
                <w:sz w:val="16"/>
              </w:rPr>
              <w:t>Dansk</w:t>
            </w:r>
          </w:p>
        </w:tc>
      </w:tr>
      <w:tr>
        <w:trPr>
          <w:trHeight w:val="267" w:hRule="atLeast"/>
        </w:trPr>
        <w:tc>
          <w:tcPr>
            <w:tcW w:w="2753" w:type="dxa"/>
            <w:tcBorders>
              <w:right w:val="nil"/>
            </w:tcBorders>
            <w:shd w:val="clear" w:color="auto" w:fill="E9F4FB"/>
          </w:tcPr>
          <w:p>
            <w:pPr>
              <w:pStyle w:val="TableParagraph"/>
              <w:spacing w:before="2"/>
              <w:rPr>
                <w:b/>
                <w:sz w:val="16"/>
              </w:rPr>
            </w:pPr>
            <w:r>
              <w:rPr>
                <w:b/>
                <w:sz w:val="16"/>
              </w:rPr>
              <w:t>Ørsted</w:t>
            </w:r>
          </w:p>
        </w:tc>
        <w:tc>
          <w:tcPr>
            <w:tcW w:w="2543" w:type="dxa"/>
            <w:tcBorders>
              <w:left w:val="nil"/>
              <w:right w:val="nil"/>
            </w:tcBorders>
            <w:shd w:val="clear" w:color="auto" w:fill="E9F4FB"/>
          </w:tcPr>
          <w:p>
            <w:pPr>
              <w:pStyle w:val="TableParagraph"/>
              <w:spacing w:before="2"/>
              <w:ind w:left="1051"/>
              <w:rPr>
                <w:sz w:val="16"/>
              </w:rPr>
            </w:pPr>
            <w:r>
              <w:rPr>
                <w:sz w:val="16"/>
              </w:rPr>
              <w:t>DTU</w:t>
            </w:r>
          </w:p>
        </w:tc>
        <w:tc>
          <w:tcPr>
            <w:tcW w:w="1425" w:type="dxa"/>
            <w:tcBorders>
              <w:left w:val="nil"/>
              <w:right w:val="nil"/>
            </w:tcBorders>
            <w:shd w:val="clear" w:color="auto" w:fill="E9F4FB"/>
          </w:tcPr>
          <w:p>
            <w:pPr>
              <w:pStyle w:val="TableParagraph"/>
              <w:spacing w:before="2"/>
              <w:ind w:left="352"/>
              <w:rPr>
                <w:sz w:val="16"/>
              </w:rPr>
            </w:pPr>
            <w:r>
              <w:rPr>
                <w:sz w:val="16"/>
              </w:rPr>
              <w:t>1999</w:t>
            </w:r>
          </w:p>
        </w:tc>
        <w:tc>
          <w:tcPr>
            <w:tcW w:w="2210" w:type="dxa"/>
            <w:tcBorders>
              <w:left w:val="nil"/>
            </w:tcBorders>
            <w:shd w:val="clear" w:color="auto" w:fill="E9F4FB"/>
          </w:tcPr>
          <w:p>
            <w:pPr>
              <w:pStyle w:val="TableParagraph"/>
              <w:spacing w:before="2"/>
              <w:ind w:left="343"/>
              <w:rPr>
                <w:sz w:val="16"/>
              </w:rPr>
            </w:pPr>
            <w:r>
              <w:rPr>
                <w:sz w:val="16"/>
              </w:rPr>
              <w:t>Dansk</w:t>
            </w:r>
          </w:p>
        </w:tc>
      </w:tr>
      <w:tr>
        <w:trPr>
          <w:trHeight w:val="270" w:hRule="atLeast"/>
        </w:trPr>
        <w:tc>
          <w:tcPr>
            <w:tcW w:w="2753" w:type="dxa"/>
            <w:tcBorders>
              <w:right w:val="nil"/>
            </w:tcBorders>
          </w:tcPr>
          <w:p>
            <w:pPr>
              <w:pStyle w:val="TableParagraph"/>
              <w:spacing w:before="4"/>
              <w:rPr>
                <w:b/>
                <w:sz w:val="16"/>
              </w:rPr>
            </w:pPr>
            <w:r>
              <w:rPr>
                <w:b/>
                <w:sz w:val="16"/>
              </w:rPr>
              <w:t>XMM-Newton</w:t>
            </w:r>
          </w:p>
        </w:tc>
        <w:tc>
          <w:tcPr>
            <w:tcW w:w="2543" w:type="dxa"/>
            <w:tcBorders>
              <w:left w:val="nil"/>
              <w:right w:val="nil"/>
            </w:tcBorders>
          </w:tcPr>
          <w:p>
            <w:pPr>
              <w:pStyle w:val="TableParagraph"/>
              <w:spacing w:before="4"/>
              <w:ind w:left="1051"/>
              <w:rPr>
                <w:sz w:val="16"/>
              </w:rPr>
            </w:pPr>
            <w:r>
              <w:rPr>
                <w:sz w:val="16"/>
              </w:rPr>
              <w:t>Terma</w:t>
            </w:r>
          </w:p>
        </w:tc>
        <w:tc>
          <w:tcPr>
            <w:tcW w:w="1425" w:type="dxa"/>
            <w:tcBorders>
              <w:left w:val="nil"/>
              <w:right w:val="nil"/>
            </w:tcBorders>
          </w:tcPr>
          <w:p>
            <w:pPr>
              <w:pStyle w:val="TableParagraph"/>
              <w:spacing w:before="4"/>
              <w:ind w:left="352"/>
              <w:rPr>
                <w:sz w:val="16"/>
              </w:rPr>
            </w:pPr>
            <w:r>
              <w:rPr>
                <w:sz w:val="16"/>
              </w:rPr>
              <w:t>1999</w:t>
            </w:r>
          </w:p>
        </w:tc>
        <w:tc>
          <w:tcPr>
            <w:tcW w:w="2210" w:type="dxa"/>
            <w:tcBorders>
              <w:left w:val="nil"/>
            </w:tcBorders>
          </w:tcPr>
          <w:p>
            <w:pPr>
              <w:pStyle w:val="TableParagraph"/>
              <w:spacing w:before="4"/>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SAC-C</w:t>
            </w:r>
          </w:p>
        </w:tc>
        <w:tc>
          <w:tcPr>
            <w:tcW w:w="2543" w:type="dxa"/>
            <w:tcBorders>
              <w:left w:val="nil"/>
              <w:right w:val="nil"/>
            </w:tcBorders>
            <w:shd w:val="clear" w:color="auto" w:fill="E9F4FB"/>
          </w:tcPr>
          <w:p>
            <w:pPr>
              <w:pStyle w:val="TableParagraph"/>
              <w:spacing w:before="4"/>
              <w:ind w:left="1051"/>
              <w:rPr>
                <w:sz w:val="16"/>
              </w:rPr>
            </w:pPr>
            <w:r>
              <w:rPr>
                <w:sz w:val="16"/>
              </w:rPr>
              <w:t>Terma</w:t>
            </w:r>
          </w:p>
        </w:tc>
        <w:tc>
          <w:tcPr>
            <w:tcW w:w="1425" w:type="dxa"/>
            <w:tcBorders>
              <w:left w:val="nil"/>
              <w:right w:val="nil"/>
            </w:tcBorders>
            <w:shd w:val="clear" w:color="auto" w:fill="E9F4FB"/>
          </w:tcPr>
          <w:p>
            <w:pPr>
              <w:pStyle w:val="TableParagraph"/>
              <w:spacing w:before="4"/>
              <w:ind w:left="352"/>
              <w:rPr>
                <w:sz w:val="16"/>
              </w:rPr>
            </w:pPr>
            <w:r>
              <w:rPr>
                <w:sz w:val="16"/>
              </w:rPr>
              <w:t>2000</w:t>
            </w:r>
          </w:p>
        </w:tc>
        <w:tc>
          <w:tcPr>
            <w:tcW w:w="2210" w:type="dxa"/>
            <w:tcBorders>
              <w:left w:val="nil"/>
            </w:tcBorders>
            <w:shd w:val="clear" w:color="auto" w:fill="E9F4FB"/>
          </w:tcPr>
          <w:p>
            <w:pPr>
              <w:pStyle w:val="TableParagraph"/>
              <w:spacing w:before="4"/>
              <w:ind w:left="343"/>
              <w:rPr>
                <w:sz w:val="16"/>
              </w:rPr>
            </w:pPr>
            <w:r>
              <w:rPr>
                <w:sz w:val="16"/>
              </w:rPr>
              <w:t>NASA + Andre</w:t>
            </w:r>
          </w:p>
        </w:tc>
      </w:tr>
      <w:tr>
        <w:trPr>
          <w:trHeight w:val="270" w:hRule="atLeast"/>
        </w:trPr>
        <w:tc>
          <w:tcPr>
            <w:tcW w:w="2753" w:type="dxa"/>
            <w:tcBorders>
              <w:right w:val="nil"/>
            </w:tcBorders>
          </w:tcPr>
          <w:p>
            <w:pPr>
              <w:pStyle w:val="TableParagraph"/>
              <w:spacing w:before="2"/>
              <w:rPr>
                <w:b/>
                <w:sz w:val="16"/>
              </w:rPr>
            </w:pPr>
            <w:r>
              <w:rPr>
                <w:b/>
                <w:sz w:val="16"/>
              </w:rPr>
              <w:t>INTEGRAL</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2002</w:t>
            </w:r>
          </w:p>
        </w:tc>
        <w:tc>
          <w:tcPr>
            <w:tcW w:w="2210" w:type="dxa"/>
            <w:tcBorders>
              <w:left w:val="nil"/>
            </w:tcBorders>
          </w:tcPr>
          <w:p>
            <w:pPr>
              <w:pStyle w:val="TableParagraph"/>
              <w:spacing w:before="2"/>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INTEGRAL</w:t>
            </w:r>
          </w:p>
        </w:tc>
        <w:tc>
          <w:tcPr>
            <w:tcW w:w="2543" w:type="dxa"/>
            <w:tcBorders>
              <w:left w:val="nil"/>
              <w:right w:val="nil"/>
            </w:tcBorders>
            <w:shd w:val="clear" w:color="auto" w:fill="E9F4FB"/>
          </w:tcPr>
          <w:p>
            <w:pPr>
              <w:pStyle w:val="TableParagraph"/>
              <w:spacing w:before="2"/>
              <w:ind w:left="1051"/>
              <w:rPr>
                <w:sz w:val="16"/>
              </w:rPr>
            </w:pPr>
            <w:r>
              <w:rPr>
                <w:sz w:val="16"/>
              </w:rPr>
              <w:t>DTU</w:t>
            </w:r>
          </w:p>
        </w:tc>
        <w:tc>
          <w:tcPr>
            <w:tcW w:w="1425" w:type="dxa"/>
            <w:tcBorders>
              <w:left w:val="nil"/>
              <w:right w:val="nil"/>
            </w:tcBorders>
            <w:shd w:val="clear" w:color="auto" w:fill="E9F4FB"/>
          </w:tcPr>
          <w:p>
            <w:pPr>
              <w:pStyle w:val="TableParagraph"/>
              <w:spacing w:before="2"/>
              <w:ind w:left="352"/>
              <w:rPr>
                <w:sz w:val="16"/>
              </w:rPr>
            </w:pPr>
            <w:r>
              <w:rPr>
                <w:sz w:val="16"/>
              </w:rPr>
              <w:t>2002</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MSG-1</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2002</w:t>
            </w:r>
          </w:p>
        </w:tc>
        <w:tc>
          <w:tcPr>
            <w:tcW w:w="2210" w:type="dxa"/>
            <w:tcBorders>
              <w:left w:val="nil"/>
            </w:tcBorders>
          </w:tcPr>
          <w:p>
            <w:pPr>
              <w:pStyle w:val="TableParagraph"/>
              <w:spacing w:before="2"/>
              <w:ind w:left="343"/>
              <w:rPr>
                <w:sz w:val="16"/>
              </w:rPr>
            </w:pPr>
            <w:r>
              <w:rPr>
                <w:sz w:val="16"/>
              </w:rPr>
              <w:t>ESA + Andre</w:t>
            </w:r>
          </w:p>
        </w:tc>
      </w:tr>
      <w:tr>
        <w:trPr>
          <w:trHeight w:val="267" w:hRule="atLeast"/>
        </w:trPr>
        <w:tc>
          <w:tcPr>
            <w:tcW w:w="2753" w:type="dxa"/>
            <w:tcBorders>
              <w:right w:val="nil"/>
            </w:tcBorders>
            <w:shd w:val="clear" w:color="auto" w:fill="E9F4FB"/>
          </w:tcPr>
          <w:p>
            <w:pPr>
              <w:pStyle w:val="TableParagraph"/>
              <w:spacing w:before="2"/>
              <w:rPr>
                <w:b/>
                <w:sz w:val="16"/>
              </w:rPr>
            </w:pPr>
            <w:r>
              <w:rPr>
                <w:b/>
                <w:sz w:val="16"/>
              </w:rPr>
              <w:t>Mars Express</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2003</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4"/>
              <w:rPr>
                <w:b/>
                <w:sz w:val="16"/>
              </w:rPr>
            </w:pPr>
            <w:r>
              <w:rPr>
                <w:b/>
                <w:sz w:val="16"/>
              </w:rPr>
              <w:t>AAU Cubesat</w:t>
            </w:r>
          </w:p>
        </w:tc>
        <w:tc>
          <w:tcPr>
            <w:tcW w:w="2543" w:type="dxa"/>
            <w:tcBorders>
              <w:left w:val="nil"/>
              <w:right w:val="nil"/>
            </w:tcBorders>
          </w:tcPr>
          <w:p>
            <w:pPr>
              <w:pStyle w:val="TableParagraph"/>
              <w:spacing w:before="4"/>
              <w:ind w:left="1051"/>
              <w:rPr>
                <w:sz w:val="16"/>
              </w:rPr>
            </w:pPr>
            <w:r>
              <w:rPr>
                <w:sz w:val="16"/>
              </w:rPr>
              <w:t>AAU</w:t>
            </w:r>
          </w:p>
        </w:tc>
        <w:tc>
          <w:tcPr>
            <w:tcW w:w="1425" w:type="dxa"/>
            <w:tcBorders>
              <w:left w:val="nil"/>
              <w:right w:val="nil"/>
            </w:tcBorders>
          </w:tcPr>
          <w:p>
            <w:pPr>
              <w:pStyle w:val="TableParagraph"/>
              <w:spacing w:before="4"/>
              <w:ind w:left="352"/>
              <w:rPr>
                <w:sz w:val="16"/>
              </w:rPr>
            </w:pPr>
            <w:r>
              <w:rPr>
                <w:sz w:val="16"/>
              </w:rPr>
              <w:t>2003</w:t>
            </w:r>
          </w:p>
        </w:tc>
        <w:tc>
          <w:tcPr>
            <w:tcW w:w="2210" w:type="dxa"/>
            <w:tcBorders>
              <w:left w:val="nil"/>
            </w:tcBorders>
          </w:tcPr>
          <w:p>
            <w:pPr>
              <w:pStyle w:val="TableParagraph"/>
              <w:spacing w:before="4"/>
              <w:ind w:left="343"/>
              <w:rPr>
                <w:sz w:val="16"/>
              </w:rPr>
            </w:pPr>
            <w:r>
              <w:rPr>
                <w:sz w:val="16"/>
              </w:rPr>
              <w:t>Dansk</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DTUsat-1</w:t>
            </w:r>
          </w:p>
        </w:tc>
        <w:tc>
          <w:tcPr>
            <w:tcW w:w="2543" w:type="dxa"/>
            <w:tcBorders>
              <w:left w:val="nil"/>
              <w:right w:val="nil"/>
            </w:tcBorders>
            <w:shd w:val="clear" w:color="auto" w:fill="E9F4FB"/>
          </w:tcPr>
          <w:p>
            <w:pPr>
              <w:pStyle w:val="TableParagraph"/>
              <w:spacing w:before="4"/>
              <w:ind w:left="1051"/>
              <w:rPr>
                <w:sz w:val="16"/>
              </w:rPr>
            </w:pPr>
            <w:r>
              <w:rPr>
                <w:sz w:val="16"/>
              </w:rPr>
              <w:t>DTU</w:t>
            </w:r>
          </w:p>
        </w:tc>
        <w:tc>
          <w:tcPr>
            <w:tcW w:w="1425" w:type="dxa"/>
            <w:tcBorders>
              <w:left w:val="nil"/>
              <w:right w:val="nil"/>
            </w:tcBorders>
            <w:shd w:val="clear" w:color="auto" w:fill="E9F4FB"/>
          </w:tcPr>
          <w:p>
            <w:pPr>
              <w:pStyle w:val="TableParagraph"/>
              <w:spacing w:before="4"/>
              <w:ind w:left="352"/>
              <w:rPr>
                <w:sz w:val="16"/>
              </w:rPr>
            </w:pPr>
            <w:r>
              <w:rPr>
                <w:sz w:val="16"/>
              </w:rPr>
              <w:t>2003</w:t>
            </w:r>
          </w:p>
        </w:tc>
        <w:tc>
          <w:tcPr>
            <w:tcW w:w="2210" w:type="dxa"/>
            <w:tcBorders>
              <w:left w:val="nil"/>
            </w:tcBorders>
            <w:shd w:val="clear" w:color="auto" w:fill="E9F4FB"/>
          </w:tcPr>
          <w:p>
            <w:pPr>
              <w:pStyle w:val="TableParagraph"/>
              <w:spacing w:before="4"/>
              <w:ind w:left="343"/>
              <w:rPr>
                <w:sz w:val="16"/>
              </w:rPr>
            </w:pPr>
            <w:r>
              <w:rPr>
                <w:sz w:val="16"/>
              </w:rPr>
              <w:t>Dansk</w:t>
            </w:r>
          </w:p>
        </w:tc>
      </w:tr>
      <w:tr>
        <w:trPr>
          <w:trHeight w:val="270" w:hRule="atLeast"/>
        </w:trPr>
        <w:tc>
          <w:tcPr>
            <w:tcW w:w="2753" w:type="dxa"/>
            <w:tcBorders>
              <w:right w:val="nil"/>
            </w:tcBorders>
          </w:tcPr>
          <w:p>
            <w:pPr>
              <w:pStyle w:val="TableParagraph"/>
              <w:spacing w:before="2"/>
              <w:rPr>
                <w:b/>
                <w:sz w:val="16"/>
              </w:rPr>
            </w:pPr>
            <w:r>
              <w:rPr>
                <w:b/>
                <w:sz w:val="16"/>
              </w:rPr>
              <w:t>Rosetta</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2004</w:t>
            </w:r>
          </w:p>
        </w:tc>
        <w:tc>
          <w:tcPr>
            <w:tcW w:w="2210" w:type="dxa"/>
            <w:tcBorders>
              <w:left w:val="nil"/>
            </w:tcBorders>
          </w:tcPr>
          <w:p>
            <w:pPr>
              <w:pStyle w:val="TableParagraph"/>
              <w:spacing w:before="2"/>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CryoSat</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2005</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MSG-2</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2005</w:t>
            </w:r>
          </w:p>
        </w:tc>
        <w:tc>
          <w:tcPr>
            <w:tcW w:w="2210" w:type="dxa"/>
            <w:tcBorders>
              <w:left w:val="nil"/>
            </w:tcBorders>
          </w:tcPr>
          <w:p>
            <w:pPr>
              <w:pStyle w:val="TableParagraph"/>
              <w:spacing w:before="2"/>
              <w:ind w:left="343"/>
              <w:rPr>
                <w:sz w:val="16"/>
              </w:rPr>
            </w:pPr>
            <w:r>
              <w:rPr>
                <w:sz w:val="16"/>
              </w:rPr>
              <w:t>ESA + Andre</w:t>
            </w:r>
          </w:p>
        </w:tc>
      </w:tr>
      <w:tr>
        <w:trPr>
          <w:trHeight w:val="268" w:hRule="atLeast"/>
        </w:trPr>
        <w:tc>
          <w:tcPr>
            <w:tcW w:w="2753" w:type="dxa"/>
            <w:tcBorders>
              <w:right w:val="nil"/>
            </w:tcBorders>
            <w:shd w:val="clear" w:color="auto" w:fill="E9F4FB"/>
          </w:tcPr>
          <w:p>
            <w:pPr>
              <w:pStyle w:val="TableParagraph"/>
              <w:spacing w:before="2"/>
              <w:rPr>
                <w:b/>
                <w:sz w:val="16"/>
              </w:rPr>
            </w:pPr>
            <w:r>
              <w:rPr>
                <w:b/>
                <w:sz w:val="16"/>
              </w:rPr>
              <w:t>Venus Express</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2005</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4"/>
              <w:rPr>
                <w:b/>
                <w:sz w:val="16"/>
              </w:rPr>
            </w:pPr>
            <w:r>
              <w:rPr>
                <w:b/>
                <w:sz w:val="16"/>
              </w:rPr>
              <w:t>Radarsat-2</w:t>
            </w:r>
          </w:p>
        </w:tc>
        <w:tc>
          <w:tcPr>
            <w:tcW w:w="2543" w:type="dxa"/>
            <w:tcBorders>
              <w:left w:val="nil"/>
              <w:right w:val="nil"/>
            </w:tcBorders>
          </w:tcPr>
          <w:p>
            <w:pPr>
              <w:pStyle w:val="TableParagraph"/>
              <w:spacing w:before="4"/>
              <w:ind w:left="1051"/>
              <w:rPr>
                <w:sz w:val="16"/>
              </w:rPr>
            </w:pPr>
            <w:r>
              <w:rPr>
                <w:sz w:val="16"/>
              </w:rPr>
              <w:t>Terma</w:t>
            </w:r>
          </w:p>
        </w:tc>
        <w:tc>
          <w:tcPr>
            <w:tcW w:w="1425" w:type="dxa"/>
            <w:tcBorders>
              <w:left w:val="nil"/>
              <w:right w:val="nil"/>
            </w:tcBorders>
          </w:tcPr>
          <w:p>
            <w:pPr>
              <w:pStyle w:val="TableParagraph"/>
              <w:spacing w:before="4"/>
              <w:ind w:left="352"/>
              <w:rPr>
                <w:sz w:val="16"/>
              </w:rPr>
            </w:pPr>
            <w:r>
              <w:rPr>
                <w:sz w:val="16"/>
              </w:rPr>
              <w:t>2007</w:t>
            </w:r>
          </w:p>
        </w:tc>
        <w:tc>
          <w:tcPr>
            <w:tcW w:w="2210" w:type="dxa"/>
            <w:tcBorders>
              <w:left w:val="nil"/>
            </w:tcBorders>
          </w:tcPr>
          <w:p>
            <w:pPr>
              <w:pStyle w:val="TableParagraph"/>
              <w:spacing w:before="4"/>
              <w:ind w:left="343"/>
              <w:rPr>
                <w:sz w:val="16"/>
              </w:rPr>
            </w:pPr>
            <w:r>
              <w:rPr>
                <w:sz w:val="16"/>
              </w:rPr>
              <w:t>Andre</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GRACE</w:t>
            </w:r>
          </w:p>
        </w:tc>
        <w:tc>
          <w:tcPr>
            <w:tcW w:w="2543" w:type="dxa"/>
            <w:tcBorders>
              <w:left w:val="nil"/>
              <w:right w:val="nil"/>
            </w:tcBorders>
            <w:shd w:val="clear" w:color="auto" w:fill="E9F4FB"/>
          </w:tcPr>
          <w:p>
            <w:pPr>
              <w:pStyle w:val="TableParagraph"/>
              <w:spacing w:before="4"/>
              <w:ind w:left="1051"/>
              <w:rPr>
                <w:sz w:val="16"/>
              </w:rPr>
            </w:pPr>
            <w:r>
              <w:rPr>
                <w:sz w:val="16"/>
              </w:rPr>
              <w:t>DTU</w:t>
            </w:r>
          </w:p>
        </w:tc>
        <w:tc>
          <w:tcPr>
            <w:tcW w:w="1425" w:type="dxa"/>
            <w:tcBorders>
              <w:left w:val="nil"/>
              <w:right w:val="nil"/>
            </w:tcBorders>
            <w:shd w:val="clear" w:color="auto" w:fill="E9F4FB"/>
          </w:tcPr>
          <w:p>
            <w:pPr>
              <w:pStyle w:val="TableParagraph"/>
              <w:spacing w:before="4"/>
              <w:ind w:left="352"/>
              <w:rPr>
                <w:sz w:val="16"/>
              </w:rPr>
            </w:pPr>
            <w:r>
              <w:rPr>
                <w:sz w:val="16"/>
              </w:rPr>
              <w:t>2008</w:t>
            </w:r>
          </w:p>
        </w:tc>
        <w:tc>
          <w:tcPr>
            <w:tcW w:w="2210" w:type="dxa"/>
            <w:tcBorders>
              <w:left w:val="nil"/>
            </w:tcBorders>
            <w:shd w:val="clear" w:color="auto" w:fill="E9F4FB"/>
          </w:tcPr>
          <w:p>
            <w:pPr>
              <w:pStyle w:val="TableParagraph"/>
              <w:spacing w:before="4"/>
              <w:ind w:left="343"/>
              <w:rPr>
                <w:sz w:val="16"/>
              </w:rPr>
            </w:pPr>
            <w:r>
              <w:rPr>
                <w:sz w:val="16"/>
              </w:rPr>
              <w:t>NASA</w:t>
            </w:r>
          </w:p>
        </w:tc>
      </w:tr>
      <w:tr>
        <w:trPr>
          <w:trHeight w:val="270" w:hRule="atLeast"/>
        </w:trPr>
        <w:tc>
          <w:tcPr>
            <w:tcW w:w="2753" w:type="dxa"/>
            <w:tcBorders>
              <w:right w:val="nil"/>
            </w:tcBorders>
          </w:tcPr>
          <w:p>
            <w:pPr>
              <w:pStyle w:val="TableParagraph"/>
              <w:spacing w:before="2"/>
              <w:rPr>
                <w:b/>
                <w:sz w:val="16"/>
              </w:rPr>
            </w:pPr>
            <w:r>
              <w:rPr>
                <w:b/>
                <w:sz w:val="16"/>
              </w:rPr>
              <w:t>AAUSat-2</w:t>
            </w:r>
          </w:p>
        </w:tc>
        <w:tc>
          <w:tcPr>
            <w:tcW w:w="2543" w:type="dxa"/>
            <w:tcBorders>
              <w:left w:val="nil"/>
              <w:right w:val="nil"/>
            </w:tcBorders>
          </w:tcPr>
          <w:p>
            <w:pPr>
              <w:pStyle w:val="TableParagraph"/>
              <w:spacing w:before="2"/>
              <w:ind w:left="1051"/>
              <w:rPr>
                <w:sz w:val="16"/>
              </w:rPr>
            </w:pPr>
            <w:r>
              <w:rPr>
                <w:sz w:val="16"/>
              </w:rPr>
              <w:t>AAU</w:t>
            </w:r>
          </w:p>
        </w:tc>
        <w:tc>
          <w:tcPr>
            <w:tcW w:w="1425" w:type="dxa"/>
            <w:tcBorders>
              <w:left w:val="nil"/>
              <w:right w:val="nil"/>
            </w:tcBorders>
          </w:tcPr>
          <w:p>
            <w:pPr>
              <w:pStyle w:val="TableParagraph"/>
              <w:spacing w:before="2"/>
              <w:ind w:left="352"/>
              <w:rPr>
                <w:sz w:val="16"/>
              </w:rPr>
            </w:pPr>
            <w:r>
              <w:rPr>
                <w:sz w:val="16"/>
              </w:rPr>
              <w:t>2008</w:t>
            </w:r>
          </w:p>
        </w:tc>
        <w:tc>
          <w:tcPr>
            <w:tcW w:w="2210" w:type="dxa"/>
            <w:tcBorders>
              <w:left w:val="nil"/>
            </w:tcBorders>
          </w:tcPr>
          <w:p>
            <w:pPr>
              <w:pStyle w:val="TableParagraph"/>
              <w:spacing w:before="2"/>
              <w:ind w:left="343"/>
              <w:rPr>
                <w:sz w:val="16"/>
              </w:rPr>
            </w:pPr>
            <w:r>
              <w:rPr>
                <w:sz w:val="16"/>
              </w:rPr>
              <w:t>Dansk</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Herschel</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2009</w:t>
            </w:r>
          </w:p>
        </w:tc>
        <w:tc>
          <w:tcPr>
            <w:tcW w:w="2210" w:type="dxa"/>
            <w:tcBorders>
              <w:left w:val="nil"/>
            </w:tcBorders>
            <w:shd w:val="clear" w:color="auto" w:fill="E9F4FB"/>
          </w:tcPr>
          <w:p>
            <w:pPr>
              <w:pStyle w:val="TableParagraph"/>
              <w:spacing w:before="2"/>
              <w:ind w:left="343"/>
              <w:rPr>
                <w:sz w:val="16"/>
              </w:rPr>
            </w:pPr>
            <w:r>
              <w:rPr>
                <w:sz w:val="16"/>
              </w:rPr>
              <w:t>ESA + NASA</w:t>
            </w:r>
          </w:p>
        </w:tc>
      </w:tr>
      <w:tr>
        <w:trPr>
          <w:trHeight w:val="270" w:hRule="atLeast"/>
        </w:trPr>
        <w:tc>
          <w:tcPr>
            <w:tcW w:w="2753" w:type="dxa"/>
            <w:tcBorders>
              <w:right w:val="nil"/>
            </w:tcBorders>
          </w:tcPr>
          <w:p>
            <w:pPr>
              <w:pStyle w:val="TableParagraph"/>
              <w:spacing w:before="2"/>
              <w:rPr>
                <w:b/>
                <w:sz w:val="16"/>
              </w:rPr>
            </w:pPr>
            <w:r>
              <w:rPr>
                <w:b/>
                <w:sz w:val="16"/>
              </w:rPr>
              <w:t>Planck</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2009</w:t>
            </w:r>
          </w:p>
        </w:tc>
        <w:tc>
          <w:tcPr>
            <w:tcW w:w="2210" w:type="dxa"/>
            <w:tcBorders>
              <w:left w:val="nil"/>
            </w:tcBorders>
          </w:tcPr>
          <w:p>
            <w:pPr>
              <w:pStyle w:val="TableParagraph"/>
              <w:spacing w:before="2"/>
              <w:ind w:left="343"/>
              <w:rPr>
                <w:sz w:val="16"/>
              </w:rPr>
            </w:pPr>
            <w:r>
              <w:rPr>
                <w:sz w:val="16"/>
              </w:rPr>
              <w:t>ESA</w:t>
            </w:r>
          </w:p>
        </w:tc>
      </w:tr>
      <w:tr>
        <w:trPr>
          <w:trHeight w:val="268" w:hRule="atLeast"/>
        </w:trPr>
        <w:tc>
          <w:tcPr>
            <w:tcW w:w="2753" w:type="dxa"/>
            <w:tcBorders>
              <w:right w:val="nil"/>
            </w:tcBorders>
            <w:shd w:val="clear" w:color="auto" w:fill="E9F4FB"/>
          </w:tcPr>
          <w:p>
            <w:pPr>
              <w:pStyle w:val="TableParagraph"/>
              <w:spacing w:before="2"/>
              <w:rPr>
                <w:b/>
                <w:sz w:val="16"/>
              </w:rPr>
            </w:pPr>
            <w:r>
              <w:rPr>
                <w:b/>
                <w:sz w:val="16"/>
              </w:rPr>
              <w:t>Planck</w:t>
            </w:r>
          </w:p>
        </w:tc>
        <w:tc>
          <w:tcPr>
            <w:tcW w:w="2543" w:type="dxa"/>
            <w:tcBorders>
              <w:left w:val="nil"/>
              <w:right w:val="nil"/>
            </w:tcBorders>
            <w:shd w:val="clear" w:color="auto" w:fill="E9F4FB"/>
          </w:tcPr>
          <w:p>
            <w:pPr>
              <w:pStyle w:val="TableParagraph"/>
              <w:spacing w:before="2"/>
              <w:ind w:left="1051"/>
              <w:rPr>
                <w:sz w:val="16"/>
              </w:rPr>
            </w:pPr>
            <w:r>
              <w:rPr>
                <w:sz w:val="16"/>
              </w:rPr>
              <w:t>DTU</w:t>
            </w:r>
          </w:p>
        </w:tc>
        <w:tc>
          <w:tcPr>
            <w:tcW w:w="1425" w:type="dxa"/>
            <w:tcBorders>
              <w:left w:val="nil"/>
              <w:right w:val="nil"/>
            </w:tcBorders>
            <w:shd w:val="clear" w:color="auto" w:fill="E9F4FB"/>
          </w:tcPr>
          <w:p>
            <w:pPr>
              <w:pStyle w:val="TableParagraph"/>
              <w:spacing w:before="2"/>
              <w:ind w:left="352"/>
              <w:rPr>
                <w:sz w:val="16"/>
              </w:rPr>
            </w:pPr>
            <w:r>
              <w:rPr>
                <w:sz w:val="16"/>
              </w:rPr>
              <w:t>2009</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4"/>
              <w:rPr>
                <w:b/>
                <w:sz w:val="16"/>
              </w:rPr>
            </w:pPr>
            <w:r>
              <w:rPr>
                <w:b/>
                <w:sz w:val="16"/>
              </w:rPr>
              <w:t>SMOS</w:t>
            </w:r>
          </w:p>
        </w:tc>
        <w:tc>
          <w:tcPr>
            <w:tcW w:w="2543" w:type="dxa"/>
            <w:tcBorders>
              <w:left w:val="nil"/>
              <w:right w:val="nil"/>
            </w:tcBorders>
          </w:tcPr>
          <w:p>
            <w:pPr>
              <w:pStyle w:val="TableParagraph"/>
              <w:spacing w:before="4"/>
              <w:ind w:left="1051"/>
              <w:rPr>
                <w:sz w:val="16"/>
              </w:rPr>
            </w:pPr>
            <w:r>
              <w:rPr>
                <w:sz w:val="16"/>
              </w:rPr>
              <w:t>DTU</w:t>
            </w:r>
          </w:p>
        </w:tc>
        <w:tc>
          <w:tcPr>
            <w:tcW w:w="1425" w:type="dxa"/>
            <w:tcBorders>
              <w:left w:val="nil"/>
              <w:right w:val="nil"/>
            </w:tcBorders>
          </w:tcPr>
          <w:p>
            <w:pPr>
              <w:pStyle w:val="TableParagraph"/>
              <w:spacing w:before="4"/>
              <w:ind w:left="352"/>
              <w:rPr>
                <w:sz w:val="16"/>
              </w:rPr>
            </w:pPr>
            <w:r>
              <w:rPr>
                <w:sz w:val="16"/>
              </w:rPr>
              <w:t>2009</w:t>
            </w:r>
          </w:p>
        </w:tc>
        <w:tc>
          <w:tcPr>
            <w:tcW w:w="2210" w:type="dxa"/>
            <w:tcBorders>
              <w:left w:val="nil"/>
            </w:tcBorders>
          </w:tcPr>
          <w:p>
            <w:pPr>
              <w:pStyle w:val="TableParagraph"/>
              <w:spacing w:before="4"/>
              <w:ind w:left="343"/>
              <w:rPr>
                <w:sz w:val="16"/>
              </w:rPr>
            </w:pPr>
            <w:r>
              <w:rPr>
                <w:sz w:val="16"/>
              </w:rPr>
              <w:t>ESA</w:t>
            </w:r>
          </w:p>
        </w:tc>
      </w:tr>
      <w:tr>
        <w:trPr>
          <w:trHeight w:val="271" w:hRule="atLeast"/>
        </w:trPr>
        <w:tc>
          <w:tcPr>
            <w:tcW w:w="2753" w:type="dxa"/>
            <w:tcBorders>
              <w:right w:val="nil"/>
            </w:tcBorders>
            <w:shd w:val="clear" w:color="auto" w:fill="E9F4FB"/>
          </w:tcPr>
          <w:p>
            <w:pPr>
              <w:pStyle w:val="TableParagraph"/>
              <w:spacing w:before="5"/>
              <w:rPr>
                <w:b/>
                <w:sz w:val="16"/>
              </w:rPr>
            </w:pPr>
            <w:r>
              <w:rPr>
                <w:b/>
                <w:sz w:val="16"/>
              </w:rPr>
              <w:t>Terahertz kamera</w:t>
            </w:r>
          </w:p>
        </w:tc>
        <w:tc>
          <w:tcPr>
            <w:tcW w:w="2543" w:type="dxa"/>
            <w:tcBorders>
              <w:left w:val="nil"/>
              <w:right w:val="nil"/>
            </w:tcBorders>
            <w:shd w:val="clear" w:color="auto" w:fill="E9F4FB"/>
          </w:tcPr>
          <w:p>
            <w:pPr>
              <w:pStyle w:val="TableParagraph"/>
              <w:spacing w:before="5"/>
              <w:ind w:left="1051"/>
              <w:rPr>
                <w:sz w:val="16"/>
              </w:rPr>
            </w:pPr>
            <w:r>
              <w:rPr>
                <w:sz w:val="16"/>
              </w:rPr>
              <w:t>DTU</w:t>
            </w:r>
          </w:p>
        </w:tc>
        <w:tc>
          <w:tcPr>
            <w:tcW w:w="1425" w:type="dxa"/>
            <w:tcBorders>
              <w:left w:val="nil"/>
              <w:right w:val="nil"/>
            </w:tcBorders>
            <w:shd w:val="clear" w:color="auto" w:fill="E9F4FB"/>
          </w:tcPr>
          <w:p>
            <w:pPr>
              <w:pStyle w:val="TableParagraph"/>
              <w:spacing w:before="5"/>
              <w:ind w:left="352"/>
              <w:rPr>
                <w:sz w:val="16"/>
              </w:rPr>
            </w:pPr>
            <w:r>
              <w:rPr>
                <w:sz w:val="16"/>
              </w:rPr>
              <w:t>2009</w:t>
            </w:r>
          </w:p>
        </w:tc>
        <w:tc>
          <w:tcPr>
            <w:tcW w:w="2210" w:type="dxa"/>
            <w:tcBorders>
              <w:left w:val="nil"/>
            </w:tcBorders>
            <w:shd w:val="clear" w:color="auto" w:fill="E9F4FB"/>
          </w:tcPr>
          <w:p>
            <w:pPr>
              <w:pStyle w:val="TableParagraph"/>
              <w:spacing w:before="5"/>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CryoSat2</w:t>
            </w:r>
          </w:p>
        </w:tc>
        <w:tc>
          <w:tcPr>
            <w:tcW w:w="2543" w:type="dxa"/>
            <w:tcBorders>
              <w:left w:val="nil"/>
              <w:right w:val="nil"/>
            </w:tcBorders>
          </w:tcPr>
          <w:p>
            <w:pPr>
              <w:pStyle w:val="TableParagraph"/>
              <w:spacing w:before="2"/>
              <w:ind w:left="1051"/>
              <w:rPr>
                <w:sz w:val="16"/>
              </w:rPr>
            </w:pPr>
            <w:r>
              <w:rPr>
                <w:sz w:val="16"/>
              </w:rPr>
              <w:t>Terma</w:t>
            </w:r>
          </w:p>
        </w:tc>
        <w:tc>
          <w:tcPr>
            <w:tcW w:w="1425" w:type="dxa"/>
            <w:tcBorders>
              <w:left w:val="nil"/>
              <w:right w:val="nil"/>
            </w:tcBorders>
          </w:tcPr>
          <w:p>
            <w:pPr>
              <w:pStyle w:val="TableParagraph"/>
              <w:spacing w:before="2"/>
              <w:ind w:left="352"/>
              <w:rPr>
                <w:sz w:val="16"/>
              </w:rPr>
            </w:pPr>
            <w:r>
              <w:rPr>
                <w:sz w:val="16"/>
              </w:rPr>
              <w:t>2010</w:t>
            </w:r>
          </w:p>
        </w:tc>
        <w:tc>
          <w:tcPr>
            <w:tcW w:w="2210" w:type="dxa"/>
            <w:tcBorders>
              <w:left w:val="nil"/>
            </w:tcBorders>
          </w:tcPr>
          <w:p>
            <w:pPr>
              <w:pStyle w:val="TableParagraph"/>
              <w:spacing w:before="2"/>
              <w:ind w:left="343"/>
              <w:rPr>
                <w:sz w:val="16"/>
              </w:rPr>
            </w:pPr>
            <w:r>
              <w:rPr>
                <w:sz w:val="16"/>
              </w:rPr>
              <w:t>ESA</w:t>
            </w:r>
          </w:p>
        </w:tc>
      </w:tr>
      <w:tr>
        <w:trPr>
          <w:trHeight w:val="270" w:hRule="atLeast"/>
        </w:trPr>
        <w:tc>
          <w:tcPr>
            <w:tcW w:w="2753" w:type="dxa"/>
            <w:tcBorders>
              <w:right w:val="nil"/>
            </w:tcBorders>
            <w:shd w:val="clear" w:color="auto" w:fill="E9F4FB"/>
          </w:tcPr>
          <w:p>
            <w:pPr>
              <w:pStyle w:val="TableParagraph"/>
              <w:spacing w:before="2"/>
              <w:rPr>
                <w:b/>
                <w:sz w:val="16"/>
              </w:rPr>
            </w:pPr>
            <w:r>
              <w:rPr>
                <w:b/>
                <w:sz w:val="16"/>
              </w:rPr>
              <w:t>Cryosat2</w:t>
            </w:r>
          </w:p>
        </w:tc>
        <w:tc>
          <w:tcPr>
            <w:tcW w:w="2543" w:type="dxa"/>
            <w:tcBorders>
              <w:left w:val="nil"/>
              <w:right w:val="nil"/>
            </w:tcBorders>
            <w:shd w:val="clear" w:color="auto" w:fill="E9F4FB"/>
          </w:tcPr>
          <w:p>
            <w:pPr>
              <w:pStyle w:val="TableParagraph"/>
              <w:spacing w:before="2"/>
              <w:ind w:left="1051"/>
              <w:rPr>
                <w:sz w:val="16"/>
              </w:rPr>
            </w:pPr>
            <w:r>
              <w:rPr>
                <w:sz w:val="16"/>
              </w:rPr>
              <w:t>DTU</w:t>
            </w:r>
          </w:p>
        </w:tc>
        <w:tc>
          <w:tcPr>
            <w:tcW w:w="1425" w:type="dxa"/>
            <w:tcBorders>
              <w:left w:val="nil"/>
              <w:right w:val="nil"/>
            </w:tcBorders>
            <w:shd w:val="clear" w:color="auto" w:fill="E9F4FB"/>
          </w:tcPr>
          <w:p>
            <w:pPr>
              <w:pStyle w:val="TableParagraph"/>
              <w:spacing w:before="2"/>
              <w:ind w:left="352"/>
              <w:rPr>
                <w:sz w:val="16"/>
              </w:rPr>
            </w:pPr>
            <w:r>
              <w:rPr>
                <w:sz w:val="16"/>
              </w:rPr>
              <w:t>2010</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2"/>
              <w:rPr>
                <w:b/>
                <w:sz w:val="16"/>
              </w:rPr>
            </w:pPr>
            <w:r>
              <w:rPr>
                <w:b/>
                <w:sz w:val="16"/>
              </w:rPr>
              <w:t>Juno</w:t>
            </w:r>
          </w:p>
        </w:tc>
        <w:tc>
          <w:tcPr>
            <w:tcW w:w="2543" w:type="dxa"/>
            <w:tcBorders>
              <w:left w:val="nil"/>
              <w:right w:val="nil"/>
            </w:tcBorders>
          </w:tcPr>
          <w:p>
            <w:pPr>
              <w:pStyle w:val="TableParagraph"/>
              <w:spacing w:before="2"/>
              <w:ind w:left="1051"/>
              <w:rPr>
                <w:sz w:val="16"/>
              </w:rPr>
            </w:pPr>
            <w:r>
              <w:rPr>
                <w:sz w:val="16"/>
              </w:rPr>
              <w:t>DTU</w:t>
            </w:r>
          </w:p>
        </w:tc>
        <w:tc>
          <w:tcPr>
            <w:tcW w:w="1425" w:type="dxa"/>
            <w:tcBorders>
              <w:left w:val="nil"/>
              <w:right w:val="nil"/>
            </w:tcBorders>
          </w:tcPr>
          <w:p>
            <w:pPr>
              <w:pStyle w:val="TableParagraph"/>
              <w:spacing w:before="2"/>
              <w:ind w:left="352"/>
              <w:rPr>
                <w:sz w:val="16"/>
              </w:rPr>
            </w:pPr>
            <w:r>
              <w:rPr>
                <w:sz w:val="16"/>
              </w:rPr>
              <w:t>2011</w:t>
            </w:r>
          </w:p>
        </w:tc>
        <w:tc>
          <w:tcPr>
            <w:tcW w:w="2210" w:type="dxa"/>
            <w:tcBorders>
              <w:left w:val="nil"/>
            </w:tcBorders>
          </w:tcPr>
          <w:p>
            <w:pPr>
              <w:pStyle w:val="TableParagraph"/>
              <w:spacing w:before="2"/>
              <w:ind w:left="343"/>
              <w:rPr>
                <w:sz w:val="16"/>
              </w:rPr>
            </w:pPr>
            <w:r>
              <w:rPr>
                <w:sz w:val="16"/>
              </w:rPr>
              <w:t>NASA</w:t>
            </w:r>
          </w:p>
        </w:tc>
      </w:tr>
      <w:tr>
        <w:trPr>
          <w:trHeight w:val="267" w:hRule="atLeast"/>
        </w:trPr>
        <w:tc>
          <w:tcPr>
            <w:tcW w:w="2753" w:type="dxa"/>
            <w:tcBorders>
              <w:right w:val="nil"/>
            </w:tcBorders>
            <w:shd w:val="clear" w:color="auto" w:fill="E9F4FB"/>
          </w:tcPr>
          <w:p>
            <w:pPr>
              <w:pStyle w:val="TableParagraph"/>
              <w:spacing w:before="2"/>
              <w:rPr>
                <w:b/>
                <w:sz w:val="16"/>
              </w:rPr>
            </w:pPr>
            <w:r>
              <w:rPr>
                <w:b/>
                <w:sz w:val="16"/>
              </w:rPr>
              <w:t>Galileo</w:t>
            </w:r>
          </w:p>
        </w:tc>
        <w:tc>
          <w:tcPr>
            <w:tcW w:w="2543" w:type="dxa"/>
            <w:tcBorders>
              <w:left w:val="nil"/>
              <w:right w:val="nil"/>
            </w:tcBorders>
            <w:shd w:val="clear" w:color="auto" w:fill="E9F4FB"/>
          </w:tcPr>
          <w:p>
            <w:pPr>
              <w:pStyle w:val="TableParagraph"/>
              <w:spacing w:before="2"/>
              <w:ind w:left="1051"/>
              <w:rPr>
                <w:sz w:val="16"/>
              </w:rPr>
            </w:pPr>
            <w:r>
              <w:rPr>
                <w:sz w:val="16"/>
              </w:rPr>
              <w:t>Terma</w:t>
            </w:r>
          </w:p>
        </w:tc>
        <w:tc>
          <w:tcPr>
            <w:tcW w:w="1425" w:type="dxa"/>
            <w:tcBorders>
              <w:left w:val="nil"/>
              <w:right w:val="nil"/>
            </w:tcBorders>
            <w:shd w:val="clear" w:color="auto" w:fill="E9F4FB"/>
          </w:tcPr>
          <w:p>
            <w:pPr>
              <w:pStyle w:val="TableParagraph"/>
              <w:spacing w:before="2"/>
              <w:ind w:left="352"/>
              <w:rPr>
                <w:sz w:val="16"/>
              </w:rPr>
            </w:pPr>
            <w:r>
              <w:rPr>
                <w:sz w:val="16"/>
              </w:rPr>
              <w:t>2011</w:t>
            </w:r>
          </w:p>
        </w:tc>
        <w:tc>
          <w:tcPr>
            <w:tcW w:w="2210" w:type="dxa"/>
            <w:tcBorders>
              <w:left w:val="nil"/>
            </w:tcBorders>
            <w:shd w:val="clear" w:color="auto" w:fill="E9F4FB"/>
          </w:tcPr>
          <w:p>
            <w:pPr>
              <w:pStyle w:val="TableParagraph"/>
              <w:spacing w:before="2"/>
              <w:ind w:left="343"/>
              <w:rPr>
                <w:sz w:val="16"/>
              </w:rPr>
            </w:pPr>
            <w:r>
              <w:rPr>
                <w:sz w:val="16"/>
              </w:rPr>
              <w:t>ESA</w:t>
            </w:r>
          </w:p>
        </w:tc>
      </w:tr>
      <w:tr>
        <w:trPr>
          <w:trHeight w:val="270" w:hRule="atLeast"/>
        </w:trPr>
        <w:tc>
          <w:tcPr>
            <w:tcW w:w="2753" w:type="dxa"/>
            <w:tcBorders>
              <w:right w:val="nil"/>
            </w:tcBorders>
          </w:tcPr>
          <w:p>
            <w:pPr>
              <w:pStyle w:val="TableParagraph"/>
              <w:spacing w:before="4"/>
              <w:rPr>
                <w:b/>
                <w:sz w:val="16"/>
              </w:rPr>
            </w:pPr>
            <w:r>
              <w:rPr>
                <w:b/>
                <w:sz w:val="16"/>
              </w:rPr>
              <w:t>MSG-3</w:t>
            </w:r>
          </w:p>
        </w:tc>
        <w:tc>
          <w:tcPr>
            <w:tcW w:w="2543" w:type="dxa"/>
            <w:tcBorders>
              <w:left w:val="nil"/>
              <w:right w:val="nil"/>
            </w:tcBorders>
          </w:tcPr>
          <w:p>
            <w:pPr>
              <w:pStyle w:val="TableParagraph"/>
              <w:spacing w:before="4"/>
              <w:ind w:left="1051"/>
              <w:rPr>
                <w:sz w:val="16"/>
              </w:rPr>
            </w:pPr>
            <w:r>
              <w:rPr>
                <w:sz w:val="16"/>
              </w:rPr>
              <w:t>Terma</w:t>
            </w:r>
          </w:p>
        </w:tc>
        <w:tc>
          <w:tcPr>
            <w:tcW w:w="1425" w:type="dxa"/>
            <w:tcBorders>
              <w:left w:val="nil"/>
              <w:right w:val="nil"/>
            </w:tcBorders>
          </w:tcPr>
          <w:p>
            <w:pPr>
              <w:pStyle w:val="TableParagraph"/>
              <w:spacing w:before="4"/>
              <w:ind w:left="352"/>
              <w:rPr>
                <w:sz w:val="16"/>
              </w:rPr>
            </w:pPr>
            <w:r>
              <w:rPr>
                <w:sz w:val="16"/>
              </w:rPr>
              <w:t>2012</w:t>
            </w:r>
          </w:p>
        </w:tc>
        <w:tc>
          <w:tcPr>
            <w:tcW w:w="2210" w:type="dxa"/>
            <w:tcBorders>
              <w:left w:val="nil"/>
            </w:tcBorders>
          </w:tcPr>
          <w:p>
            <w:pPr>
              <w:pStyle w:val="TableParagraph"/>
              <w:spacing w:before="4"/>
              <w:ind w:left="343"/>
              <w:rPr>
                <w:sz w:val="16"/>
              </w:rPr>
            </w:pPr>
            <w:r>
              <w:rPr>
                <w:sz w:val="16"/>
              </w:rPr>
              <w:t>ESA + Andre</w:t>
            </w:r>
          </w:p>
        </w:tc>
      </w:tr>
      <w:tr>
        <w:trPr>
          <w:trHeight w:val="270" w:hRule="atLeast"/>
        </w:trPr>
        <w:tc>
          <w:tcPr>
            <w:tcW w:w="2753" w:type="dxa"/>
            <w:tcBorders>
              <w:right w:val="nil"/>
            </w:tcBorders>
            <w:shd w:val="clear" w:color="auto" w:fill="E9F4FB"/>
          </w:tcPr>
          <w:p>
            <w:pPr>
              <w:pStyle w:val="TableParagraph"/>
              <w:spacing w:before="4"/>
              <w:rPr>
                <w:b/>
                <w:sz w:val="16"/>
              </w:rPr>
            </w:pPr>
            <w:r>
              <w:rPr>
                <w:b/>
                <w:sz w:val="16"/>
              </w:rPr>
              <w:t>NuSTAR</w:t>
            </w:r>
          </w:p>
        </w:tc>
        <w:tc>
          <w:tcPr>
            <w:tcW w:w="2543" w:type="dxa"/>
            <w:tcBorders>
              <w:left w:val="nil"/>
              <w:right w:val="nil"/>
            </w:tcBorders>
            <w:shd w:val="clear" w:color="auto" w:fill="E9F4FB"/>
          </w:tcPr>
          <w:p>
            <w:pPr>
              <w:pStyle w:val="TableParagraph"/>
              <w:spacing w:before="4"/>
              <w:ind w:left="1051"/>
              <w:rPr>
                <w:sz w:val="16"/>
              </w:rPr>
            </w:pPr>
            <w:r>
              <w:rPr>
                <w:sz w:val="16"/>
              </w:rPr>
              <w:t>DTU</w:t>
            </w:r>
          </w:p>
        </w:tc>
        <w:tc>
          <w:tcPr>
            <w:tcW w:w="1425" w:type="dxa"/>
            <w:tcBorders>
              <w:left w:val="nil"/>
              <w:right w:val="nil"/>
            </w:tcBorders>
            <w:shd w:val="clear" w:color="auto" w:fill="E9F4FB"/>
          </w:tcPr>
          <w:p>
            <w:pPr>
              <w:pStyle w:val="TableParagraph"/>
              <w:spacing w:before="4"/>
              <w:ind w:left="352"/>
              <w:rPr>
                <w:sz w:val="16"/>
              </w:rPr>
            </w:pPr>
            <w:r>
              <w:rPr>
                <w:sz w:val="16"/>
              </w:rPr>
              <w:t>2012</w:t>
            </w:r>
          </w:p>
        </w:tc>
        <w:tc>
          <w:tcPr>
            <w:tcW w:w="2210" w:type="dxa"/>
            <w:tcBorders>
              <w:left w:val="nil"/>
            </w:tcBorders>
            <w:shd w:val="clear" w:color="auto" w:fill="E9F4FB"/>
          </w:tcPr>
          <w:p>
            <w:pPr>
              <w:pStyle w:val="TableParagraph"/>
              <w:spacing w:before="4"/>
              <w:ind w:left="343"/>
              <w:rPr>
                <w:sz w:val="16"/>
              </w:rPr>
            </w:pPr>
            <w:r>
              <w:rPr>
                <w:sz w:val="16"/>
              </w:rPr>
              <w:t>NASA + Andre</w:t>
            </w:r>
          </w:p>
        </w:tc>
      </w:tr>
    </w:tbl>
    <w:p>
      <w:pPr>
        <w:spacing w:after="0"/>
        <w:rPr>
          <w:sz w:val="16"/>
        </w:rPr>
        <w:sectPr>
          <w:pgSz w:w="11910" w:h="16840"/>
          <w:pgMar w:header="0" w:footer="539" w:top="1580" w:bottom="800" w:left="960" w:right="0"/>
        </w:sectPr>
      </w:pPr>
    </w:p>
    <w:p>
      <w:pPr>
        <w:pStyle w:val="BodyText"/>
        <w:spacing w:before="11"/>
        <w:rPr>
          <w:rFonts w:ascii="Times New Roman"/>
          <w:sz w:val="8"/>
        </w:rPr>
      </w:pPr>
    </w:p>
    <w:tbl>
      <w:tblPr>
        <w:tblW w:w="0" w:type="auto"/>
        <w:jc w:val="left"/>
        <w:tblInd w:w="644" w:type="dxa"/>
        <w:tblBorders>
          <w:top w:val="single" w:sz="8" w:space="0" w:color="BBDDF7"/>
          <w:left w:val="single" w:sz="8" w:space="0" w:color="BBDDF7"/>
          <w:bottom w:val="single" w:sz="8" w:space="0" w:color="BBDDF7"/>
          <w:right w:val="single" w:sz="8" w:space="0" w:color="BBDDF7"/>
          <w:insideH w:val="single" w:sz="8" w:space="0" w:color="BBDDF7"/>
          <w:insideV w:val="single" w:sz="8" w:space="0" w:color="BBDDF7"/>
        </w:tblBorders>
        <w:tblLayout w:type="fixed"/>
        <w:tblCellMar>
          <w:top w:w="0" w:type="dxa"/>
          <w:left w:w="0" w:type="dxa"/>
          <w:bottom w:w="0" w:type="dxa"/>
          <w:right w:w="0" w:type="dxa"/>
        </w:tblCellMar>
        <w:tblLook w:val="01E0"/>
      </w:tblPr>
      <w:tblGrid>
        <w:gridCol w:w="3285"/>
        <w:gridCol w:w="2012"/>
        <w:gridCol w:w="1426"/>
        <w:gridCol w:w="2211"/>
      </w:tblGrid>
      <w:tr>
        <w:trPr>
          <w:trHeight w:val="270" w:hRule="atLeast"/>
        </w:trPr>
        <w:tc>
          <w:tcPr>
            <w:tcW w:w="3285" w:type="dxa"/>
            <w:tcBorders>
              <w:right w:val="nil"/>
            </w:tcBorders>
            <w:shd w:val="clear" w:color="auto" w:fill="A7D2F5"/>
          </w:tcPr>
          <w:p>
            <w:pPr>
              <w:pStyle w:val="TableParagraph"/>
              <w:spacing w:before="2"/>
              <w:rPr>
                <w:b/>
                <w:sz w:val="16"/>
              </w:rPr>
            </w:pPr>
            <w:r>
              <w:rPr>
                <w:b/>
                <w:color w:val="FFFFFF"/>
                <w:sz w:val="16"/>
              </w:rPr>
              <w:t>Mission</w:t>
            </w:r>
          </w:p>
        </w:tc>
        <w:tc>
          <w:tcPr>
            <w:tcW w:w="2012" w:type="dxa"/>
            <w:tcBorders>
              <w:left w:val="nil"/>
              <w:right w:val="nil"/>
            </w:tcBorders>
            <w:shd w:val="clear" w:color="auto" w:fill="A7D2F5"/>
          </w:tcPr>
          <w:p>
            <w:pPr>
              <w:pStyle w:val="TableParagraph"/>
              <w:spacing w:before="2"/>
              <w:ind w:left="519"/>
              <w:rPr>
                <w:b/>
                <w:sz w:val="16"/>
              </w:rPr>
            </w:pPr>
            <w:r>
              <w:rPr>
                <w:b/>
                <w:color w:val="FFFFFF"/>
                <w:sz w:val="16"/>
              </w:rPr>
              <w:t>Organisation</w:t>
            </w:r>
          </w:p>
        </w:tc>
        <w:tc>
          <w:tcPr>
            <w:tcW w:w="1426" w:type="dxa"/>
            <w:tcBorders>
              <w:left w:val="nil"/>
              <w:right w:val="nil"/>
            </w:tcBorders>
            <w:shd w:val="clear" w:color="auto" w:fill="A7D2F5"/>
          </w:tcPr>
          <w:p>
            <w:pPr>
              <w:pStyle w:val="TableParagraph"/>
              <w:spacing w:before="2"/>
              <w:ind w:left="351"/>
              <w:rPr>
                <w:b/>
                <w:sz w:val="16"/>
              </w:rPr>
            </w:pPr>
            <w:r>
              <w:rPr>
                <w:b/>
                <w:color w:val="FFFFFF"/>
                <w:sz w:val="16"/>
              </w:rPr>
              <w:t>Opsendt</w:t>
            </w:r>
          </w:p>
        </w:tc>
        <w:tc>
          <w:tcPr>
            <w:tcW w:w="2211" w:type="dxa"/>
            <w:tcBorders>
              <w:left w:val="nil"/>
            </w:tcBorders>
            <w:shd w:val="clear" w:color="auto" w:fill="A7D2F5"/>
          </w:tcPr>
          <w:p>
            <w:pPr>
              <w:pStyle w:val="TableParagraph"/>
              <w:spacing w:before="2"/>
              <w:ind w:left="341"/>
              <w:rPr>
                <w:b/>
                <w:sz w:val="16"/>
              </w:rPr>
            </w:pPr>
            <w:r>
              <w:rPr>
                <w:b/>
                <w:color w:val="FFFFFF"/>
                <w:sz w:val="16"/>
              </w:rPr>
              <w:t>Kunde</w:t>
            </w:r>
          </w:p>
        </w:tc>
      </w:tr>
      <w:tr>
        <w:trPr>
          <w:trHeight w:val="267" w:hRule="atLeast"/>
        </w:trPr>
        <w:tc>
          <w:tcPr>
            <w:tcW w:w="3285" w:type="dxa"/>
            <w:tcBorders>
              <w:right w:val="nil"/>
            </w:tcBorders>
          </w:tcPr>
          <w:p>
            <w:pPr>
              <w:pStyle w:val="TableParagraph"/>
              <w:spacing w:before="2"/>
              <w:rPr>
                <w:b/>
                <w:sz w:val="16"/>
              </w:rPr>
            </w:pPr>
            <w:r>
              <w:rPr>
                <w:b/>
                <w:sz w:val="16"/>
              </w:rPr>
              <w:t>Sapphire</w:t>
            </w:r>
          </w:p>
        </w:tc>
        <w:tc>
          <w:tcPr>
            <w:tcW w:w="2012" w:type="dxa"/>
            <w:tcBorders>
              <w:left w:val="nil"/>
              <w:right w:val="nil"/>
            </w:tcBorders>
          </w:tcPr>
          <w:p>
            <w:pPr>
              <w:pStyle w:val="TableParagraph"/>
              <w:spacing w:before="2"/>
              <w:ind w:left="519"/>
              <w:rPr>
                <w:sz w:val="16"/>
              </w:rPr>
            </w:pPr>
            <w:r>
              <w:rPr>
                <w:sz w:val="16"/>
              </w:rPr>
              <w:t>Terma</w:t>
            </w:r>
          </w:p>
        </w:tc>
        <w:tc>
          <w:tcPr>
            <w:tcW w:w="1426" w:type="dxa"/>
            <w:tcBorders>
              <w:left w:val="nil"/>
              <w:right w:val="nil"/>
            </w:tcBorders>
          </w:tcPr>
          <w:p>
            <w:pPr>
              <w:pStyle w:val="TableParagraph"/>
              <w:spacing w:before="2"/>
              <w:ind w:left="351"/>
              <w:rPr>
                <w:sz w:val="16"/>
              </w:rPr>
            </w:pPr>
            <w:r>
              <w:rPr>
                <w:sz w:val="16"/>
              </w:rPr>
              <w:t>2012</w:t>
            </w:r>
          </w:p>
        </w:tc>
        <w:tc>
          <w:tcPr>
            <w:tcW w:w="2211" w:type="dxa"/>
            <w:tcBorders>
              <w:left w:val="nil"/>
            </w:tcBorders>
          </w:tcPr>
          <w:p>
            <w:pPr>
              <w:pStyle w:val="TableParagraph"/>
              <w:spacing w:before="2"/>
              <w:ind w:left="341"/>
              <w:rPr>
                <w:sz w:val="16"/>
              </w:rPr>
            </w:pPr>
            <w:r>
              <w:rPr>
                <w:sz w:val="16"/>
              </w:rPr>
              <w:t>ESA + Andre</w:t>
            </w:r>
          </w:p>
        </w:tc>
      </w:tr>
      <w:tr>
        <w:trPr>
          <w:trHeight w:val="270" w:hRule="atLeast"/>
        </w:trPr>
        <w:tc>
          <w:tcPr>
            <w:tcW w:w="3285" w:type="dxa"/>
            <w:tcBorders>
              <w:right w:val="nil"/>
            </w:tcBorders>
            <w:shd w:val="clear" w:color="auto" w:fill="E9F4FB"/>
          </w:tcPr>
          <w:p>
            <w:pPr>
              <w:pStyle w:val="TableParagraph"/>
              <w:spacing w:before="4"/>
              <w:rPr>
                <w:b/>
                <w:sz w:val="16"/>
              </w:rPr>
            </w:pPr>
            <w:r>
              <w:rPr>
                <w:b/>
                <w:sz w:val="16"/>
              </w:rPr>
              <w:t>Sentinel-1</w:t>
            </w:r>
          </w:p>
        </w:tc>
        <w:tc>
          <w:tcPr>
            <w:tcW w:w="2012" w:type="dxa"/>
            <w:tcBorders>
              <w:left w:val="nil"/>
              <w:right w:val="nil"/>
            </w:tcBorders>
            <w:shd w:val="clear" w:color="auto" w:fill="E9F4FB"/>
          </w:tcPr>
          <w:p>
            <w:pPr>
              <w:pStyle w:val="TableParagraph"/>
              <w:spacing w:before="4"/>
              <w:ind w:left="519"/>
              <w:rPr>
                <w:sz w:val="16"/>
              </w:rPr>
            </w:pPr>
            <w:r>
              <w:rPr>
                <w:sz w:val="16"/>
              </w:rPr>
              <w:t>Terma</w:t>
            </w:r>
          </w:p>
        </w:tc>
        <w:tc>
          <w:tcPr>
            <w:tcW w:w="1426" w:type="dxa"/>
            <w:tcBorders>
              <w:left w:val="nil"/>
              <w:right w:val="nil"/>
            </w:tcBorders>
            <w:shd w:val="clear" w:color="auto" w:fill="E9F4FB"/>
          </w:tcPr>
          <w:p>
            <w:pPr>
              <w:pStyle w:val="TableParagraph"/>
              <w:spacing w:before="4"/>
              <w:ind w:left="351"/>
              <w:rPr>
                <w:sz w:val="16"/>
              </w:rPr>
            </w:pPr>
            <w:r>
              <w:rPr>
                <w:sz w:val="16"/>
              </w:rPr>
              <w:t>2012</w:t>
            </w:r>
          </w:p>
        </w:tc>
        <w:tc>
          <w:tcPr>
            <w:tcW w:w="2211" w:type="dxa"/>
            <w:tcBorders>
              <w:left w:val="nil"/>
            </w:tcBorders>
            <w:shd w:val="clear" w:color="auto" w:fill="E9F4FB"/>
          </w:tcPr>
          <w:p>
            <w:pPr>
              <w:pStyle w:val="TableParagraph"/>
              <w:spacing w:before="4"/>
              <w:ind w:left="341"/>
              <w:rPr>
                <w:sz w:val="16"/>
              </w:rPr>
            </w:pPr>
            <w:r>
              <w:rPr>
                <w:sz w:val="16"/>
              </w:rPr>
              <w:t>ESA</w:t>
            </w:r>
          </w:p>
        </w:tc>
      </w:tr>
      <w:tr>
        <w:trPr>
          <w:trHeight w:val="270" w:hRule="atLeast"/>
        </w:trPr>
        <w:tc>
          <w:tcPr>
            <w:tcW w:w="3285" w:type="dxa"/>
            <w:tcBorders>
              <w:right w:val="nil"/>
            </w:tcBorders>
          </w:tcPr>
          <w:p>
            <w:pPr>
              <w:pStyle w:val="TableParagraph"/>
              <w:spacing w:before="4"/>
              <w:rPr>
                <w:b/>
                <w:sz w:val="16"/>
              </w:rPr>
            </w:pPr>
            <w:r>
              <w:rPr>
                <w:b/>
                <w:sz w:val="16"/>
              </w:rPr>
              <w:t>Galileo</w:t>
            </w:r>
          </w:p>
        </w:tc>
        <w:tc>
          <w:tcPr>
            <w:tcW w:w="2012" w:type="dxa"/>
            <w:tcBorders>
              <w:left w:val="nil"/>
              <w:right w:val="nil"/>
            </w:tcBorders>
          </w:tcPr>
          <w:p>
            <w:pPr>
              <w:pStyle w:val="TableParagraph"/>
              <w:spacing w:before="4"/>
              <w:ind w:left="519"/>
              <w:rPr>
                <w:sz w:val="16"/>
              </w:rPr>
            </w:pPr>
            <w:r>
              <w:rPr>
                <w:sz w:val="16"/>
              </w:rPr>
              <w:t>Terma</w:t>
            </w:r>
          </w:p>
        </w:tc>
        <w:tc>
          <w:tcPr>
            <w:tcW w:w="1426" w:type="dxa"/>
            <w:tcBorders>
              <w:left w:val="nil"/>
              <w:right w:val="nil"/>
            </w:tcBorders>
          </w:tcPr>
          <w:p>
            <w:pPr>
              <w:pStyle w:val="TableParagraph"/>
              <w:spacing w:before="4"/>
              <w:ind w:left="351"/>
              <w:rPr>
                <w:sz w:val="16"/>
              </w:rPr>
            </w:pPr>
            <w:r>
              <w:rPr>
                <w:sz w:val="16"/>
              </w:rPr>
              <w:t>2012</w:t>
            </w:r>
          </w:p>
        </w:tc>
        <w:tc>
          <w:tcPr>
            <w:tcW w:w="2211" w:type="dxa"/>
            <w:tcBorders>
              <w:left w:val="nil"/>
            </w:tcBorders>
          </w:tcPr>
          <w:p>
            <w:pPr>
              <w:pStyle w:val="TableParagraph"/>
              <w:spacing w:before="4"/>
              <w:ind w:left="341"/>
              <w:rPr>
                <w:sz w:val="16"/>
              </w:rPr>
            </w:pPr>
            <w:r>
              <w:rPr>
                <w:sz w:val="16"/>
              </w:rPr>
              <w:t>ESA</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Aeolus</w:t>
            </w:r>
          </w:p>
        </w:tc>
        <w:tc>
          <w:tcPr>
            <w:tcW w:w="2012" w:type="dxa"/>
            <w:tcBorders>
              <w:left w:val="nil"/>
              <w:right w:val="nil"/>
            </w:tcBorders>
            <w:shd w:val="clear" w:color="auto" w:fill="E9F4FB"/>
          </w:tcPr>
          <w:p>
            <w:pPr>
              <w:pStyle w:val="TableParagraph"/>
              <w:spacing w:before="2"/>
              <w:ind w:left="519"/>
              <w:rPr>
                <w:sz w:val="16"/>
              </w:rPr>
            </w:pPr>
            <w:r>
              <w:rPr>
                <w:sz w:val="16"/>
              </w:rPr>
              <w:t>Terma</w:t>
            </w:r>
          </w:p>
        </w:tc>
        <w:tc>
          <w:tcPr>
            <w:tcW w:w="1426" w:type="dxa"/>
            <w:tcBorders>
              <w:left w:val="nil"/>
              <w:right w:val="nil"/>
            </w:tcBorders>
            <w:shd w:val="clear" w:color="auto" w:fill="E9F4FB"/>
          </w:tcPr>
          <w:p>
            <w:pPr>
              <w:pStyle w:val="TableParagraph"/>
              <w:spacing w:before="2"/>
              <w:ind w:left="351"/>
              <w:rPr>
                <w:sz w:val="16"/>
              </w:rPr>
            </w:pPr>
            <w:r>
              <w:rPr>
                <w:sz w:val="16"/>
              </w:rPr>
              <w:t>2013</w:t>
            </w:r>
          </w:p>
        </w:tc>
        <w:tc>
          <w:tcPr>
            <w:tcW w:w="2211" w:type="dxa"/>
            <w:tcBorders>
              <w:left w:val="nil"/>
            </w:tcBorders>
            <w:shd w:val="clear" w:color="auto" w:fill="E9F4FB"/>
          </w:tcPr>
          <w:p>
            <w:pPr>
              <w:pStyle w:val="TableParagraph"/>
              <w:spacing w:before="2"/>
              <w:ind w:left="341"/>
              <w:rPr>
                <w:sz w:val="16"/>
              </w:rPr>
            </w:pPr>
            <w:r>
              <w:rPr>
                <w:sz w:val="16"/>
              </w:rPr>
              <w:t>ESA</w:t>
            </w:r>
          </w:p>
        </w:tc>
      </w:tr>
      <w:tr>
        <w:trPr>
          <w:trHeight w:val="270" w:hRule="atLeast"/>
        </w:trPr>
        <w:tc>
          <w:tcPr>
            <w:tcW w:w="3285" w:type="dxa"/>
            <w:tcBorders>
              <w:right w:val="nil"/>
            </w:tcBorders>
          </w:tcPr>
          <w:p>
            <w:pPr>
              <w:pStyle w:val="TableParagraph"/>
              <w:spacing w:before="2"/>
              <w:rPr>
                <w:b/>
                <w:sz w:val="16"/>
              </w:rPr>
            </w:pPr>
            <w:r>
              <w:rPr>
                <w:b/>
                <w:sz w:val="16"/>
              </w:rPr>
              <w:t>ERA (ISS)</w:t>
            </w:r>
          </w:p>
        </w:tc>
        <w:tc>
          <w:tcPr>
            <w:tcW w:w="2012" w:type="dxa"/>
            <w:tcBorders>
              <w:left w:val="nil"/>
              <w:right w:val="nil"/>
            </w:tcBorders>
          </w:tcPr>
          <w:p>
            <w:pPr>
              <w:pStyle w:val="TableParagraph"/>
              <w:spacing w:before="2"/>
              <w:ind w:left="519"/>
              <w:rPr>
                <w:sz w:val="16"/>
              </w:rPr>
            </w:pPr>
            <w:r>
              <w:rPr>
                <w:sz w:val="16"/>
              </w:rPr>
              <w:t>Terma</w:t>
            </w:r>
          </w:p>
        </w:tc>
        <w:tc>
          <w:tcPr>
            <w:tcW w:w="1426" w:type="dxa"/>
            <w:tcBorders>
              <w:left w:val="nil"/>
              <w:right w:val="nil"/>
            </w:tcBorders>
          </w:tcPr>
          <w:p>
            <w:pPr>
              <w:pStyle w:val="TableParagraph"/>
              <w:spacing w:before="2"/>
              <w:ind w:left="351"/>
              <w:rPr>
                <w:sz w:val="16"/>
              </w:rPr>
            </w:pPr>
            <w:r>
              <w:rPr>
                <w:sz w:val="16"/>
              </w:rPr>
              <w:t>2013</w:t>
            </w:r>
          </w:p>
        </w:tc>
        <w:tc>
          <w:tcPr>
            <w:tcW w:w="2211" w:type="dxa"/>
            <w:tcBorders>
              <w:left w:val="nil"/>
            </w:tcBorders>
          </w:tcPr>
          <w:p>
            <w:pPr>
              <w:pStyle w:val="TableParagraph"/>
              <w:spacing w:before="2"/>
              <w:ind w:left="341"/>
              <w:rPr>
                <w:sz w:val="16"/>
              </w:rPr>
            </w:pPr>
            <w:r>
              <w:rPr>
                <w:sz w:val="16"/>
              </w:rPr>
              <w:t>ESA</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GAIA</w:t>
            </w:r>
          </w:p>
        </w:tc>
        <w:tc>
          <w:tcPr>
            <w:tcW w:w="2012" w:type="dxa"/>
            <w:tcBorders>
              <w:left w:val="nil"/>
              <w:right w:val="nil"/>
            </w:tcBorders>
            <w:shd w:val="clear" w:color="auto" w:fill="E9F4FB"/>
          </w:tcPr>
          <w:p>
            <w:pPr>
              <w:pStyle w:val="TableParagraph"/>
              <w:spacing w:before="2"/>
              <w:ind w:left="519"/>
              <w:rPr>
                <w:sz w:val="16"/>
              </w:rPr>
            </w:pPr>
            <w:r>
              <w:rPr>
                <w:sz w:val="16"/>
              </w:rPr>
              <w:t>Terma</w:t>
            </w:r>
          </w:p>
        </w:tc>
        <w:tc>
          <w:tcPr>
            <w:tcW w:w="1426" w:type="dxa"/>
            <w:tcBorders>
              <w:left w:val="nil"/>
              <w:right w:val="nil"/>
            </w:tcBorders>
            <w:shd w:val="clear" w:color="auto" w:fill="E9F4FB"/>
          </w:tcPr>
          <w:p>
            <w:pPr>
              <w:pStyle w:val="TableParagraph"/>
              <w:spacing w:before="2"/>
              <w:ind w:left="351"/>
              <w:rPr>
                <w:sz w:val="16"/>
              </w:rPr>
            </w:pPr>
            <w:r>
              <w:rPr>
                <w:sz w:val="16"/>
              </w:rPr>
              <w:t>2013</w:t>
            </w:r>
          </w:p>
        </w:tc>
        <w:tc>
          <w:tcPr>
            <w:tcW w:w="2211" w:type="dxa"/>
            <w:tcBorders>
              <w:left w:val="nil"/>
            </w:tcBorders>
            <w:shd w:val="clear" w:color="auto" w:fill="E9F4FB"/>
          </w:tcPr>
          <w:p>
            <w:pPr>
              <w:pStyle w:val="TableParagraph"/>
              <w:spacing w:before="2"/>
              <w:ind w:left="341"/>
              <w:rPr>
                <w:sz w:val="16"/>
              </w:rPr>
            </w:pPr>
            <w:r>
              <w:rPr>
                <w:sz w:val="16"/>
              </w:rPr>
              <w:t>ESA</w:t>
            </w:r>
          </w:p>
        </w:tc>
      </w:tr>
      <w:tr>
        <w:trPr>
          <w:trHeight w:val="267" w:hRule="atLeast"/>
        </w:trPr>
        <w:tc>
          <w:tcPr>
            <w:tcW w:w="3285" w:type="dxa"/>
            <w:tcBorders>
              <w:right w:val="nil"/>
            </w:tcBorders>
          </w:tcPr>
          <w:p>
            <w:pPr>
              <w:pStyle w:val="TableParagraph"/>
              <w:spacing w:before="2"/>
              <w:rPr>
                <w:b/>
                <w:sz w:val="16"/>
              </w:rPr>
            </w:pPr>
            <w:r>
              <w:rPr>
                <w:b/>
                <w:sz w:val="16"/>
              </w:rPr>
              <w:t>Lisa Pathfinder</w:t>
            </w:r>
          </w:p>
        </w:tc>
        <w:tc>
          <w:tcPr>
            <w:tcW w:w="2012" w:type="dxa"/>
            <w:tcBorders>
              <w:left w:val="nil"/>
              <w:right w:val="nil"/>
            </w:tcBorders>
          </w:tcPr>
          <w:p>
            <w:pPr>
              <w:pStyle w:val="TableParagraph"/>
              <w:spacing w:before="2"/>
              <w:ind w:left="519"/>
              <w:rPr>
                <w:sz w:val="16"/>
              </w:rPr>
            </w:pPr>
            <w:r>
              <w:rPr>
                <w:sz w:val="16"/>
              </w:rPr>
              <w:t>Terma</w:t>
            </w:r>
          </w:p>
        </w:tc>
        <w:tc>
          <w:tcPr>
            <w:tcW w:w="1426" w:type="dxa"/>
            <w:tcBorders>
              <w:left w:val="nil"/>
              <w:right w:val="nil"/>
            </w:tcBorders>
          </w:tcPr>
          <w:p>
            <w:pPr>
              <w:pStyle w:val="TableParagraph"/>
              <w:spacing w:before="2"/>
              <w:ind w:left="351"/>
              <w:rPr>
                <w:sz w:val="16"/>
              </w:rPr>
            </w:pPr>
            <w:r>
              <w:rPr>
                <w:sz w:val="16"/>
              </w:rPr>
              <w:t>2013</w:t>
            </w:r>
          </w:p>
        </w:tc>
        <w:tc>
          <w:tcPr>
            <w:tcW w:w="2211" w:type="dxa"/>
            <w:tcBorders>
              <w:left w:val="nil"/>
            </w:tcBorders>
          </w:tcPr>
          <w:p>
            <w:pPr>
              <w:pStyle w:val="TableParagraph"/>
              <w:spacing w:before="2"/>
              <w:ind w:left="341"/>
              <w:rPr>
                <w:sz w:val="16"/>
              </w:rPr>
            </w:pPr>
            <w:r>
              <w:rPr>
                <w:sz w:val="16"/>
              </w:rPr>
              <w:t>ESA</w:t>
            </w:r>
          </w:p>
        </w:tc>
      </w:tr>
      <w:tr>
        <w:trPr>
          <w:trHeight w:val="270" w:hRule="atLeast"/>
        </w:trPr>
        <w:tc>
          <w:tcPr>
            <w:tcW w:w="3285" w:type="dxa"/>
            <w:tcBorders>
              <w:right w:val="nil"/>
            </w:tcBorders>
            <w:shd w:val="clear" w:color="auto" w:fill="E9F4FB"/>
          </w:tcPr>
          <w:p>
            <w:pPr>
              <w:pStyle w:val="TableParagraph"/>
              <w:spacing w:before="4"/>
              <w:rPr>
                <w:b/>
                <w:sz w:val="16"/>
              </w:rPr>
            </w:pPr>
            <w:r>
              <w:rPr>
                <w:b/>
                <w:sz w:val="16"/>
              </w:rPr>
              <w:t>Swarm</w:t>
            </w:r>
          </w:p>
        </w:tc>
        <w:tc>
          <w:tcPr>
            <w:tcW w:w="2012" w:type="dxa"/>
            <w:tcBorders>
              <w:left w:val="nil"/>
              <w:right w:val="nil"/>
            </w:tcBorders>
            <w:shd w:val="clear" w:color="auto" w:fill="E9F4FB"/>
          </w:tcPr>
          <w:p>
            <w:pPr>
              <w:pStyle w:val="TableParagraph"/>
              <w:spacing w:before="4"/>
              <w:ind w:left="519"/>
              <w:rPr>
                <w:sz w:val="16"/>
              </w:rPr>
            </w:pPr>
            <w:r>
              <w:rPr>
                <w:sz w:val="16"/>
              </w:rPr>
              <w:t>DTU</w:t>
            </w:r>
          </w:p>
        </w:tc>
        <w:tc>
          <w:tcPr>
            <w:tcW w:w="1426" w:type="dxa"/>
            <w:tcBorders>
              <w:left w:val="nil"/>
              <w:right w:val="nil"/>
            </w:tcBorders>
            <w:shd w:val="clear" w:color="auto" w:fill="E9F4FB"/>
          </w:tcPr>
          <w:p>
            <w:pPr>
              <w:pStyle w:val="TableParagraph"/>
              <w:spacing w:before="4"/>
              <w:ind w:left="351"/>
              <w:rPr>
                <w:sz w:val="16"/>
              </w:rPr>
            </w:pPr>
            <w:r>
              <w:rPr>
                <w:sz w:val="16"/>
              </w:rPr>
              <w:t>2013</w:t>
            </w:r>
          </w:p>
        </w:tc>
        <w:tc>
          <w:tcPr>
            <w:tcW w:w="2211" w:type="dxa"/>
            <w:tcBorders>
              <w:left w:val="nil"/>
            </w:tcBorders>
            <w:shd w:val="clear" w:color="auto" w:fill="E9F4FB"/>
          </w:tcPr>
          <w:p>
            <w:pPr>
              <w:pStyle w:val="TableParagraph"/>
              <w:spacing w:before="4"/>
              <w:ind w:left="341"/>
              <w:rPr>
                <w:sz w:val="16"/>
              </w:rPr>
            </w:pPr>
            <w:r>
              <w:rPr>
                <w:sz w:val="16"/>
              </w:rPr>
              <w:t>ESA</w:t>
            </w:r>
          </w:p>
        </w:tc>
      </w:tr>
      <w:tr>
        <w:trPr>
          <w:trHeight w:val="270" w:hRule="atLeast"/>
        </w:trPr>
        <w:tc>
          <w:tcPr>
            <w:tcW w:w="3285" w:type="dxa"/>
            <w:tcBorders>
              <w:right w:val="nil"/>
            </w:tcBorders>
          </w:tcPr>
          <w:p>
            <w:pPr>
              <w:pStyle w:val="TableParagraph"/>
              <w:spacing w:before="4"/>
              <w:rPr>
                <w:b/>
                <w:sz w:val="16"/>
              </w:rPr>
            </w:pPr>
            <w:r>
              <w:rPr>
                <w:b/>
                <w:sz w:val="16"/>
              </w:rPr>
              <w:t>AAUSat-3</w:t>
            </w:r>
          </w:p>
        </w:tc>
        <w:tc>
          <w:tcPr>
            <w:tcW w:w="2012" w:type="dxa"/>
            <w:tcBorders>
              <w:left w:val="nil"/>
              <w:right w:val="nil"/>
            </w:tcBorders>
          </w:tcPr>
          <w:p>
            <w:pPr>
              <w:pStyle w:val="TableParagraph"/>
              <w:spacing w:before="4"/>
              <w:ind w:left="519"/>
              <w:rPr>
                <w:sz w:val="16"/>
              </w:rPr>
            </w:pPr>
            <w:r>
              <w:rPr>
                <w:sz w:val="16"/>
              </w:rPr>
              <w:t>AAU</w:t>
            </w:r>
          </w:p>
        </w:tc>
        <w:tc>
          <w:tcPr>
            <w:tcW w:w="1426" w:type="dxa"/>
            <w:tcBorders>
              <w:left w:val="nil"/>
              <w:right w:val="nil"/>
            </w:tcBorders>
          </w:tcPr>
          <w:p>
            <w:pPr>
              <w:pStyle w:val="TableParagraph"/>
              <w:spacing w:before="4"/>
              <w:ind w:left="351"/>
              <w:rPr>
                <w:sz w:val="16"/>
              </w:rPr>
            </w:pPr>
            <w:r>
              <w:rPr>
                <w:sz w:val="16"/>
              </w:rPr>
              <w:t>2013</w:t>
            </w:r>
          </w:p>
        </w:tc>
        <w:tc>
          <w:tcPr>
            <w:tcW w:w="2211" w:type="dxa"/>
            <w:tcBorders>
              <w:left w:val="nil"/>
            </w:tcBorders>
          </w:tcPr>
          <w:p>
            <w:pPr>
              <w:pStyle w:val="TableParagraph"/>
              <w:spacing w:before="4"/>
              <w:ind w:left="341"/>
              <w:rPr>
                <w:sz w:val="16"/>
              </w:rPr>
            </w:pPr>
            <w:r>
              <w:rPr>
                <w:sz w:val="16"/>
              </w:rPr>
              <w:t>Dansk</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GOMX-1</w:t>
            </w:r>
          </w:p>
        </w:tc>
        <w:tc>
          <w:tcPr>
            <w:tcW w:w="2012" w:type="dxa"/>
            <w:tcBorders>
              <w:left w:val="nil"/>
              <w:right w:val="nil"/>
            </w:tcBorders>
            <w:shd w:val="clear" w:color="auto" w:fill="E9F4FB"/>
          </w:tcPr>
          <w:p>
            <w:pPr>
              <w:pStyle w:val="TableParagraph"/>
              <w:spacing w:before="2"/>
              <w:ind w:left="519"/>
              <w:rPr>
                <w:sz w:val="16"/>
              </w:rPr>
            </w:pPr>
            <w:r>
              <w:rPr>
                <w:sz w:val="16"/>
              </w:rPr>
              <w:t>GomSpace</w:t>
            </w:r>
          </w:p>
        </w:tc>
        <w:tc>
          <w:tcPr>
            <w:tcW w:w="1426" w:type="dxa"/>
            <w:tcBorders>
              <w:left w:val="nil"/>
              <w:right w:val="nil"/>
            </w:tcBorders>
            <w:shd w:val="clear" w:color="auto" w:fill="E9F4FB"/>
          </w:tcPr>
          <w:p>
            <w:pPr>
              <w:pStyle w:val="TableParagraph"/>
              <w:spacing w:before="2"/>
              <w:ind w:left="351"/>
              <w:rPr>
                <w:sz w:val="16"/>
              </w:rPr>
            </w:pPr>
            <w:r>
              <w:rPr>
                <w:sz w:val="16"/>
              </w:rPr>
              <w:t>2013</w:t>
            </w:r>
          </w:p>
        </w:tc>
        <w:tc>
          <w:tcPr>
            <w:tcW w:w="2211" w:type="dxa"/>
            <w:tcBorders>
              <w:left w:val="nil"/>
            </w:tcBorders>
            <w:shd w:val="clear" w:color="auto" w:fill="E9F4FB"/>
          </w:tcPr>
          <w:p>
            <w:pPr>
              <w:pStyle w:val="TableParagraph"/>
              <w:spacing w:before="2"/>
              <w:ind w:left="341"/>
              <w:rPr>
                <w:sz w:val="16"/>
              </w:rPr>
            </w:pPr>
            <w:r>
              <w:rPr>
                <w:sz w:val="16"/>
              </w:rPr>
              <w:t>Dansk</w:t>
            </w:r>
          </w:p>
        </w:tc>
      </w:tr>
      <w:tr>
        <w:trPr>
          <w:trHeight w:val="270" w:hRule="atLeast"/>
        </w:trPr>
        <w:tc>
          <w:tcPr>
            <w:tcW w:w="3285" w:type="dxa"/>
            <w:tcBorders>
              <w:right w:val="nil"/>
            </w:tcBorders>
          </w:tcPr>
          <w:p>
            <w:pPr>
              <w:pStyle w:val="TableParagraph"/>
              <w:spacing w:before="2"/>
              <w:rPr>
                <w:b/>
                <w:sz w:val="16"/>
              </w:rPr>
            </w:pPr>
            <w:r>
              <w:rPr>
                <w:b/>
                <w:sz w:val="16"/>
              </w:rPr>
              <w:t>BepiColumbo</w:t>
            </w:r>
          </w:p>
        </w:tc>
        <w:tc>
          <w:tcPr>
            <w:tcW w:w="2012" w:type="dxa"/>
            <w:tcBorders>
              <w:left w:val="nil"/>
              <w:right w:val="nil"/>
            </w:tcBorders>
          </w:tcPr>
          <w:p>
            <w:pPr>
              <w:pStyle w:val="TableParagraph"/>
              <w:spacing w:before="2"/>
              <w:ind w:left="519"/>
              <w:rPr>
                <w:sz w:val="16"/>
              </w:rPr>
            </w:pPr>
            <w:r>
              <w:rPr>
                <w:sz w:val="16"/>
              </w:rPr>
              <w:t>Terma</w:t>
            </w:r>
          </w:p>
        </w:tc>
        <w:tc>
          <w:tcPr>
            <w:tcW w:w="1426" w:type="dxa"/>
            <w:tcBorders>
              <w:left w:val="nil"/>
              <w:right w:val="nil"/>
            </w:tcBorders>
          </w:tcPr>
          <w:p>
            <w:pPr>
              <w:pStyle w:val="TableParagraph"/>
              <w:spacing w:before="2"/>
              <w:ind w:left="351"/>
              <w:rPr>
                <w:sz w:val="16"/>
              </w:rPr>
            </w:pPr>
            <w:r>
              <w:rPr>
                <w:sz w:val="16"/>
              </w:rPr>
              <w:t>2014</w:t>
            </w:r>
          </w:p>
        </w:tc>
        <w:tc>
          <w:tcPr>
            <w:tcW w:w="2211" w:type="dxa"/>
            <w:tcBorders>
              <w:left w:val="nil"/>
            </w:tcBorders>
          </w:tcPr>
          <w:p>
            <w:pPr>
              <w:pStyle w:val="TableParagraph"/>
              <w:spacing w:before="2"/>
              <w:ind w:left="341"/>
              <w:rPr>
                <w:sz w:val="16"/>
              </w:rPr>
            </w:pPr>
            <w:r>
              <w:rPr>
                <w:sz w:val="16"/>
              </w:rPr>
              <w:t>ESA + Andre</w:t>
            </w:r>
          </w:p>
        </w:tc>
      </w:tr>
      <w:tr>
        <w:trPr>
          <w:trHeight w:val="271" w:hRule="atLeast"/>
        </w:trPr>
        <w:tc>
          <w:tcPr>
            <w:tcW w:w="3285" w:type="dxa"/>
            <w:tcBorders>
              <w:right w:val="nil"/>
            </w:tcBorders>
            <w:shd w:val="clear" w:color="auto" w:fill="E9F4FB"/>
          </w:tcPr>
          <w:p>
            <w:pPr>
              <w:pStyle w:val="TableParagraph"/>
              <w:spacing w:before="2"/>
              <w:rPr>
                <w:b/>
                <w:sz w:val="16"/>
              </w:rPr>
            </w:pPr>
            <w:r>
              <w:rPr>
                <w:b/>
                <w:sz w:val="16"/>
              </w:rPr>
              <w:t>DTUsat-2</w:t>
            </w:r>
          </w:p>
        </w:tc>
        <w:tc>
          <w:tcPr>
            <w:tcW w:w="2012" w:type="dxa"/>
            <w:tcBorders>
              <w:left w:val="nil"/>
              <w:right w:val="nil"/>
            </w:tcBorders>
            <w:shd w:val="clear" w:color="auto" w:fill="E9F4FB"/>
          </w:tcPr>
          <w:p>
            <w:pPr>
              <w:pStyle w:val="TableParagraph"/>
              <w:spacing w:before="2"/>
              <w:ind w:left="519"/>
              <w:rPr>
                <w:sz w:val="16"/>
              </w:rPr>
            </w:pPr>
            <w:r>
              <w:rPr>
                <w:sz w:val="16"/>
              </w:rPr>
              <w:t>DTU</w:t>
            </w:r>
          </w:p>
        </w:tc>
        <w:tc>
          <w:tcPr>
            <w:tcW w:w="1426" w:type="dxa"/>
            <w:tcBorders>
              <w:left w:val="nil"/>
              <w:right w:val="nil"/>
            </w:tcBorders>
            <w:shd w:val="clear" w:color="auto" w:fill="E9F4FB"/>
          </w:tcPr>
          <w:p>
            <w:pPr>
              <w:pStyle w:val="TableParagraph"/>
              <w:spacing w:before="2"/>
              <w:ind w:left="351"/>
              <w:rPr>
                <w:sz w:val="16"/>
              </w:rPr>
            </w:pPr>
            <w:r>
              <w:rPr>
                <w:sz w:val="16"/>
              </w:rPr>
              <w:t>2014</w:t>
            </w:r>
          </w:p>
        </w:tc>
        <w:tc>
          <w:tcPr>
            <w:tcW w:w="2211" w:type="dxa"/>
            <w:tcBorders>
              <w:left w:val="nil"/>
            </w:tcBorders>
            <w:shd w:val="clear" w:color="auto" w:fill="E9F4FB"/>
          </w:tcPr>
          <w:p>
            <w:pPr>
              <w:pStyle w:val="TableParagraph"/>
              <w:spacing w:before="2"/>
              <w:ind w:left="341"/>
              <w:rPr>
                <w:sz w:val="16"/>
              </w:rPr>
            </w:pPr>
            <w:r>
              <w:rPr>
                <w:sz w:val="16"/>
              </w:rPr>
              <w:t>Dansk</w:t>
            </w:r>
          </w:p>
        </w:tc>
      </w:tr>
      <w:tr>
        <w:trPr>
          <w:trHeight w:val="267" w:hRule="atLeast"/>
        </w:trPr>
        <w:tc>
          <w:tcPr>
            <w:tcW w:w="3285" w:type="dxa"/>
            <w:tcBorders>
              <w:right w:val="nil"/>
            </w:tcBorders>
          </w:tcPr>
          <w:p>
            <w:pPr>
              <w:pStyle w:val="TableParagraph"/>
              <w:spacing w:before="2"/>
              <w:rPr>
                <w:b/>
                <w:sz w:val="16"/>
              </w:rPr>
            </w:pPr>
            <w:r>
              <w:rPr>
                <w:b/>
                <w:sz w:val="16"/>
              </w:rPr>
              <w:t>GOMX-2</w:t>
            </w:r>
          </w:p>
        </w:tc>
        <w:tc>
          <w:tcPr>
            <w:tcW w:w="2012" w:type="dxa"/>
            <w:tcBorders>
              <w:left w:val="nil"/>
              <w:right w:val="nil"/>
            </w:tcBorders>
          </w:tcPr>
          <w:p>
            <w:pPr>
              <w:pStyle w:val="TableParagraph"/>
              <w:spacing w:before="2"/>
              <w:ind w:left="519"/>
              <w:rPr>
                <w:sz w:val="16"/>
              </w:rPr>
            </w:pPr>
            <w:r>
              <w:rPr>
                <w:sz w:val="16"/>
              </w:rPr>
              <w:t>GomSpace</w:t>
            </w:r>
          </w:p>
        </w:tc>
        <w:tc>
          <w:tcPr>
            <w:tcW w:w="1426" w:type="dxa"/>
            <w:tcBorders>
              <w:left w:val="nil"/>
              <w:right w:val="nil"/>
            </w:tcBorders>
          </w:tcPr>
          <w:p>
            <w:pPr>
              <w:pStyle w:val="TableParagraph"/>
              <w:spacing w:before="2"/>
              <w:ind w:left="351"/>
              <w:rPr>
                <w:sz w:val="16"/>
              </w:rPr>
            </w:pPr>
            <w:r>
              <w:rPr>
                <w:sz w:val="16"/>
              </w:rPr>
              <w:t>2014</w:t>
            </w:r>
          </w:p>
        </w:tc>
        <w:tc>
          <w:tcPr>
            <w:tcW w:w="2211" w:type="dxa"/>
            <w:tcBorders>
              <w:left w:val="nil"/>
            </w:tcBorders>
          </w:tcPr>
          <w:p>
            <w:pPr>
              <w:pStyle w:val="TableParagraph"/>
              <w:spacing w:before="2"/>
              <w:ind w:left="341"/>
              <w:rPr>
                <w:sz w:val="16"/>
              </w:rPr>
            </w:pPr>
            <w:r>
              <w:rPr>
                <w:sz w:val="16"/>
              </w:rPr>
              <w:t>Dansk</w:t>
            </w:r>
          </w:p>
        </w:tc>
      </w:tr>
      <w:tr>
        <w:trPr>
          <w:trHeight w:val="270" w:hRule="atLeast"/>
        </w:trPr>
        <w:tc>
          <w:tcPr>
            <w:tcW w:w="3285" w:type="dxa"/>
            <w:tcBorders>
              <w:right w:val="nil"/>
            </w:tcBorders>
            <w:shd w:val="clear" w:color="auto" w:fill="E9F4FB"/>
          </w:tcPr>
          <w:p>
            <w:pPr>
              <w:pStyle w:val="TableParagraph"/>
              <w:spacing w:before="4"/>
              <w:rPr>
                <w:b/>
                <w:sz w:val="16"/>
              </w:rPr>
            </w:pPr>
            <w:r>
              <w:rPr>
                <w:b/>
                <w:sz w:val="16"/>
              </w:rPr>
              <w:t>AAUSat-5</w:t>
            </w:r>
          </w:p>
        </w:tc>
        <w:tc>
          <w:tcPr>
            <w:tcW w:w="2012" w:type="dxa"/>
            <w:tcBorders>
              <w:left w:val="nil"/>
              <w:right w:val="nil"/>
            </w:tcBorders>
            <w:shd w:val="clear" w:color="auto" w:fill="E9F4FB"/>
          </w:tcPr>
          <w:p>
            <w:pPr>
              <w:pStyle w:val="TableParagraph"/>
              <w:spacing w:before="4"/>
              <w:ind w:left="519"/>
              <w:rPr>
                <w:sz w:val="16"/>
              </w:rPr>
            </w:pPr>
            <w:r>
              <w:rPr>
                <w:sz w:val="16"/>
              </w:rPr>
              <w:t>AAU</w:t>
            </w:r>
          </w:p>
        </w:tc>
        <w:tc>
          <w:tcPr>
            <w:tcW w:w="1426" w:type="dxa"/>
            <w:tcBorders>
              <w:left w:val="nil"/>
              <w:right w:val="nil"/>
            </w:tcBorders>
            <w:shd w:val="clear" w:color="auto" w:fill="E9F4FB"/>
          </w:tcPr>
          <w:p>
            <w:pPr>
              <w:pStyle w:val="TableParagraph"/>
              <w:spacing w:before="4"/>
              <w:ind w:left="351"/>
              <w:rPr>
                <w:sz w:val="16"/>
              </w:rPr>
            </w:pPr>
            <w:r>
              <w:rPr>
                <w:sz w:val="16"/>
              </w:rPr>
              <w:t>2015</w:t>
            </w:r>
          </w:p>
        </w:tc>
        <w:tc>
          <w:tcPr>
            <w:tcW w:w="2211" w:type="dxa"/>
            <w:tcBorders>
              <w:left w:val="nil"/>
            </w:tcBorders>
            <w:shd w:val="clear" w:color="auto" w:fill="E9F4FB"/>
          </w:tcPr>
          <w:p>
            <w:pPr>
              <w:pStyle w:val="TableParagraph"/>
              <w:spacing w:before="4"/>
              <w:ind w:left="341"/>
              <w:rPr>
                <w:sz w:val="16"/>
              </w:rPr>
            </w:pPr>
            <w:r>
              <w:rPr>
                <w:sz w:val="16"/>
              </w:rPr>
              <w:t>Dansk</w:t>
            </w:r>
          </w:p>
        </w:tc>
      </w:tr>
      <w:tr>
        <w:trPr>
          <w:trHeight w:val="270" w:hRule="atLeast"/>
        </w:trPr>
        <w:tc>
          <w:tcPr>
            <w:tcW w:w="3285" w:type="dxa"/>
            <w:tcBorders>
              <w:right w:val="nil"/>
            </w:tcBorders>
          </w:tcPr>
          <w:p>
            <w:pPr>
              <w:pStyle w:val="TableParagraph"/>
              <w:spacing w:before="4"/>
              <w:rPr>
                <w:b/>
                <w:sz w:val="16"/>
              </w:rPr>
            </w:pPr>
            <w:r>
              <w:rPr>
                <w:b/>
                <w:sz w:val="16"/>
              </w:rPr>
              <w:t>Demise Observation Capsule</w:t>
            </w:r>
          </w:p>
        </w:tc>
        <w:tc>
          <w:tcPr>
            <w:tcW w:w="2012" w:type="dxa"/>
            <w:tcBorders>
              <w:left w:val="nil"/>
              <w:right w:val="nil"/>
            </w:tcBorders>
          </w:tcPr>
          <w:p>
            <w:pPr>
              <w:pStyle w:val="TableParagraph"/>
              <w:spacing w:before="4"/>
              <w:ind w:left="519"/>
              <w:rPr>
                <w:sz w:val="16"/>
              </w:rPr>
            </w:pPr>
            <w:r>
              <w:rPr>
                <w:sz w:val="16"/>
              </w:rPr>
              <w:t>GomSpace</w:t>
            </w:r>
          </w:p>
        </w:tc>
        <w:tc>
          <w:tcPr>
            <w:tcW w:w="1426" w:type="dxa"/>
            <w:tcBorders>
              <w:left w:val="nil"/>
              <w:right w:val="nil"/>
            </w:tcBorders>
          </w:tcPr>
          <w:p>
            <w:pPr>
              <w:pStyle w:val="TableParagraph"/>
              <w:spacing w:before="4"/>
              <w:ind w:left="351"/>
              <w:rPr>
                <w:sz w:val="16"/>
              </w:rPr>
            </w:pPr>
            <w:r>
              <w:rPr>
                <w:sz w:val="16"/>
              </w:rPr>
              <w:t>2015</w:t>
            </w:r>
          </w:p>
        </w:tc>
        <w:tc>
          <w:tcPr>
            <w:tcW w:w="2211" w:type="dxa"/>
            <w:tcBorders>
              <w:left w:val="nil"/>
            </w:tcBorders>
          </w:tcPr>
          <w:p>
            <w:pPr>
              <w:pStyle w:val="TableParagraph"/>
              <w:spacing w:before="4"/>
              <w:ind w:left="341"/>
              <w:rPr>
                <w:sz w:val="16"/>
              </w:rPr>
            </w:pPr>
            <w:r>
              <w:rPr>
                <w:sz w:val="16"/>
              </w:rPr>
              <w:t>ESA</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GOMX-3</w:t>
            </w:r>
          </w:p>
        </w:tc>
        <w:tc>
          <w:tcPr>
            <w:tcW w:w="2012" w:type="dxa"/>
            <w:tcBorders>
              <w:left w:val="nil"/>
              <w:right w:val="nil"/>
            </w:tcBorders>
            <w:shd w:val="clear" w:color="auto" w:fill="E9F4FB"/>
          </w:tcPr>
          <w:p>
            <w:pPr>
              <w:pStyle w:val="TableParagraph"/>
              <w:spacing w:before="2"/>
              <w:ind w:left="519"/>
              <w:rPr>
                <w:sz w:val="16"/>
              </w:rPr>
            </w:pPr>
            <w:r>
              <w:rPr>
                <w:sz w:val="16"/>
              </w:rPr>
              <w:t>GomSpace</w:t>
            </w:r>
          </w:p>
        </w:tc>
        <w:tc>
          <w:tcPr>
            <w:tcW w:w="1426" w:type="dxa"/>
            <w:tcBorders>
              <w:left w:val="nil"/>
              <w:right w:val="nil"/>
            </w:tcBorders>
            <w:shd w:val="clear" w:color="auto" w:fill="E9F4FB"/>
          </w:tcPr>
          <w:p>
            <w:pPr>
              <w:pStyle w:val="TableParagraph"/>
              <w:spacing w:before="2"/>
              <w:ind w:left="351"/>
              <w:rPr>
                <w:sz w:val="16"/>
              </w:rPr>
            </w:pPr>
            <w:r>
              <w:rPr>
                <w:sz w:val="16"/>
              </w:rPr>
              <w:t>2015</w:t>
            </w:r>
          </w:p>
        </w:tc>
        <w:tc>
          <w:tcPr>
            <w:tcW w:w="2211" w:type="dxa"/>
            <w:tcBorders>
              <w:left w:val="nil"/>
            </w:tcBorders>
            <w:shd w:val="clear" w:color="auto" w:fill="E9F4FB"/>
          </w:tcPr>
          <w:p>
            <w:pPr>
              <w:pStyle w:val="TableParagraph"/>
              <w:spacing w:before="2"/>
              <w:ind w:left="341"/>
              <w:rPr>
                <w:sz w:val="16"/>
              </w:rPr>
            </w:pPr>
            <w:r>
              <w:rPr>
                <w:sz w:val="16"/>
              </w:rPr>
              <w:t>ESA</w:t>
            </w:r>
          </w:p>
        </w:tc>
      </w:tr>
      <w:tr>
        <w:trPr>
          <w:trHeight w:val="270" w:hRule="atLeast"/>
        </w:trPr>
        <w:tc>
          <w:tcPr>
            <w:tcW w:w="3285" w:type="dxa"/>
            <w:tcBorders>
              <w:right w:val="nil"/>
            </w:tcBorders>
          </w:tcPr>
          <w:p>
            <w:pPr>
              <w:pStyle w:val="TableParagraph"/>
              <w:spacing w:before="2"/>
              <w:rPr>
                <w:b/>
                <w:sz w:val="16"/>
              </w:rPr>
            </w:pPr>
            <w:r>
              <w:rPr>
                <w:b/>
                <w:sz w:val="16"/>
              </w:rPr>
              <w:t>ExoMars</w:t>
            </w:r>
          </w:p>
        </w:tc>
        <w:tc>
          <w:tcPr>
            <w:tcW w:w="2012" w:type="dxa"/>
            <w:tcBorders>
              <w:left w:val="nil"/>
              <w:right w:val="nil"/>
            </w:tcBorders>
          </w:tcPr>
          <w:p>
            <w:pPr>
              <w:pStyle w:val="TableParagraph"/>
              <w:spacing w:before="2"/>
              <w:ind w:left="519"/>
              <w:rPr>
                <w:sz w:val="16"/>
              </w:rPr>
            </w:pPr>
            <w:r>
              <w:rPr>
                <w:sz w:val="16"/>
              </w:rPr>
              <w:t>DTU</w:t>
            </w:r>
          </w:p>
        </w:tc>
        <w:tc>
          <w:tcPr>
            <w:tcW w:w="1426" w:type="dxa"/>
            <w:tcBorders>
              <w:left w:val="nil"/>
              <w:right w:val="nil"/>
            </w:tcBorders>
          </w:tcPr>
          <w:p>
            <w:pPr>
              <w:pStyle w:val="TableParagraph"/>
              <w:spacing w:before="2"/>
              <w:ind w:left="351"/>
              <w:rPr>
                <w:sz w:val="16"/>
              </w:rPr>
            </w:pPr>
            <w:r>
              <w:rPr>
                <w:sz w:val="16"/>
              </w:rPr>
              <w:t>2016</w:t>
            </w:r>
          </w:p>
        </w:tc>
        <w:tc>
          <w:tcPr>
            <w:tcW w:w="2211" w:type="dxa"/>
            <w:tcBorders>
              <w:left w:val="nil"/>
            </w:tcBorders>
          </w:tcPr>
          <w:p>
            <w:pPr>
              <w:pStyle w:val="TableParagraph"/>
              <w:spacing w:before="2"/>
              <w:ind w:left="341"/>
              <w:rPr>
                <w:sz w:val="16"/>
              </w:rPr>
            </w:pPr>
            <w:r>
              <w:rPr>
                <w:sz w:val="16"/>
              </w:rPr>
              <w:t>ESA + Andre</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ExoMars</w:t>
            </w:r>
          </w:p>
        </w:tc>
        <w:tc>
          <w:tcPr>
            <w:tcW w:w="2012" w:type="dxa"/>
            <w:tcBorders>
              <w:left w:val="nil"/>
              <w:right w:val="nil"/>
            </w:tcBorders>
            <w:shd w:val="clear" w:color="auto" w:fill="E9F4FB"/>
          </w:tcPr>
          <w:p>
            <w:pPr>
              <w:pStyle w:val="TableParagraph"/>
              <w:spacing w:before="2"/>
              <w:ind w:left="519"/>
              <w:rPr>
                <w:sz w:val="16"/>
              </w:rPr>
            </w:pPr>
            <w:r>
              <w:rPr>
                <w:sz w:val="16"/>
              </w:rPr>
              <w:t>Terma</w:t>
            </w:r>
          </w:p>
        </w:tc>
        <w:tc>
          <w:tcPr>
            <w:tcW w:w="1426" w:type="dxa"/>
            <w:tcBorders>
              <w:left w:val="nil"/>
              <w:right w:val="nil"/>
            </w:tcBorders>
            <w:shd w:val="clear" w:color="auto" w:fill="E9F4FB"/>
          </w:tcPr>
          <w:p>
            <w:pPr>
              <w:pStyle w:val="TableParagraph"/>
              <w:spacing w:before="2"/>
              <w:ind w:left="351"/>
              <w:rPr>
                <w:sz w:val="16"/>
              </w:rPr>
            </w:pPr>
            <w:r>
              <w:rPr>
                <w:sz w:val="16"/>
              </w:rPr>
              <w:t>2016</w:t>
            </w:r>
          </w:p>
        </w:tc>
        <w:tc>
          <w:tcPr>
            <w:tcW w:w="2211" w:type="dxa"/>
            <w:tcBorders>
              <w:left w:val="nil"/>
            </w:tcBorders>
            <w:shd w:val="clear" w:color="auto" w:fill="E9F4FB"/>
          </w:tcPr>
          <w:p>
            <w:pPr>
              <w:pStyle w:val="TableParagraph"/>
              <w:spacing w:before="2"/>
              <w:ind w:left="341"/>
              <w:rPr>
                <w:sz w:val="16"/>
              </w:rPr>
            </w:pPr>
            <w:r>
              <w:rPr>
                <w:sz w:val="16"/>
              </w:rPr>
              <w:t>ESA + Andre</w:t>
            </w:r>
          </w:p>
        </w:tc>
      </w:tr>
      <w:tr>
        <w:trPr>
          <w:trHeight w:val="267" w:hRule="atLeast"/>
        </w:trPr>
        <w:tc>
          <w:tcPr>
            <w:tcW w:w="3285" w:type="dxa"/>
            <w:tcBorders>
              <w:right w:val="nil"/>
            </w:tcBorders>
          </w:tcPr>
          <w:p>
            <w:pPr>
              <w:pStyle w:val="TableParagraph"/>
              <w:spacing w:before="2"/>
              <w:rPr>
                <w:b/>
                <w:sz w:val="16"/>
              </w:rPr>
            </w:pPr>
            <w:r>
              <w:rPr>
                <w:b/>
                <w:sz w:val="16"/>
              </w:rPr>
              <w:t>AAUSat-4</w:t>
            </w:r>
          </w:p>
        </w:tc>
        <w:tc>
          <w:tcPr>
            <w:tcW w:w="2012" w:type="dxa"/>
            <w:tcBorders>
              <w:left w:val="nil"/>
              <w:right w:val="nil"/>
            </w:tcBorders>
          </w:tcPr>
          <w:p>
            <w:pPr>
              <w:pStyle w:val="TableParagraph"/>
              <w:spacing w:before="2"/>
              <w:ind w:left="519"/>
              <w:rPr>
                <w:sz w:val="16"/>
              </w:rPr>
            </w:pPr>
            <w:r>
              <w:rPr>
                <w:sz w:val="16"/>
              </w:rPr>
              <w:t>AAU</w:t>
            </w:r>
          </w:p>
        </w:tc>
        <w:tc>
          <w:tcPr>
            <w:tcW w:w="1426" w:type="dxa"/>
            <w:tcBorders>
              <w:left w:val="nil"/>
              <w:right w:val="nil"/>
            </w:tcBorders>
          </w:tcPr>
          <w:p>
            <w:pPr>
              <w:pStyle w:val="TableParagraph"/>
              <w:spacing w:before="2"/>
              <w:ind w:left="351"/>
              <w:rPr>
                <w:sz w:val="16"/>
              </w:rPr>
            </w:pPr>
            <w:r>
              <w:rPr>
                <w:sz w:val="16"/>
              </w:rPr>
              <w:t>2016</w:t>
            </w:r>
          </w:p>
        </w:tc>
        <w:tc>
          <w:tcPr>
            <w:tcW w:w="2211" w:type="dxa"/>
            <w:tcBorders>
              <w:left w:val="nil"/>
            </w:tcBorders>
          </w:tcPr>
          <w:p>
            <w:pPr>
              <w:pStyle w:val="TableParagraph"/>
              <w:spacing w:before="2"/>
              <w:ind w:left="341"/>
              <w:rPr>
                <w:sz w:val="16"/>
              </w:rPr>
            </w:pPr>
            <w:r>
              <w:rPr>
                <w:sz w:val="16"/>
              </w:rPr>
              <w:t>Dansk</w:t>
            </w:r>
          </w:p>
        </w:tc>
      </w:tr>
      <w:tr>
        <w:trPr>
          <w:trHeight w:val="270" w:hRule="atLeast"/>
        </w:trPr>
        <w:tc>
          <w:tcPr>
            <w:tcW w:w="3285" w:type="dxa"/>
            <w:tcBorders>
              <w:right w:val="nil"/>
            </w:tcBorders>
            <w:shd w:val="clear" w:color="auto" w:fill="E9F4FB"/>
          </w:tcPr>
          <w:p>
            <w:pPr>
              <w:pStyle w:val="TableParagraph"/>
              <w:spacing w:before="4"/>
              <w:rPr>
                <w:b/>
                <w:sz w:val="16"/>
              </w:rPr>
            </w:pPr>
            <w:r>
              <w:rPr>
                <w:b/>
                <w:sz w:val="16"/>
              </w:rPr>
              <w:t>ASIM</w:t>
            </w:r>
          </w:p>
        </w:tc>
        <w:tc>
          <w:tcPr>
            <w:tcW w:w="2012" w:type="dxa"/>
            <w:tcBorders>
              <w:left w:val="nil"/>
              <w:right w:val="nil"/>
            </w:tcBorders>
            <w:shd w:val="clear" w:color="auto" w:fill="E9F4FB"/>
          </w:tcPr>
          <w:p>
            <w:pPr>
              <w:pStyle w:val="TableParagraph"/>
              <w:spacing w:before="4"/>
              <w:ind w:left="519"/>
              <w:rPr>
                <w:sz w:val="16"/>
              </w:rPr>
            </w:pPr>
            <w:r>
              <w:rPr>
                <w:sz w:val="16"/>
              </w:rPr>
              <w:t>DTU</w:t>
            </w:r>
          </w:p>
        </w:tc>
        <w:tc>
          <w:tcPr>
            <w:tcW w:w="1426" w:type="dxa"/>
            <w:tcBorders>
              <w:left w:val="nil"/>
              <w:right w:val="nil"/>
            </w:tcBorders>
            <w:shd w:val="clear" w:color="auto" w:fill="E9F4FB"/>
          </w:tcPr>
          <w:p>
            <w:pPr>
              <w:pStyle w:val="TableParagraph"/>
              <w:spacing w:before="4"/>
              <w:ind w:left="351"/>
              <w:rPr>
                <w:sz w:val="16"/>
              </w:rPr>
            </w:pPr>
            <w:r>
              <w:rPr>
                <w:sz w:val="16"/>
              </w:rPr>
              <w:t>2017</w:t>
            </w:r>
          </w:p>
        </w:tc>
        <w:tc>
          <w:tcPr>
            <w:tcW w:w="2211" w:type="dxa"/>
            <w:tcBorders>
              <w:left w:val="nil"/>
            </w:tcBorders>
            <w:shd w:val="clear" w:color="auto" w:fill="E9F4FB"/>
          </w:tcPr>
          <w:p>
            <w:pPr>
              <w:pStyle w:val="TableParagraph"/>
              <w:spacing w:before="4"/>
              <w:ind w:left="341"/>
              <w:rPr>
                <w:sz w:val="16"/>
              </w:rPr>
            </w:pPr>
            <w:r>
              <w:rPr>
                <w:sz w:val="16"/>
              </w:rPr>
              <w:t>ESA</w:t>
            </w:r>
          </w:p>
        </w:tc>
      </w:tr>
      <w:tr>
        <w:trPr>
          <w:trHeight w:val="270" w:hRule="atLeast"/>
        </w:trPr>
        <w:tc>
          <w:tcPr>
            <w:tcW w:w="3285" w:type="dxa"/>
            <w:tcBorders>
              <w:right w:val="nil"/>
            </w:tcBorders>
          </w:tcPr>
          <w:p>
            <w:pPr>
              <w:pStyle w:val="TableParagraph"/>
              <w:spacing w:before="4"/>
              <w:rPr>
                <w:b/>
                <w:sz w:val="16"/>
              </w:rPr>
            </w:pPr>
            <w:r>
              <w:rPr>
                <w:b/>
                <w:sz w:val="16"/>
              </w:rPr>
              <w:t>OPS-SAT</w:t>
            </w:r>
          </w:p>
        </w:tc>
        <w:tc>
          <w:tcPr>
            <w:tcW w:w="2012" w:type="dxa"/>
            <w:tcBorders>
              <w:left w:val="nil"/>
              <w:right w:val="nil"/>
            </w:tcBorders>
          </w:tcPr>
          <w:p>
            <w:pPr>
              <w:pStyle w:val="TableParagraph"/>
              <w:spacing w:before="4"/>
              <w:ind w:left="519"/>
              <w:rPr>
                <w:sz w:val="16"/>
              </w:rPr>
            </w:pPr>
            <w:r>
              <w:rPr>
                <w:sz w:val="16"/>
              </w:rPr>
              <w:t>GomSpace</w:t>
            </w:r>
          </w:p>
        </w:tc>
        <w:tc>
          <w:tcPr>
            <w:tcW w:w="1426" w:type="dxa"/>
            <w:tcBorders>
              <w:left w:val="nil"/>
              <w:right w:val="nil"/>
            </w:tcBorders>
          </w:tcPr>
          <w:p>
            <w:pPr>
              <w:pStyle w:val="TableParagraph"/>
              <w:spacing w:before="4"/>
              <w:ind w:left="351"/>
              <w:rPr>
                <w:sz w:val="16"/>
              </w:rPr>
            </w:pPr>
            <w:r>
              <w:rPr>
                <w:sz w:val="16"/>
              </w:rPr>
              <w:t>2017</w:t>
            </w:r>
          </w:p>
        </w:tc>
        <w:tc>
          <w:tcPr>
            <w:tcW w:w="2211" w:type="dxa"/>
            <w:tcBorders>
              <w:left w:val="nil"/>
            </w:tcBorders>
          </w:tcPr>
          <w:p>
            <w:pPr>
              <w:pStyle w:val="TableParagraph"/>
              <w:spacing w:before="4"/>
              <w:ind w:left="341"/>
              <w:rPr>
                <w:sz w:val="16"/>
              </w:rPr>
            </w:pPr>
            <w:r>
              <w:rPr>
                <w:sz w:val="16"/>
              </w:rPr>
              <w:t>ESA</w:t>
            </w:r>
          </w:p>
        </w:tc>
      </w:tr>
      <w:tr>
        <w:trPr>
          <w:trHeight w:val="270" w:hRule="atLeast"/>
        </w:trPr>
        <w:tc>
          <w:tcPr>
            <w:tcW w:w="3285" w:type="dxa"/>
            <w:tcBorders>
              <w:right w:val="nil"/>
            </w:tcBorders>
            <w:shd w:val="clear" w:color="auto" w:fill="E9F4FB"/>
          </w:tcPr>
          <w:p>
            <w:pPr>
              <w:pStyle w:val="TableParagraph"/>
              <w:spacing w:before="2"/>
              <w:rPr>
                <w:b/>
                <w:sz w:val="16"/>
              </w:rPr>
            </w:pPr>
            <w:r>
              <w:rPr>
                <w:b/>
                <w:sz w:val="16"/>
              </w:rPr>
              <w:t>James Webb Space Telescope</w:t>
            </w:r>
          </w:p>
        </w:tc>
        <w:tc>
          <w:tcPr>
            <w:tcW w:w="2012" w:type="dxa"/>
            <w:tcBorders>
              <w:left w:val="nil"/>
              <w:right w:val="nil"/>
            </w:tcBorders>
            <w:shd w:val="clear" w:color="auto" w:fill="E9F4FB"/>
          </w:tcPr>
          <w:p>
            <w:pPr>
              <w:pStyle w:val="TableParagraph"/>
              <w:spacing w:before="2"/>
              <w:ind w:left="519"/>
              <w:rPr>
                <w:sz w:val="16"/>
              </w:rPr>
            </w:pPr>
            <w:r>
              <w:rPr>
                <w:sz w:val="16"/>
              </w:rPr>
              <w:t>DTU</w:t>
            </w:r>
          </w:p>
        </w:tc>
        <w:tc>
          <w:tcPr>
            <w:tcW w:w="1426" w:type="dxa"/>
            <w:tcBorders>
              <w:left w:val="nil"/>
              <w:right w:val="nil"/>
            </w:tcBorders>
            <w:shd w:val="clear" w:color="auto" w:fill="E9F4FB"/>
          </w:tcPr>
          <w:p>
            <w:pPr>
              <w:pStyle w:val="TableParagraph"/>
              <w:spacing w:before="2"/>
              <w:ind w:left="351"/>
              <w:rPr>
                <w:sz w:val="16"/>
              </w:rPr>
            </w:pPr>
            <w:r>
              <w:rPr>
                <w:sz w:val="16"/>
              </w:rPr>
              <w:t>2020</w:t>
            </w:r>
          </w:p>
        </w:tc>
        <w:tc>
          <w:tcPr>
            <w:tcW w:w="2211" w:type="dxa"/>
            <w:tcBorders>
              <w:left w:val="nil"/>
            </w:tcBorders>
            <w:shd w:val="clear" w:color="auto" w:fill="E9F4FB"/>
          </w:tcPr>
          <w:p>
            <w:pPr>
              <w:pStyle w:val="TableParagraph"/>
              <w:spacing w:before="2"/>
              <w:ind w:left="341"/>
              <w:rPr>
                <w:sz w:val="16"/>
              </w:rPr>
            </w:pPr>
            <w:r>
              <w:rPr>
                <w:sz w:val="16"/>
              </w:rPr>
              <w:t>ESA+NASA</w:t>
            </w:r>
          </w:p>
        </w:tc>
      </w:tr>
    </w:tbl>
    <w:p>
      <w:pPr>
        <w:spacing w:after="0"/>
        <w:rPr>
          <w:sz w:val="16"/>
        </w:rPr>
        <w:sectPr>
          <w:pgSz w:w="11910" w:h="16840"/>
          <w:pgMar w:header="0" w:footer="539" w:top="1580" w:bottom="720" w:left="960" w:right="0"/>
        </w:sectPr>
      </w:pPr>
    </w:p>
    <w:p>
      <w:pPr>
        <w:spacing w:before="105"/>
        <w:ind w:left="742" w:right="0" w:firstLine="0"/>
        <w:jc w:val="left"/>
        <w:rPr>
          <w:b/>
          <w:sz w:val="22"/>
        </w:rPr>
      </w:pPr>
      <w:bookmarkStart w:name="_bookmark67" w:id="68"/>
      <w:bookmarkEnd w:id="68"/>
      <w:r>
        <w:rPr/>
      </w:r>
      <w:r>
        <w:rPr>
          <w:b/>
          <w:color w:val="009DDF"/>
          <w:sz w:val="22"/>
        </w:rPr>
        <w:t>BILAG 5: DEFINITIONER OG BESKIVELSER AF VÆRDIKÆDEELEMENTER</w:t>
      </w:r>
    </w:p>
    <w:p>
      <w:pPr>
        <w:pStyle w:val="BodyText"/>
        <w:spacing w:before="10" w:after="1"/>
        <w:rPr>
          <w:b/>
          <w:sz w:val="23"/>
        </w:rPr>
      </w:pPr>
    </w:p>
    <w:tbl>
      <w:tblPr>
        <w:tblW w:w="0" w:type="auto"/>
        <w:jc w:val="left"/>
        <w:tblInd w:w="644"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800"/>
        <w:gridCol w:w="3713"/>
        <w:gridCol w:w="2279"/>
      </w:tblGrid>
      <w:tr>
        <w:trPr>
          <w:trHeight w:val="333" w:hRule="atLeast"/>
        </w:trPr>
        <w:tc>
          <w:tcPr>
            <w:tcW w:w="2800" w:type="dxa"/>
            <w:tcBorders>
              <w:top w:val="nil"/>
              <w:left w:val="nil"/>
              <w:bottom w:val="nil"/>
              <w:right w:val="nil"/>
            </w:tcBorders>
            <w:shd w:val="clear" w:color="auto" w:fill="A7D2F5"/>
          </w:tcPr>
          <w:p>
            <w:pPr>
              <w:pStyle w:val="TableParagraph"/>
              <w:spacing w:before="60"/>
              <w:ind w:left="117"/>
              <w:rPr>
                <w:b/>
                <w:sz w:val="16"/>
              </w:rPr>
            </w:pPr>
            <w:r>
              <w:rPr>
                <w:b/>
                <w:color w:val="FFFFFF"/>
                <w:sz w:val="16"/>
              </w:rPr>
              <w:t>Værdikædeelement og antal</w:t>
            </w:r>
          </w:p>
        </w:tc>
        <w:tc>
          <w:tcPr>
            <w:tcW w:w="3713" w:type="dxa"/>
            <w:tcBorders>
              <w:top w:val="nil"/>
              <w:left w:val="nil"/>
              <w:bottom w:val="nil"/>
              <w:right w:val="nil"/>
            </w:tcBorders>
            <w:shd w:val="clear" w:color="auto" w:fill="A7D2F5"/>
          </w:tcPr>
          <w:p>
            <w:pPr>
              <w:pStyle w:val="TableParagraph"/>
              <w:spacing w:before="60"/>
              <w:ind w:left="152"/>
              <w:rPr>
                <w:b/>
                <w:sz w:val="16"/>
              </w:rPr>
            </w:pPr>
            <w:r>
              <w:rPr>
                <w:b/>
                <w:color w:val="FFFFFF"/>
                <w:sz w:val="16"/>
              </w:rPr>
              <w:t>Beskrivelse</w:t>
            </w:r>
          </w:p>
        </w:tc>
        <w:tc>
          <w:tcPr>
            <w:tcW w:w="2279" w:type="dxa"/>
            <w:tcBorders>
              <w:top w:val="nil"/>
              <w:left w:val="nil"/>
              <w:bottom w:val="nil"/>
              <w:right w:val="nil"/>
            </w:tcBorders>
            <w:shd w:val="clear" w:color="auto" w:fill="A7D2F5"/>
          </w:tcPr>
          <w:p>
            <w:pPr>
              <w:pStyle w:val="TableParagraph"/>
              <w:spacing w:before="60"/>
              <w:ind w:left="126"/>
              <w:rPr>
                <w:b/>
                <w:sz w:val="16"/>
              </w:rPr>
            </w:pPr>
            <w:r>
              <w:rPr>
                <w:b/>
                <w:color w:val="FFFFFF"/>
                <w:sz w:val="16"/>
              </w:rPr>
              <w:t>Virksomhedseksempel</w:t>
            </w:r>
          </w:p>
        </w:tc>
      </w:tr>
      <w:tr>
        <w:trPr>
          <w:trHeight w:val="294" w:hRule="atLeast"/>
        </w:trPr>
        <w:tc>
          <w:tcPr>
            <w:tcW w:w="8792" w:type="dxa"/>
            <w:gridSpan w:val="3"/>
            <w:tcBorders>
              <w:top w:val="nil"/>
            </w:tcBorders>
            <w:shd w:val="clear" w:color="auto" w:fill="F5F5F3"/>
          </w:tcPr>
          <w:p>
            <w:pPr>
              <w:pStyle w:val="TableParagraph"/>
              <w:rPr>
                <w:b/>
                <w:sz w:val="16"/>
              </w:rPr>
            </w:pPr>
            <w:r>
              <w:rPr>
                <w:b/>
                <w:sz w:val="16"/>
              </w:rPr>
              <w:t>Rumproduktion: 28</w:t>
            </w:r>
          </w:p>
        </w:tc>
      </w:tr>
      <w:tr>
        <w:trPr>
          <w:trHeight w:val="721" w:hRule="atLeast"/>
        </w:trPr>
        <w:tc>
          <w:tcPr>
            <w:tcW w:w="2800" w:type="dxa"/>
            <w:tcBorders>
              <w:right w:val="nil"/>
            </w:tcBorders>
          </w:tcPr>
          <w:p>
            <w:pPr>
              <w:pStyle w:val="TableParagraph"/>
              <w:rPr>
                <w:sz w:val="16"/>
              </w:rPr>
            </w:pPr>
            <w:r>
              <w:rPr>
                <w:sz w:val="16"/>
              </w:rPr>
              <w:t>Satellitter: 20</w:t>
            </w:r>
          </w:p>
        </w:tc>
        <w:tc>
          <w:tcPr>
            <w:tcW w:w="3713" w:type="dxa"/>
            <w:tcBorders>
              <w:left w:val="nil"/>
              <w:right w:val="nil"/>
            </w:tcBorders>
          </w:tcPr>
          <w:p>
            <w:pPr>
              <w:pStyle w:val="TableParagraph"/>
              <w:spacing w:line="264" w:lineRule="auto"/>
              <w:ind w:left="152" w:right="168"/>
              <w:jc w:val="both"/>
              <w:rPr>
                <w:sz w:val="16"/>
              </w:rPr>
            </w:pPr>
            <w:r>
              <w:rPr>
                <w:sz w:val="16"/>
              </w:rPr>
              <w:t>Produktion af komplette satellitter, syste- mer (fx strømforsyninger), og komponen- ter som ender i kredsløb om Jorden</w:t>
            </w:r>
          </w:p>
        </w:tc>
        <w:tc>
          <w:tcPr>
            <w:tcW w:w="2279" w:type="dxa"/>
            <w:tcBorders>
              <w:left w:val="nil"/>
            </w:tcBorders>
          </w:tcPr>
          <w:p>
            <w:pPr>
              <w:pStyle w:val="TableParagraph"/>
              <w:spacing w:line="264" w:lineRule="auto"/>
              <w:ind w:left="126" w:right="143"/>
              <w:rPr>
                <w:sz w:val="16"/>
              </w:rPr>
            </w:pPr>
            <w:r>
              <w:rPr>
                <w:sz w:val="16"/>
              </w:rPr>
              <w:t>GomSpace, Terma, Rov- sing, Flux</w:t>
            </w:r>
          </w:p>
        </w:tc>
      </w:tr>
      <w:tr>
        <w:trPr>
          <w:trHeight w:val="508" w:hRule="atLeast"/>
        </w:trPr>
        <w:tc>
          <w:tcPr>
            <w:tcW w:w="2800" w:type="dxa"/>
            <w:tcBorders>
              <w:right w:val="nil"/>
            </w:tcBorders>
          </w:tcPr>
          <w:p>
            <w:pPr>
              <w:pStyle w:val="TableParagraph"/>
              <w:rPr>
                <w:sz w:val="16"/>
              </w:rPr>
            </w:pPr>
            <w:r>
              <w:rPr>
                <w:sz w:val="16"/>
              </w:rPr>
              <w:t>Rumtransport (raketter mv.): 5</w:t>
            </w:r>
          </w:p>
        </w:tc>
        <w:tc>
          <w:tcPr>
            <w:tcW w:w="3713" w:type="dxa"/>
            <w:tcBorders>
              <w:left w:val="nil"/>
              <w:right w:val="nil"/>
            </w:tcBorders>
          </w:tcPr>
          <w:p>
            <w:pPr>
              <w:pStyle w:val="TableParagraph"/>
              <w:spacing w:line="264" w:lineRule="auto"/>
              <w:ind w:left="152" w:right="107"/>
              <w:rPr>
                <w:sz w:val="16"/>
              </w:rPr>
            </w:pPr>
            <w:r>
              <w:rPr>
                <w:sz w:val="16"/>
              </w:rPr>
              <w:t>Produktion til løfteraketter, samt systemer og komponenter dertil</w:t>
            </w:r>
          </w:p>
        </w:tc>
        <w:tc>
          <w:tcPr>
            <w:tcW w:w="2279" w:type="dxa"/>
            <w:tcBorders>
              <w:left w:val="nil"/>
            </w:tcBorders>
          </w:tcPr>
          <w:p>
            <w:pPr>
              <w:pStyle w:val="TableParagraph"/>
              <w:spacing w:line="264" w:lineRule="auto"/>
              <w:ind w:left="126" w:right="322"/>
              <w:rPr>
                <w:sz w:val="16"/>
              </w:rPr>
            </w:pPr>
            <w:r>
              <w:rPr>
                <w:sz w:val="16"/>
              </w:rPr>
              <w:t>Force Technology, Co- penhagen Suborbitals</w:t>
            </w:r>
          </w:p>
        </w:tc>
      </w:tr>
      <w:tr>
        <w:trPr>
          <w:trHeight w:val="935" w:hRule="atLeast"/>
        </w:trPr>
        <w:tc>
          <w:tcPr>
            <w:tcW w:w="2800" w:type="dxa"/>
            <w:tcBorders>
              <w:right w:val="nil"/>
            </w:tcBorders>
          </w:tcPr>
          <w:p>
            <w:pPr>
              <w:pStyle w:val="TableParagraph"/>
              <w:rPr>
                <w:sz w:val="16"/>
              </w:rPr>
            </w:pPr>
            <w:r>
              <w:rPr>
                <w:sz w:val="16"/>
              </w:rPr>
              <w:t>Jordstationer: 4</w:t>
            </w:r>
          </w:p>
        </w:tc>
        <w:tc>
          <w:tcPr>
            <w:tcW w:w="3713" w:type="dxa"/>
            <w:tcBorders>
              <w:left w:val="nil"/>
              <w:right w:val="nil"/>
            </w:tcBorders>
          </w:tcPr>
          <w:p>
            <w:pPr>
              <w:pStyle w:val="TableParagraph"/>
              <w:spacing w:line="264" w:lineRule="auto"/>
              <w:ind w:left="152" w:right="261"/>
              <w:jc w:val="both"/>
              <w:rPr>
                <w:sz w:val="16"/>
              </w:rPr>
            </w:pPr>
            <w:r>
              <w:rPr>
                <w:sz w:val="16"/>
              </w:rPr>
              <w:t>Produktion af komponenter og systemer til, samt komplette, jordstationer til sty- ring af og kommunikation med satellitter og øvrigt isenkram i rummet</w:t>
            </w:r>
          </w:p>
        </w:tc>
        <w:tc>
          <w:tcPr>
            <w:tcW w:w="2279" w:type="dxa"/>
            <w:tcBorders>
              <w:left w:val="nil"/>
            </w:tcBorders>
          </w:tcPr>
          <w:p>
            <w:pPr>
              <w:pStyle w:val="TableParagraph"/>
              <w:spacing w:line="264" w:lineRule="auto"/>
              <w:ind w:left="126" w:right="304"/>
              <w:jc w:val="both"/>
              <w:rPr>
                <w:sz w:val="16"/>
              </w:rPr>
            </w:pPr>
            <w:r>
              <w:rPr>
                <w:sz w:val="16"/>
              </w:rPr>
              <w:t>Terma, Rovsing, Falck Schmidt Defence Sys- tems, Cobham Satcom</w:t>
            </w:r>
          </w:p>
        </w:tc>
      </w:tr>
      <w:tr>
        <w:trPr>
          <w:trHeight w:val="722" w:hRule="atLeast"/>
        </w:trPr>
        <w:tc>
          <w:tcPr>
            <w:tcW w:w="2800" w:type="dxa"/>
            <w:tcBorders>
              <w:right w:val="nil"/>
            </w:tcBorders>
          </w:tcPr>
          <w:p>
            <w:pPr>
              <w:pStyle w:val="TableParagraph"/>
              <w:rPr>
                <w:sz w:val="16"/>
              </w:rPr>
            </w:pPr>
            <w:r>
              <w:rPr>
                <w:sz w:val="16"/>
              </w:rPr>
              <w:t>Grundforskning: 4</w:t>
            </w:r>
          </w:p>
        </w:tc>
        <w:tc>
          <w:tcPr>
            <w:tcW w:w="3713" w:type="dxa"/>
            <w:tcBorders>
              <w:left w:val="nil"/>
              <w:right w:val="nil"/>
            </w:tcBorders>
          </w:tcPr>
          <w:p>
            <w:pPr>
              <w:pStyle w:val="TableParagraph"/>
              <w:spacing w:line="264" w:lineRule="auto"/>
              <w:ind w:left="152" w:right="89"/>
              <w:rPr>
                <w:sz w:val="16"/>
              </w:rPr>
            </w:pPr>
            <w:r>
              <w:rPr>
                <w:sz w:val="16"/>
              </w:rPr>
              <w:t>Produktion af komponenter og systemer til grundforskningssatellitter (fx Rosetta), ISS, og jordbaserede teleskoper (fx ESO)</w:t>
            </w:r>
          </w:p>
        </w:tc>
        <w:tc>
          <w:tcPr>
            <w:tcW w:w="2279" w:type="dxa"/>
            <w:tcBorders>
              <w:left w:val="nil"/>
            </w:tcBorders>
          </w:tcPr>
          <w:p>
            <w:pPr>
              <w:pStyle w:val="TableParagraph"/>
              <w:spacing w:line="264" w:lineRule="auto"/>
              <w:ind w:left="126" w:right="196"/>
              <w:rPr>
                <w:sz w:val="16"/>
              </w:rPr>
            </w:pPr>
            <w:r>
              <w:rPr>
                <w:sz w:val="16"/>
              </w:rPr>
              <w:t>Danish Aerospace Com- pany, Terma, Kirkholm Maskiningeniører</w:t>
            </w:r>
          </w:p>
        </w:tc>
      </w:tr>
      <w:tr>
        <w:trPr>
          <w:trHeight w:val="294" w:hRule="atLeast"/>
        </w:trPr>
        <w:tc>
          <w:tcPr>
            <w:tcW w:w="8792" w:type="dxa"/>
            <w:gridSpan w:val="3"/>
            <w:shd w:val="clear" w:color="auto" w:fill="F5F5F3"/>
          </w:tcPr>
          <w:p>
            <w:pPr>
              <w:pStyle w:val="TableParagraph"/>
              <w:rPr>
                <w:b/>
                <w:sz w:val="16"/>
              </w:rPr>
            </w:pPr>
            <w:r>
              <w:rPr>
                <w:b/>
                <w:sz w:val="16"/>
              </w:rPr>
              <w:t>Rumoperation: 7</w:t>
            </w:r>
          </w:p>
        </w:tc>
      </w:tr>
      <w:tr>
        <w:trPr>
          <w:trHeight w:val="721" w:hRule="atLeast"/>
        </w:trPr>
        <w:tc>
          <w:tcPr>
            <w:tcW w:w="2800" w:type="dxa"/>
            <w:tcBorders>
              <w:right w:val="nil"/>
            </w:tcBorders>
          </w:tcPr>
          <w:p>
            <w:pPr>
              <w:pStyle w:val="TableParagraph"/>
              <w:rPr>
                <w:sz w:val="16"/>
              </w:rPr>
            </w:pPr>
            <w:r>
              <w:rPr>
                <w:sz w:val="16"/>
              </w:rPr>
              <w:t>Satellitoperation: 2</w:t>
            </w:r>
          </w:p>
        </w:tc>
        <w:tc>
          <w:tcPr>
            <w:tcW w:w="3713" w:type="dxa"/>
            <w:tcBorders>
              <w:left w:val="nil"/>
              <w:right w:val="nil"/>
            </w:tcBorders>
          </w:tcPr>
          <w:p>
            <w:pPr>
              <w:pStyle w:val="TableParagraph"/>
              <w:spacing w:line="264" w:lineRule="auto"/>
              <w:ind w:left="152" w:right="236"/>
              <w:rPr>
                <w:sz w:val="16"/>
              </w:rPr>
            </w:pPr>
            <w:r>
              <w:rPr>
                <w:sz w:val="16"/>
              </w:rPr>
              <w:t>Styring af egne satellitter samt udlejning og salg af kapacitet på egne satellitter</w:t>
            </w:r>
          </w:p>
        </w:tc>
        <w:tc>
          <w:tcPr>
            <w:tcW w:w="2279" w:type="dxa"/>
            <w:tcBorders>
              <w:left w:val="nil"/>
            </w:tcBorders>
          </w:tcPr>
          <w:p>
            <w:pPr>
              <w:pStyle w:val="TableParagraph"/>
              <w:spacing w:line="264" w:lineRule="auto"/>
              <w:ind w:left="126" w:right="235"/>
              <w:rPr>
                <w:sz w:val="16"/>
              </w:rPr>
            </w:pPr>
            <w:r>
              <w:rPr>
                <w:sz w:val="16"/>
              </w:rPr>
              <w:t>GomSpace, NaviAir (gennem joint-venture, kommende)</w:t>
            </w:r>
          </w:p>
        </w:tc>
      </w:tr>
      <w:tr>
        <w:trPr>
          <w:trHeight w:val="721" w:hRule="atLeast"/>
        </w:trPr>
        <w:tc>
          <w:tcPr>
            <w:tcW w:w="2800" w:type="dxa"/>
            <w:tcBorders>
              <w:right w:val="nil"/>
            </w:tcBorders>
          </w:tcPr>
          <w:p>
            <w:pPr>
              <w:pStyle w:val="TableParagraph"/>
              <w:rPr>
                <w:sz w:val="16"/>
              </w:rPr>
            </w:pPr>
            <w:r>
              <w:rPr>
                <w:sz w:val="16"/>
              </w:rPr>
              <w:t>Affyringsstøtte: 3</w:t>
            </w:r>
          </w:p>
        </w:tc>
        <w:tc>
          <w:tcPr>
            <w:tcW w:w="3713" w:type="dxa"/>
            <w:tcBorders>
              <w:left w:val="nil"/>
              <w:right w:val="nil"/>
            </w:tcBorders>
          </w:tcPr>
          <w:p>
            <w:pPr>
              <w:pStyle w:val="TableParagraph"/>
              <w:spacing w:line="264" w:lineRule="auto"/>
              <w:ind w:left="152" w:right="206"/>
              <w:rPr>
                <w:sz w:val="16"/>
              </w:rPr>
            </w:pPr>
            <w:r>
              <w:rPr>
                <w:sz w:val="16"/>
              </w:rPr>
              <w:t>Operation af rumhavne (kosmodromer) samt salg og mægling af affyringskapaci- tet</w:t>
            </w:r>
          </w:p>
        </w:tc>
        <w:tc>
          <w:tcPr>
            <w:tcW w:w="2279" w:type="dxa"/>
            <w:tcBorders>
              <w:left w:val="nil"/>
            </w:tcBorders>
          </w:tcPr>
          <w:p>
            <w:pPr>
              <w:pStyle w:val="TableParagraph"/>
              <w:spacing w:line="264" w:lineRule="auto"/>
              <w:ind w:left="126" w:right="96"/>
              <w:rPr>
                <w:sz w:val="16"/>
              </w:rPr>
            </w:pPr>
            <w:r>
              <w:rPr>
                <w:sz w:val="16"/>
              </w:rPr>
              <w:t>Esvagt, Weibel Scientific, Rovsing</w:t>
            </w:r>
          </w:p>
        </w:tc>
      </w:tr>
      <w:tr>
        <w:trPr>
          <w:trHeight w:val="1148" w:hRule="atLeast"/>
        </w:trPr>
        <w:tc>
          <w:tcPr>
            <w:tcW w:w="2800" w:type="dxa"/>
            <w:tcBorders>
              <w:right w:val="nil"/>
            </w:tcBorders>
          </w:tcPr>
          <w:p>
            <w:pPr>
              <w:pStyle w:val="TableParagraph"/>
              <w:rPr>
                <w:sz w:val="16"/>
              </w:rPr>
            </w:pPr>
            <w:r>
              <w:rPr>
                <w:sz w:val="16"/>
              </w:rPr>
              <w:t>Operation af jordstationer: 5</w:t>
            </w:r>
          </w:p>
        </w:tc>
        <w:tc>
          <w:tcPr>
            <w:tcW w:w="3713" w:type="dxa"/>
            <w:tcBorders>
              <w:left w:val="nil"/>
              <w:right w:val="nil"/>
            </w:tcBorders>
          </w:tcPr>
          <w:p>
            <w:pPr>
              <w:pStyle w:val="TableParagraph"/>
              <w:spacing w:line="264" w:lineRule="auto"/>
              <w:ind w:left="152" w:right="195"/>
              <w:rPr>
                <w:sz w:val="16"/>
              </w:rPr>
            </w:pPr>
            <w:r>
              <w:rPr>
                <w:sz w:val="16"/>
              </w:rPr>
              <w:t>Operation af jordstationer til tredjeparts- kontrol af satellitter samt kommunikation mellem Jorden og satellitter i kredsløb (teleportoperation og nedtagning af Jord- observationsdata)</w:t>
            </w:r>
          </w:p>
        </w:tc>
        <w:tc>
          <w:tcPr>
            <w:tcW w:w="2279" w:type="dxa"/>
            <w:tcBorders>
              <w:left w:val="nil"/>
            </w:tcBorders>
          </w:tcPr>
          <w:p>
            <w:pPr>
              <w:pStyle w:val="TableParagraph"/>
              <w:spacing w:line="264" w:lineRule="auto"/>
              <w:ind w:left="126" w:right="196"/>
              <w:rPr>
                <w:sz w:val="16"/>
              </w:rPr>
            </w:pPr>
            <w:r>
              <w:rPr>
                <w:sz w:val="16"/>
              </w:rPr>
              <w:t>Danish Aerospace Com- pany, Tele Greenland International, UltiSat, DMI</w:t>
            </w:r>
          </w:p>
        </w:tc>
      </w:tr>
      <w:tr>
        <w:trPr>
          <w:trHeight w:val="722" w:hRule="atLeast"/>
        </w:trPr>
        <w:tc>
          <w:tcPr>
            <w:tcW w:w="2800" w:type="dxa"/>
            <w:tcBorders>
              <w:right w:val="nil"/>
            </w:tcBorders>
          </w:tcPr>
          <w:p>
            <w:pPr>
              <w:pStyle w:val="TableParagraph"/>
              <w:rPr>
                <w:sz w:val="16"/>
              </w:rPr>
            </w:pPr>
            <w:r>
              <w:rPr>
                <w:sz w:val="16"/>
              </w:rPr>
              <w:t>Dataarkiver: 0</w:t>
            </w:r>
          </w:p>
        </w:tc>
        <w:tc>
          <w:tcPr>
            <w:tcW w:w="3713" w:type="dxa"/>
            <w:tcBorders>
              <w:left w:val="nil"/>
              <w:right w:val="nil"/>
            </w:tcBorders>
          </w:tcPr>
          <w:p>
            <w:pPr>
              <w:pStyle w:val="TableParagraph"/>
              <w:spacing w:line="264" w:lineRule="auto"/>
              <w:ind w:left="152" w:right="186"/>
              <w:rPr>
                <w:sz w:val="16"/>
              </w:rPr>
            </w:pPr>
            <w:r>
              <w:rPr>
                <w:sz w:val="16"/>
              </w:rPr>
              <w:t>Opmagasinering og samling af rå JO-data som videreformidles til applikationsvirk- somheder</w:t>
            </w:r>
          </w:p>
        </w:tc>
        <w:tc>
          <w:tcPr>
            <w:tcW w:w="2279" w:type="dxa"/>
            <w:tcBorders>
              <w:left w:val="nil"/>
            </w:tcBorders>
          </w:tcPr>
          <w:p>
            <w:pPr>
              <w:pStyle w:val="TableParagraph"/>
              <w:spacing w:before="0"/>
              <w:ind w:left="0"/>
              <w:rPr>
                <w:rFonts w:ascii="Times New Roman"/>
                <w:sz w:val="16"/>
              </w:rPr>
            </w:pPr>
          </w:p>
        </w:tc>
      </w:tr>
      <w:tr>
        <w:trPr>
          <w:trHeight w:val="294" w:hRule="atLeast"/>
        </w:trPr>
        <w:tc>
          <w:tcPr>
            <w:tcW w:w="8792" w:type="dxa"/>
            <w:gridSpan w:val="3"/>
            <w:shd w:val="clear" w:color="auto" w:fill="F5F5F3"/>
          </w:tcPr>
          <w:p>
            <w:pPr>
              <w:pStyle w:val="TableParagraph"/>
              <w:rPr>
                <w:b/>
                <w:sz w:val="16"/>
              </w:rPr>
            </w:pPr>
            <w:r>
              <w:rPr>
                <w:b/>
                <w:sz w:val="16"/>
              </w:rPr>
              <w:t>Rumapplikationer: 98</w:t>
            </w:r>
          </w:p>
        </w:tc>
      </w:tr>
      <w:tr>
        <w:trPr>
          <w:trHeight w:val="935" w:hRule="atLeast"/>
        </w:trPr>
        <w:tc>
          <w:tcPr>
            <w:tcW w:w="2800" w:type="dxa"/>
            <w:tcBorders>
              <w:right w:val="nil"/>
            </w:tcBorders>
          </w:tcPr>
          <w:p>
            <w:pPr>
              <w:pStyle w:val="TableParagraph"/>
              <w:spacing w:line="264" w:lineRule="auto"/>
              <w:ind w:right="489"/>
              <w:rPr>
                <w:sz w:val="16"/>
              </w:rPr>
            </w:pPr>
            <w:r>
              <w:rPr>
                <w:sz w:val="16"/>
              </w:rPr>
              <w:t>Rumbaserede software- og konsulenttjenester: 51</w:t>
            </w:r>
          </w:p>
        </w:tc>
        <w:tc>
          <w:tcPr>
            <w:tcW w:w="3713" w:type="dxa"/>
            <w:tcBorders>
              <w:left w:val="nil"/>
              <w:right w:val="nil"/>
            </w:tcBorders>
          </w:tcPr>
          <w:p>
            <w:pPr>
              <w:pStyle w:val="TableParagraph"/>
              <w:spacing w:line="264" w:lineRule="auto"/>
              <w:ind w:left="152" w:right="139"/>
              <w:rPr>
                <w:sz w:val="16"/>
              </w:rPr>
            </w:pPr>
            <w:r>
              <w:rPr>
                <w:sz w:val="16"/>
              </w:rPr>
              <w:t>Opbygning af specifikke softwareløsninger til bearbejdning af rumdata samt salg af konsulentydelser hvor satellitdata indgår som væsentligt, uundværligt, input</w:t>
            </w:r>
          </w:p>
        </w:tc>
        <w:tc>
          <w:tcPr>
            <w:tcW w:w="2279" w:type="dxa"/>
            <w:tcBorders>
              <w:left w:val="nil"/>
            </w:tcBorders>
          </w:tcPr>
          <w:p>
            <w:pPr>
              <w:pStyle w:val="TableParagraph"/>
              <w:spacing w:line="264" w:lineRule="auto"/>
              <w:ind w:left="126" w:right="244"/>
              <w:rPr>
                <w:sz w:val="16"/>
              </w:rPr>
            </w:pPr>
            <w:r>
              <w:rPr>
                <w:sz w:val="16"/>
              </w:rPr>
              <w:t>DHI, Black Box Den- mark, Cubris, Geoteam</w:t>
            </w:r>
          </w:p>
        </w:tc>
      </w:tr>
      <w:tr>
        <w:trPr>
          <w:trHeight w:val="1792" w:hRule="atLeast"/>
        </w:trPr>
        <w:tc>
          <w:tcPr>
            <w:tcW w:w="2800" w:type="dxa"/>
            <w:tcBorders>
              <w:right w:val="nil"/>
            </w:tcBorders>
          </w:tcPr>
          <w:p>
            <w:pPr>
              <w:pStyle w:val="TableParagraph"/>
              <w:rPr>
                <w:sz w:val="16"/>
              </w:rPr>
            </w:pPr>
            <w:r>
              <w:rPr>
                <w:sz w:val="16"/>
              </w:rPr>
              <w:t>Salg af brugerenheder: 51</w:t>
            </w:r>
          </w:p>
        </w:tc>
        <w:tc>
          <w:tcPr>
            <w:tcW w:w="3713" w:type="dxa"/>
            <w:tcBorders>
              <w:left w:val="nil"/>
              <w:right w:val="nil"/>
            </w:tcBorders>
          </w:tcPr>
          <w:p>
            <w:pPr>
              <w:pStyle w:val="TableParagraph"/>
              <w:spacing w:line="264" w:lineRule="auto"/>
              <w:ind w:left="152" w:right="149"/>
              <w:rPr>
                <w:sz w:val="16"/>
              </w:rPr>
            </w:pPr>
            <w:r>
              <w:rPr>
                <w:sz w:val="16"/>
              </w:rPr>
              <w:t>Salg af brugerenheder til anvendelse af rumdata og -produkter som GPS og satel- litkommunikation. Kategorien indeholder kun virksomheder som vurderes at være i alvorlige problemer hvis satellitterne blev slukket. Detailhandlere med mange vare- numre hvoraf GPS-enheder er et, er uden for analysen</w:t>
            </w:r>
          </w:p>
        </w:tc>
        <w:tc>
          <w:tcPr>
            <w:tcW w:w="2279" w:type="dxa"/>
            <w:tcBorders>
              <w:left w:val="nil"/>
            </w:tcBorders>
          </w:tcPr>
          <w:p>
            <w:pPr>
              <w:pStyle w:val="TableParagraph"/>
              <w:spacing w:line="264" w:lineRule="auto"/>
              <w:ind w:left="126" w:right="175"/>
              <w:rPr>
                <w:sz w:val="16"/>
              </w:rPr>
            </w:pPr>
            <w:r>
              <w:rPr>
                <w:sz w:val="16"/>
              </w:rPr>
              <w:t>Furuno, Garmin, Leica Geosystems, Bornholms Skibsradio, Gatehouse</w:t>
            </w:r>
          </w:p>
        </w:tc>
      </w:tr>
      <w:tr>
        <w:trPr>
          <w:trHeight w:val="721" w:hRule="atLeast"/>
        </w:trPr>
        <w:tc>
          <w:tcPr>
            <w:tcW w:w="2800" w:type="dxa"/>
            <w:tcBorders>
              <w:right w:val="nil"/>
            </w:tcBorders>
          </w:tcPr>
          <w:p>
            <w:pPr>
              <w:pStyle w:val="TableParagraph"/>
              <w:spacing w:line="264" w:lineRule="auto"/>
              <w:ind w:right="1141"/>
              <w:rPr>
                <w:sz w:val="16"/>
              </w:rPr>
            </w:pPr>
            <w:r>
              <w:rPr>
                <w:sz w:val="16"/>
              </w:rPr>
              <w:t>Fremstilling af brugerenheder: 18</w:t>
            </w:r>
          </w:p>
        </w:tc>
        <w:tc>
          <w:tcPr>
            <w:tcW w:w="3713" w:type="dxa"/>
            <w:tcBorders>
              <w:left w:val="nil"/>
              <w:right w:val="nil"/>
            </w:tcBorders>
          </w:tcPr>
          <w:p>
            <w:pPr>
              <w:pStyle w:val="TableParagraph"/>
              <w:spacing w:line="264" w:lineRule="auto"/>
              <w:ind w:left="152" w:right="198"/>
              <w:jc w:val="both"/>
              <w:rPr>
                <w:sz w:val="16"/>
              </w:rPr>
            </w:pPr>
            <w:r>
              <w:rPr>
                <w:sz w:val="16"/>
              </w:rPr>
              <w:t>Fremstilling af apparater til anvendelse af rumdata og -produkter, herunder GPS og satellitkommunikation</w:t>
            </w:r>
          </w:p>
        </w:tc>
        <w:tc>
          <w:tcPr>
            <w:tcW w:w="2279" w:type="dxa"/>
            <w:tcBorders>
              <w:left w:val="nil"/>
            </w:tcBorders>
          </w:tcPr>
          <w:p>
            <w:pPr>
              <w:pStyle w:val="TableParagraph"/>
              <w:spacing w:line="264" w:lineRule="auto"/>
              <w:ind w:left="126" w:right="226"/>
              <w:rPr>
                <w:sz w:val="16"/>
              </w:rPr>
            </w:pPr>
            <w:r>
              <w:rPr>
                <w:sz w:val="16"/>
              </w:rPr>
              <w:t>Triax, Cobham Satcom, Lars Thrane, Satcom1</w:t>
            </w:r>
          </w:p>
        </w:tc>
      </w:tr>
      <w:tr>
        <w:trPr>
          <w:trHeight w:val="721" w:hRule="atLeast"/>
        </w:trPr>
        <w:tc>
          <w:tcPr>
            <w:tcW w:w="2800" w:type="dxa"/>
            <w:tcBorders>
              <w:right w:val="nil"/>
            </w:tcBorders>
          </w:tcPr>
          <w:p>
            <w:pPr>
              <w:pStyle w:val="TableParagraph"/>
              <w:rPr>
                <w:sz w:val="16"/>
              </w:rPr>
            </w:pPr>
            <w:r>
              <w:rPr>
                <w:sz w:val="16"/>
              </w:rPr>
              <w:t>Salg af rumtjenester: 13</w:t>
            </w:r>
          </w:p>
        </w:tc>
        <w:tc>
          <w:tcPr>
            <w:tcW w:w="3713" w:type="dxa"/>
            <w:tcBorders>
              <w:left w:val="nil"/>
              <w:right w:val="nil"/>
            </w:tcBorders>
          </w:tcPr>
          <w:p>
            <w:pPr>
              <w:pStyle w:val="TableParagraph"/>
              <w:spacing w:line="264" w:lineRule="auto"/>
              <w:ind w:left="152" w:right="139"/>
              <w:rPr>
                <w:sz w:val="16"/>
              </w:rPr>
            </w:pPr>
            <w:r>
              <w:rPr>
                <w:sz w:val="16"/>
              </w:rPr>
              <w:t>Salg og mægling af kapacitet på tredje- parts satellitter (herunder jordobservation og satellitkommunikation)</w:t>
            </w:r>
          </w:p>
        </w:tc>
        <w:tc>
          <w:tcPr>
            <w:tcW w:w="2279" w:type="dxa"/>
            <w:tcBorders>
              <w:left w:val="nil"/>
            </w:tcBorders>
          </w:tcPr>
          <w:p>
            <w:pPr>
              <w:pStyle w:val="TableParagraph"/>
              <w:spacing w:line="264" w:lineRule="auto"/>
              <w:ind w:left="126" w:right="113"/>
              <w:rPr>
                <w:sz w:val="16"/>
              </w:rPr>
            </w:pPr>
            <w:r>
              <w:rPr>
                <w:sz w:val="16"/>
              </w:rPr>
              <w:t>Emperion, Europasat Denmark, Furuno Broad- band Services</w:t>
            </w:r>
          </w:p>
        </w:tc>
      </w:tr>
    </w:tbl>
    <w:p>
      <w:pPr>
        <w:spacing w:after="0" w:line="264" w:lineRule="auto"/>
        <w:rPr>
          <w:sz w:val="16"/>
        </w:rPr>
        <w:sectPr>
          <w:pgSz w:w="11910" w:h="16840"/>
          <w:pgMar w:header="0" w:footer="539" w:top="1580" w:bottom="720" w:left="960" w:right="0"/>
        </w:sectPr>
      </w:pPr>
    </w:p>
    <w:p>
      <w:pPr>
        <w:pStyle w:val="BodyText"/>
        <w:spacing w:before="11"/>
        <w:rPr>
          <w:rFonts w:ascii="Times New Roman"/>
          <w:sz w:val="8"/>
        </w:rPr>
      </w:pPr>
    </w:p>
    <w:tbl>
      <w:tblPr>
        <w:tblW w:w="0" w:type="auto"/>
        <w:jc w:val="left"/>
        <w:tblInd w:w="644" w:type="dxa"/>
        <w:tblBorders>
          <w:top w:val="single" w:sz="8" w:space="0" w:color="A7D2F5"/>
          <w:left w:val="single" w:sz="8" w:space="0" w:color="A7D2F5"/>
          <w:bottom w:val="single" w:sz="8" w:space="0" w:color="A7D2F5"/>
          <w:right w:val="single" w:sz="8" w:space="0" w:color="A7D2F5"/>
          <w:insideH w:val="single" w:sz="8" w:space="0" w:color="A7D2F5"/>
          <w:insideV w:val="single" w:sz="8" w:space="0" w:color="A7D2F5"/>
        </w:tblBorders>
        <w:tblLayout w:type="fixed"/>
        <w:tblCellMar>
          <w:top w:w="0" w:type="dxa"/>
          <w:left w:w="0" w:type="dxa"/>
          <w:bottom w:w="0" w:type="dxa"/>
          <w:right w:w="0" w:type="dxa"/>
        </w:tblCellMar>
        <w:tblLook w:val="01E0"/>
      </w:tblPr>
      <w:tblGrid>
        <w:gridCol w:w="2797"/>
        <w:gridCol w:w="3718"/>
        <w:gridCol w:w="2275"/>
      </w:tblGrid>
      <w:tr>
        <w:trPr>
          <w:trHeight w:val="314" w:hRule="atLeast"/>
        </w:trPr>
        <w:tc>
          <w:tcPr>
            <w:tcW w:w="2797" w:type="dxa"/>
            <w:tcBorders>
              <w:top w:val="nil"/>
              <w:left w:val="nil"/>
              <w:bottom w:val="nil"/>
              <w:right w:val="nil"/>
            </w:tcBorders>
            <w:shd w:val="clear" w:color="auto" w:fill="A7D2F5"/>
          </w:tcPr>
          <w:p>
            <w:pPr>
              <w:pStyle w:val="TableParagraph"/>
              <w:spacing w:before="60"/>
              <w:ind w:left="117"/>
              <w:rPr>
                <w:b/>
                <w:sz w:val="16"/>
              </w:rPr>
            </w:pPr>
            <w:r>
              <w:rPr>
                <w:b/>
                <w:color w:val="FFFFFF"/>
                <w:sz w:val="16"/>
              </w:rPr>
              <w:t>Værdikædeelement og antal</w:t>
            </w:r>
          </w:p>
        </w:tc>
        <w:tc>
          <w:tcPr>
            <w:tcW w:w="3718" w:type="dxa"/>
            <w:tcBorders>
              <w:top w:val="nil"/>
              <w:left w:val="nil"/>
              <w:bottom w:val="nil"/>
              <w:right w:val="nil"/>
            </w:tcBorders>
            <w:shd w:val="clear" w:color="auto" w:fill="A7D2F5"/>
          </w:tcPr>
          <w:p>
            <w:pPr>
              <w:pStyle w:val="TableParagraph"/>
              <w:spacing w:before="60"/>
              <w:ind w:left="155"/>
              <w:rPr>
                <w:b/>
                <w:sz w:val="16"/>
              </w:rPr>
            </w:pPr>
            <w:r>
              <w:rPr>
                <w:b/>
                <w:color w:val="FFFFFF"/>
                <w:sz w:val="16"/>
              </w:rPr>
              <w:t>Beskrivelse</w:t>
            </w:r>
          </w:p>
        </w:tc>
        <w:tc>
          <w:tcPr>
            <w:tcW w:w="2275" w:type="dxa"/>
            <w:tcBorders>
              <w:top w:val="nil"/>
              <w:left w:val="nil"/>
              <w:bottom w:val="nil"/>
              <w:right w:val="nil"/>
            </w:tcBorders>
            <w:shd w:val="clear" w:color="auto" w:fill="A7D2F5"/>
          </w:tcPr>
          <w:p>
            <w:pPr>
              <w:pStyle w:val="TableParagraph"/>
              <w:spacing w:before="60"/>
              <w:ind w:left="124"/>
              <w:rPr>
                <w:b/>
                <w:sz w:val="16"/>
              </w:rPr>
            </w:pPr>
            <w:r>
              <w:rPr>
                <w:b/>
                <w:color w:val="FFFFFF"/>
                <w:sz w:val="16"/>
              </w:rPr>
              <w:t>Virksomhedseksempel</w:t>
            </w:r>
          </w:p>
        </w:tc>
      </w:tr>
      <w:tr>
        <w:trPr>
          <w:trHeight w:val="505" w:hRule="atLeast"/>
        </w:trPr>
        <w:tc>
          <w:tcPr>
            <w:tcW w:w="2797" w:type="dxa"/>
            <w:tcBorders>
              <w:top w:val="nil"/>
              <w:right w:val="nil"/>
            </w:tcBorders>
          </w:tcPr>
          <w:p>
            <w:pPr>
              <w:pStyle w:val="TableParagraph"/>
              <w:rPr>
                <w:sz w:val="16"/>
              </w:rPr>
            </w:pPr>
            <w:r>
              <w:rPr>
                <w:sz w:val="16"/>
              </w:rPr>
              <w:t>Satellit-tv: 4</w:t>
            </w:r>
          </w:p>
        </w:tc>
        <w:tc>
          <w:tcPr>
            <w:tcW w:w="3718" w:type="dxa"/>
            <w:tcBorders>
              <w:top w:val="nil"/>
              <w:left w:val="nil"/>
              <w:right w:val="nil"/>
            </w:tcBorders>
          </w:tcPr>
          <w:p>
            <w:pPr>
              <w:pStyle w:val="TableParagraph"/>
              <w:ind w:left="155"/>
              <w:rPr>
                <w:sz w:val="16"/>
              </w:rPr>
            </w:pPr>
            <w:r>
              <w:rPr>
                <w:sz w:val="16"/>
              </w:rPr>
              <w:t>Salg af adgang til satellit-tv</w:t>
            </w:r>
          </w:p>
        </w:tc>
        <w:tc>
          <w:tcPr>
            <w:tcW w:w="2275" w:type="dxa"/>
            <w:tcBorders>
              <w:top w:val="nil"/>
              <w:left w:val="nil"/>
            </w:tcBorders>
          </w:tcPr>
          <w:p>
            <w:pPr>
              <w:pStyle w:val="TableParagraph"/>
              <w:spacing w:line="261" w:lineRule="auto"/>
              <w:ind w:left="124" w:right="437"/>
              <w:rPr>
                <w:sz w:val="16"/>
              </w:rPr>
            </w:pPr>
            <w:r>
              <w:rPr>
                <w:sz w:val="16"/>
              </w:rPr>
              <w:t>Viasat, Canal Digital, Studios</w:t>
            </w:r>
          </w:p>
        </w:tc>
      </w:tr>
      <w:tr>
        <w:trPr>
          <w:trHeight w:val="294" w:hRule="atLeast"/>
        </w:trPr>
        <w:tc>
          <w:tcPr>
            <w:tcW w:w="8790" w:type="dxa"/>
            <w:gridSpan w:val="3"/>
            <w:shd w:val="clear" w:color="auto" w:fill="F5F5F3"/>
          </w:tcPr>
          <w:p>
            <w:pPr>
              <w:pStyle w:val="TableParagraph"/>
              <w:rPr>
                <w:b/>
                <w:sz w:val="16"/>
              </w:rPr>
            </w:pPr>
            <w:r>
              <w:rPr>
                <w:b/>
                <w:sz w:val="16"/>
              </w:rPr>
              <w:t>Følgeservices: 15</w:t>
            </w:r>
          </w:p>
        </w:tc>
      </w:tr>
      <w:tr>
        <w:trPr>
          <w:trHeight w:val="508" w:hRule="atLeast"/>
        </w:trPr>
        <w:tc>
          <w:tcPr>
            <w:tcW w:w="2797" w:type="dxa"/>
            <w:tcBorders>
              <w:right w:val="nil"/>
            </w:tcBorders>
          </w:tcPr>
          <w:p>
            <w:pPr>
              <w:pStyle w:val="TableParagraph"/>
              <w:spacing w:line="264" w:lineRule="auto"/>
              <w:ind w:right="213"/>
              <w:rPr>
                <w:sz w:val="16"/>
              </w:rPr>
            </w:pPr>
            <w:r>
              <w:rPr>
                <w:sz w:val="16"/>
              </w:rPr>
              <w:t>Markedsanalyse og konsulent- tjenester: 10</w:t>
            </w:r>
          </w:p>
        </w:tc>
        <w:tc>
          <w:tcPr>
            <w:tcW w:w="3718" w:type="dxa"/>
            <w:tcBorders>
              <w:left w:val="nil"/>
              <w:right w:val="nil"/>
            </w:tcBorders>
          </w:tcPr>
          <w:p>
            <w:pPr>
              <w:pStyle w:val="TableParagraph"/>
              <w:spacing w:line="264" w:lineRule="auto"/>
              <w:ind w:left="155" w:right="449"/>
              <w:rPr>
                <w:sz w:val="16"/>
              </w:rPr>
            </w:pPr>
            <w:r>
              <w:rPr>
                <w:sz w:val="16"/>
              </w:rPr>
              <w:t>Markedsanalyse og konsulenttjenester med </w:t>
            </w:r>
            <w:r>
              <w:rPr>
                <w:b/>
                <w:sz w:val="16"/>
              </w:rPr>
              <w:t>specifikt </w:t>
            </w:r>
            <w:r>
              <w:rPr>
                <w:sz w:val="16"/>
              </w:rPr>
              <w:t>fokus på rummet</w:t>
            </w:r>
          </w:p>
        </w:tc>
        <w:tc>
          <w:tcPr>
            <w:tcW w:w="2275" w:type="dxa"/>
            <w:tcBorders>
              <w:left w:val="nil"/>
            </w:tcBorders>
          </w:tcPr>
          <w:p>
            <w:pPr>
              <w:pStyle w:val="TableParagraph"/>
              <w:spacing w:line="264" w:lineRule="auto"/>
              <w:ind w:left="124" w:right="327"/>
              <w:rPr>
                <w:sz w:val="16"/>
              </w:rPr>
            </w:pPr>
            <w:r>
              <w:rPr>
                <w:sz w:val="16"/>
              </w:rPr>
              <w:t>2operate, Oracle Dan- mark, Ticra</w:t>
            </w:r>
          </w:p>
        </w:tc>
      </w:tr>
      <w:tr>
        <w:trPr>
          <w:trHeight w:val="507" w:hRule="atLeast"/>
        </w:trPr>
        <w:tc>
          <w:tcPr>
            <w:tcW w:w="2797" w:type="dxa"/>
            <w:tcBorders>
              <w:right w:val="nil"/>
            </w:tcBorders>
          </w:tcPr>
          <w:p>
            <w:pPr>
              <w:pStyle w:val="TableParagraph"/>
              <w:rPr>
                <w:sz w:val="16"/>
              </w:rPr>
            </w:pPr>
            <w:r>
              <w:rPr>
                <w:sz w:val="16"/>
              </w:rPr>
              <w:t>Formidling: 5</w:t>
            </w:r>
          </w:p>
        </w:tc>
        <w:tc>
          <w:tcPr>
            <w:tcW w:w="3718" w:type="dxa"/>
            <w:tcBorders>
              <w:left w:val="nil"/>
              <w:right w:val="nil"/>
            </w:tcBorders>
          </w:tcPr>
          <w:p>
            <w:pPr>
              <w:pStyle w:val="TableParagraph"/>
              <w:spacing w:line="264" w:lineRule="auto"/>
              <w:ind w:left="155" w:right="255"/>
              <w:rPr>
                <w:sz w:val="16"/>
              </w:rPr>
            </w:pPr>
            <w:r>
              <w:rPr>
                <w:sz w:val="16"/>
              </w:rPr>
              <w:t>Formidling af rumrelateret viden i obser- vatorier, museer og lignende</w:t>
            </w:r>
          </w:p>
        </w:tc>
        <w:tc>
          <w:tcPr>
            <w:tcW w:w="2275" w:type="dxa"/>
            <w:tcBorders>
              <w:left w:val="nil"/>
            </w:tcBorders>
          </w:tcPr>
          <w:p>
            <w:pPr>
              <w:pStyle w:val="TableParagraph"/>
              <w:ind w:left="124"/>
              <w:rPr>
                <w:sz w:val="16"/>
              </w:rPr>
            </w:pPr>
            <w:r>
              <w:rPr>
                <w:sz w:val="16"/>
              </w:rPr>
              <w:t>DMI, Planetarier</w:t>
            </w:r>
          </w:p>
        </w:tc>
      </w:tr>
      <w:tr>
        <w:trPr>
          <w:trHeight w:val="294" w:hRule="atLeast"/>
        </w:trPr>
        <w:tc>
          <w:tcPr>
            <w:tcW w:w="2797" w:type="dxa"/>
            <w:tcBorders>
              <w:right w:val="nil"/>
            </w:tcBorders>
          </w:tcPr>
          <w:p>
            <w:pPr>
              <w:pStyle w:val="TableParagraph"/>
              <w:rPr>
                <w:sz w:val="16"/>
              </w:rPr>
            </w:pPr>
            <w:r>
              <w:rPr>
                <w:sz w:val="16"/>
              </w:rPr>
              <w:t>Finans og jura: 0</w:t>
            </w:r>
          </w:p>
        </w:tc>
        <w:tc>
          <w:tcPr>
            <w:tcW w:w="3718" w:type="dxa"/>
            <w:tcBorders>
              <w:left w:val="nil"/>
              <w:right w:val="nil"/>
            </w:tcBorders>
          </w:tcPr>
          <w:p>
            <w:pPr>
              <w:pStyle w:val="TableParagraph"/>
              <w:ind w:left="155"/>
              <w:rPr>
                <w:sz w:val="16"/>
              </w:rPr>
            </w:pPr>
            <w:r>
              <w:rPr>
                <w:sz w:val="16"/>
              </w:rPr>
              <w:t>Specifikke tjenester med rumfokus</w:t>
            </w:r>
          </w:p>
        </w:tc>
        <w:tc>
          <w:tcPr>
            <w:tcW w:w="2275" w:type="dxa"/>
            <w:tcBorders>
              <w:left w:val="nil"/>
            </w:tcBorders>
          </w:tcPr>
          <w:p>
            <w:pPr>
              <w:pStyle w:val="TableParagraph"/>
              <w:ind w:left="124"/>
              <w:rPr>
                <w:sz w:val="16"/>
              </w:rPr>
            </w:pPr>
            <w:r>
              <w:rPr>
                <w:w w:val="100"/>
                <w:sz w:val="16"/>
              </w:rPr>
              <w:t>-</w:t>
            </w:r>
          </w:p>
        </w:tc>
      </w:tr>
      <w:tr>
        <w:trPr>
          <w:trHeight w:val="292" w:hRule="atLeast"/>
        </w:trPr>
        <w:tc>
          <w:tcPr>
            <w:tcW w:w="2797" w:type="dxa"/>
            <w:tcBorders>
              <w:right w:val="nil"/>
            </w:tcBorders>
          </w:tcPr>
          <w:p>
            <w:pPr>
              <w:pStyle w:val="TableParagraph"/>
              <w:rPr>
                <w:sz w:val="16"/>
              </w:rPr>
            </w:pPr>
            <w:r>
              <w:rPr>
                <w:sz w:val="16"/>
              </w:rPr>
              <w:t>Forsikring: 0</w:t>
            </w:r>
          </w:p>
        </w:tc>
        <w:tc>
          <w:tcPr>
            <w:tcW w:w="3718" w:type="dxa"/>
            <w:tcBorders>
              <w:left w:val="nil"/>
              <w:right w:val="nil"/>
            </w:tcBorders>
          </w:tcPr>
          <w:p>
            <w:pPr>
              <w:pStyle w:val="TableParagraph"/>
              <w:ind w:left="155"/>
              <w:rPr>
                <w:sz w:val="16"/>
              </w:rPr>
            </w:pPr>
            <w:r>
              <w:rPr>
                <w:sz w:val="16"/>
              </w:rPr>
              <w:t>Specifikke tjenester med rumfokus</w:t>
            </w:r>
          </w:p>
        </w:tc>
        <w:tc>
          <w:tcPr>
            <w:tcW w:w="2275" w:type="dxa"/>
            <w:tcBorders>
              <w:left w:val="nil"/>
            </w:tcBorders>
          </w:tcPr>
          <w:p>
            <w:pPr>
              <w:pStyle w:val="TableParagraph"/>
              <w:ind w:left="124"/>
              <w:rPr>
                <w:sz w:val="16"/>
              </w:rPr>
            </w:pPr>
            <w:r>
              <w:rPr>
                <w:w w:val="100"/>
                <w:sz w:val="16"/>
              </w:rPr>
              <w:t>-</w:t>
            </w:r>
          </w:p>
        </w:tc>
      </w:tr>
      <w:tr>
        <w:trPr>
          <w:trHeight w:val="294" w:hRule="atLeast"/>
        </w:trPr>
        <w:tc>
          <w:tcPr>
            <w:tcW w:w="8790" w:type="dxa"/>
            <w:gridSpan w:val="3"/>
            <w:shd w:val="clear" w:color="auto" w:fill="F5F5F3"/>
          </w:tcPr>
          <w:p>
            <w:pPr>
              <w:pStyle w:val="TableParagraph"/>
              <w:spacing w:before="42"/>
              <w:rPr>
                <w:b/>
                <w:sz w:val="16"/>
              </w:rPr>
            </w:pPr>
            <w:r>
              <w:rPr>
                <w:b/>
                <w:sz w:val="16"/>
              </w:rPr>
              <w:t>Universiteter</w:t>
            </w:r>
          </w:p>
        </w:tc>
      </w:tr>
      <w:tr>
        <w:trPr>
          <w:trHeight w:val="722" w:hRule="atLeast"/>
        </w:trPr>
        <w:tc>
          <w:tcPr>
            <w:tcW w:w="2797" w:type="dxa"/>
            <w:tcBorders>
              <w:right w:val="nil"/>
            </w:tcBorders>
          </w:tcPr>
          <w:p>
            <w:pPr>
              <w:pStyle w:val="TableParagraph"/>
              <w:rPr>
                <w:sz w:val="16"/>
              </w:rPr>
            </w:pPr>
            <w:r>
              <w:rPr>
                <w:sz w:val="16"/>
              </w:rPr>
              <w:t>Grundforskning</w:t>
            </w:r>
          </w:p>
        </w:tc>
        <w:tc>
          <w:tcPr>
            <w:tcW w:w="3718" w:type="dxa"/>
            <w:tcBorders>
              <w:left w:val="nil"/>
              <w:right w:val="nil"/>
            </w:tcBorders>
          </w:tcPr>
          <w:p>
            <w:pPr>
              <w:pStyle w:val="TableParagraph"/>
              <w:spacing w:line="264" w:lineRule="auto"/>
              <w:ind w:left="155" w:right="606"/>
              <w:rPr>
                <w:sz w:val="16"/>
              </w:rPr>
            </w:pPr>
            <w:r>
              <w:rPr>
                <w:sz w:val="16"/>
              </w:rPr>
              <w:t>Grundforskning inden for astronomi, astrofysik mv.</w:t>
            </w:r>
          </w:p>
        </w:tc>
        <w:tc>
          <w:tcPr>
            <w:tcW w:w="2275" w:type="dxa"/>
            <w:tcBorders>
              <w:left w:val="nil"/>
            </w:tcBorders>
          </w:tcPr>
          <w:p>
            <w:pPr>
              <w:pStyle w:val="TableParagraph"/>
              <w:spacing w:line="264" w:lineRule="auto"/>
              <w:ind w:left="124" w:right="145"/>
              <w:rPr>
                <w:sz w:val="16"/>
              </w:rPr>
            </w:pPr>
            <w:r>
              <w:rPr>
                <w:sz w:val="16"/>
              </w:rPr>
              <w:t>Aarhus Universitet, Syd- dansk Universitet, DTU, Københavns Universitet</w:t>
            </w:r>
          </w:p>
        </w:tc>
      </w:tr>
      <w:tr>
        <w:trPr>
          <w:trHeight w:val="721" w:hRule="atLeast"/>
        </w:trPr>
        <w:tc>
          <w:tcPr>
            <w:tcW w:w="2797" w:type="dxa"/>
            <w:tcBorders>
              <w:right w:val="nil"/>
            </w:tcBorders>
          </w:tcPr>
          <w:p>
            <w:pPr>
              <w:pStyle w:val="TableParagraph"/>
              <w:rPr>
                <w:sz w:val="16"/>
              </w:rPr>
            </w:pPr>
            <w:r>
              <w:rPr>
                <w:sz w:val="16"/>
              </w:rPr>
              <w:t>Anvendt forskning</w:t>
            </w:r>
          </w:p>
        </w:tc>
        <w:tc>
          <w:tcPr>
            <w:tcW w:w="3718" w:type="dxa"/>
            <w:tcBorders>
              <w:left w:val="nil"/>
              <w:right w:val="nil"/>
            </w:tcBorders>
          </w:tcPr>
          <w:p>
            <w:pPr>
              <w:pStyle w:val="TableParagraph"/>
              <w:spacing w:line="264" w:lineRule="auto"/>
              <w:ind w:left="155" w:right="102"/>
              <w:rPr>
                <w:sz w:val="16"/>
              </w:rPr>
            </w:pPr>
            <w:r>
              <w:rPr>
                <w:sz w:val="16"/>
              </w:rPr>
              <w:t>Forskning med anvendelse af rummet samt forskning i rumrelaterede teknologier (satellitkomponenter og</w:t>
            </w:r>
            <w:r>
              <w:rPr>
                <w:spacing w:val="-5"/>
                <w:sz w:val="16"/>
              </w:rPr>
              <w:t> </w:t>
            </w:r>
            <w:r>
              <w:rPr>
                <w:sz w:val="16"/>
              </w:rPr>
              <w:t>lignende)</w:t>
            </w:r>
          </w:p>
        </w:tc>
        <w:tc>
          <w:tcPr>
            <w:tcW w:w="2275" w:type="dxa"/>
            <w:tcBorders>
              <w:left w:val="nil"/>
            </w:tcBorders>
          </w:tcPr>
          <w:p>
            <w:pPr>
              <w:pStyle w:val="TableParagraph"/>
              <w:ind w:left="124"/>
              <w:rPr>
                <w:sz w:val="16"/>
              </w:rPr>
            </w:pPr>
            <w:r>
              <w:rPr>
                <w:sz w:val="16"/>
              </w:rPr>
              <w:t>DTU, Aalborg Universitet</w:t>
            </w:r>
          </w:p>
        </w:tc>
      </w:tr>
      <w:tr>
        <w:trPr>
          <w:trHeight w:val="294" w:hRule="atLeast"/>
        </w:trPr>
        <w:tc>
          <w:tcPr>
            <w:tcW w:w="8790" w:type="dxa"/>
            <w:gridSpan w:val="3"/>
            <w:shd w:val="clear" w:color="auto" w:fill="F5F5F3"/>
          </w:tcPr>
          <w:p>
            <w:pPr>
              <w:pStyle w:val="TableParagraph"/>
              <w:spacing w:before="42"/>
              <w:rPr>
                <w:b/>
                <w:sz w:val="16"/>
              </w:rPr>
            </w:pPr>
            <w:r>
              <w:rPr>
                <w:b/>
                <w:sz w:val="16"/>
              </w:rPr>
              <w:t>Offentlige instanser</w:t>
            </w:r>
          </w:p>
        </w:tc>
      </w:tr>
      <w:tr>
        <w:trPr>
          <w:trHeight w:val="507" w:hRule="atLeast"/>
        </w:trPr>
        <w:tc>
          <w:tcPr>
            <w:tcW w:w="2797" w:type="dxa"/>
            <w:tcBorders>
              <w:right w:val="nil"/>
            </w:tcBorders>
          </w:tcPr>
          <w:p>
            <w:pPr>
              <w:pStyle w:val="TableParagraph"/>
              <w:rPr>
                <w:sz w:val="16"/>
              </w:rPr>
            </w:pPr>
            <w:r>
              <w:rPr>
                <w:sz w:val="16"/>
              </w:rPr>
              <w:t>Forskning:</w:t>
            </w:r>
          </w:p>
        </w:tc>
        <w:tc>
          <w:tcPr>
            <w:tcW w:w="3718" w:type="dxa"/>
            <w:tcBorders>
              <w:left w:val="nil"/>
              <w:right w:val="nil"/>
            </w:tcBorders>
          </w:tcPr>
          <w:p>
            <w:pPr>
              <w:pStyle w:val="TableParagraph"/>
              <w:ind w:left="155"/>
              <w:rPr>
                <w:sz w:val="16"/>
              </w:rPr>
            </w:pPr>
            <w:r>
              <w:rPr>
                <w:sz w:val="16"/>
              </w:rPr>
              <w:t>Forskning med anvendelse af rumdata og</w:t>
            </w:r>
          </w:p>
          <w:p>
            <w:pPr>
              <w:pStyle w:val="TableParagraph"/>
              <w:spacing w:before="19"/>
              <w:ind w:left="155"/>
              <w:rPr>
                <w:sz w:val="16"/>
              </w:rPr>
            </w:pPr>
            <w:r>
              <w:rPr>
                <w:sz w:val="16"/>
              </w:rPr>
              <w:t>-produkter</w:t>
            </w:r>
          </w:p>
        </w:tc>
        <w:tc>
          <w:tcPr>
            <w:tcW w:w="2275" w:type="dxa"/>
            <w:tcBorders>
              <w:left w:val="nil"/>
            </w:tcBorders>
          </w:tcPr>
          <w:p>
            <w:pPr>
              <w:pStyle w:val="TableParagraph"/>
              <w:ind w:left="124"/>
              <w:rPr>
                <w:sz w:val="16"/>
              </w:rPr>
            </w:pPr>
            <w:r>
              <w:rPr>
                <w:sz w:val="16"/>
              </w:rPr>
              <w:t>DMI og universiteterne</w:t>
            </w:r>
          </w:p>
        </w:tc>
      </w:tr>
      <w:tr>
        <w:trPr>
          <w:trHeight w:val="507" w:hRule="atLeast"/>
        </w:trPr>
        <w:tc>
          <w:tcPr>
            <w:tcW w:w="2797" w:type="dxa"/>
            <w:tcBorders>
              <w:right w:val="nil"/>
            </w:tcBorders>
          </w:tcPr>
          <w:p>
            <w:pPr>
              <w:pStyle w:val="TableParagraph"/>
              <w:rPr>
                <w:sz w:val="16"/>
              </w:rPr>
            </w:pPr>
            <w:r>
              <w:rPr>
                <w:sz w:val="16"/>
              </w:rPr>
              <w:t>Ideudvikling:</w:t>
            </w:r>
          </w:p>
        </w:tc>
        <w:tc>
          <w:tcPr>
            <w:tcW w:w="3718" w:type="dxa"/>
            <w:tcBorders>
              <w:left w:val="nil"/>
              <w:right w:val="nil"/>
            </w:tcBorders>
          </w:tcPr>
          <w:p>
            <w:pPr>
              <w:pStyle w:val="TableParagraph"/>
              <w:spacing w:line="264" w:lineRule="auto"/>
              <w:ind w:left="155" w:right="806"/>
              <w:rPr>
                <w:sz w:val="16"/>
              </w:rPr>
            </w:pPr>
            <w:r>
              <w:rPr>
                <w:sz w:val="16"/>
              </w:rPr>
              <w:t>Politik- og ideudvikling baseret på rumdata</w:t>
            </w:r>
          </w:p>
        </w:tc>
        <w:tc>
          <w:tcPr>
            <w:tcW w:w="2275" w:type="dxa"/>
            <w:tcBorders>
              <w:left w:val="nil"/>
            </w:tcBorders>
          </w:tcPr>
          <w:p>
            <w:pPr>
              <w:pStyle w:val="TableParagraph"/>
              <w:spacing w:before="0"/>
              <w:ind w:left="0"/>
              <w:rPr>
                <w:rFonts w:ascii="Times New Roman"/>
                <w:sz w:val="14"/>
              </w:rPr>
            </w:pPr>
          </w:p>
        </w:tc>
      </w:tr>
      <w:tr>
        <w:trPr>
          <w:trHeight w:val="546" w:hRule="atLeast"/>
        </w:trPr>
        <w:tc>
          <w:tcPr>
            <w:tcW w:w="8790" w:type="dxa"/>
            <w:gridSpan w:val="3"/>
            <w:shd w:val="clear" w:color="auto" w:fill="F5F5F3"/>
          </w:tcPr>
          <w:p>
            <w:pPr>
              <w:pStyle w:val="TableParagraph"/>
              <w:rPr>
                <w:b/>
                <w:sz w:val="16"/>
              </w:rPr>
            </w:pPr>
            <w:r>
              <w:rPr>
                <w:b/>
                <w:sz w:val="16"/>
              </w:rPr>
              <w:t>Offentlige og private</w:t>
            </w:r>
          </w:p>
          <w:p>
            <w:pPr>
              <w:pStyle w:val="TableParagraph"/>
              <w:spacing w:before="60"/>
              <w:rPr>
                <w:b/>
                <w:sz w:val="16"/>
              </w:rPr>
            </w:pPr>
            <w:r>
              <w:rPr>
                <w:b/>
                <w:sz w:val="16"/>
              </w:rPr>
              <w:t>brugere</w:t>
            </w:r>
          </w:p>
        </w:tc>
      </w:tr>
      <w:tr>
        <w:trPr>
          <w:trHeight w:val="762" w:hRule="atLeast"/>
        </w:trPr>
        <w:tc>
          <w:tcPr>
            <w:tcW w:w="2797" w:type="dxa"/>
            <w:tcBorders>
              <w:right w:val="nil"/>
            </w:tcBorders>
          </w:tcPr>
          <w:p>
            <w:pPr>
              <w:pStyle w:val="TableParagraph"/>
              <w:spacing w:line="264" w:lineRule="auto" w:before="42"/>
              <w:ind w:right="287"/>
              <w:rPr>
                <w:sz w:val="16"/>
              </w:rPr>
            </w:pPr>
            <w:r>
              <w:rPr>
                <w:sz w:val="16"/>
              </w:rPr>
              <w:t>Brugere af rumbaserede data og produkter</w:t>
            </w:r>
          </w:p>
        </w:tc>
        <w:tc>
          <w:tcPr>
            <w:tcW w:w="3718" w:type="dxa"/>
            <w:tcBorders>
              <w:left w:val="nil"/>
              <w:right w:val="nil"/>
            </w:tcBorders>
          </w:tcPr>
          <w:p>
            <w:pPr>
              <w:pStyle w:val="TableParagraph"/>
              <w:spacing w:line="288" w:lineRule="auto" w:before="42"/>
              <w:ind w:left="155" w:right="500"/>
              <w:rPr>
                <w:sz w:val="16"/>
              </w:rPr>
            </w:pPr>
            <w:r>
              <w:rPr>
                <w:sz w:val="16"/>
              </w:rPr>
              <w:t>Kommercielle og offentlige brugere af færdigkøbte rumdata og produkter (dvs. uden egen udvikling).</w:t>
            </w:r>
          </w:p>
        </w:tc>
        <w:tc>
          <w:tcPr>
            <w:tcW w:w="2275" w:type="dxa"/>
            <w:tcBorders>
              <w:left w:val="nil"/>
            </w:tcBorders>
          </w:tcPr>
          <w:p>
            <w:pPr>
              <w:pStyle w:val="TableParagraph"/>
              <w:spacing w:line="264" w:lineRule="auto" w:before="42"/>
              <w:ind w:left="124" w:right="241"/>
              <w:rPr>
                <w:sz w:val="16"/>
              </w:rPr>
            </w:pPr>
            <w:r>
              <w:rPr>
                <w:sz w:val="16"/>
              </w:rPr>
              <w:t>Ministerierne i strategi- gruppen samt øvrige myndigheder</w:t>
            </w:r>
          </w:p>
        </w:tc>
      </w:tr>
      <w:tr>
        <w:trPr>
          <w:trHeight w:val="721" w:hRule="atLeast"/>
        </w:trPr>
        <w:tc>
          <w:tcPr>
            <w:tcW w:w="2797" w:type="dxa"/>
            <w:tcBorders>
              <w:right w:val="nil"/>
            </w:tcBorders>
          </w:tcPr>
          <w:p>
            <w:pPr>
              <w:pStyle w:val="TableParagraph"/>
              <w:spacing w:line="264" w:lineRule="auto"/>
              <w:ind w:right="118"/>
              <w:rPr>
                <w:sz w:val="16"/>
              </w:rPr>
            </w:pPr>
            <w:r>
              <w:rPr>
                <w:sz w:val="16"/>
              </w:rPr>
              <w:t>Brugere af teknologi og viden fremskaffet gennem rumrelate- re forskning og udvikling</w:t>
            </w:r>
          </w:p>
        </w:tc>
        <w:tc>
          <w:tcPr>
            <w:tcW w:w="3718" w:type="dxa"/>
            <w:tcBorders>
              <w:left w:val="nil"/>
              <w:right w:val="nil"/>
            </w:tcBorders>
          </w:tcPr>
          <w:p>
            <w:pPr>
              <w:pStyle w:val="TableParagraph"/>
              <w:ind w:left="155"/>
              <w:rPr>
                <w:sz w:val="16"/>
              </w:rPr>
            </w:pPr>
            <w:r>
              <w:rPr>
                <w:sz w:val="16"/>
              </w:rPr>
              <w:t>Brugere af rum-udviklet teknologi</w:t>
            </w:r>
          </w:p>
        </w:tc>
        <w:tc>
          <w:tcPr>
            <w:tcW w:w="2275" w:type="dxa"/>
            <w:tcBorders>
              <w:left w:val="nil"/>
            </w:tcBorders>
          </w:tcPr>
          <w:p>
            <w:pPr>
              <w:pStyle w:val="TableParagraph"/>
              <w:spacing w:before="0"/>
              <w:ind w:left="0"/>
              <w:rPr>
                <w:rFonts w:ascii="Times New Roman"/>
                <w:sz w:val="14"/>
              </w:rPr>
            </w:pPr>
          </w:p>
        </w:tc>
      </w:tr>
    </w:tbl>
    <w:p>
      <w:pPr>
        <w:spacing w:after="0"/>
        <w:rPr>
          <w:rFonts w:ascii="Times New Roman"/>
          <w:sz w:val="14"/>
        </w:rPr>
        <w:sectPr>
          <w:pgSz w:w="11910" w:h="16840"/>
          <w:pgMar w:header="0" w:footer="539" w:top="1580" w:bottom="720" w:left="960" w:right="0"/>
        </w:sectPr>
      </w:pPr>
    </w:p>
    <w:p>
      <w:pPr>
        <w:spacing w:before="105"/>
        <w:ind w:left="742" w:right="0" w:firstLine="0"/>
        <w:jc w:val="left"/>
        <w:rPr>
          <w:b/>
          <w:sz w:val="22"/>
        </w:rPr>
      </w:pPr>
      <w:bookmarkStart w:name="_bookmark68" w:id="69"/>
      <w:bookmarkEnd w:id="69"/>
      <w:r>
        <w:rPr/>
      </w:r>
      <w:r>
        <w:rPr>
          <w:b/>
          <w:color w:val="009DDF"/>
          <w:sz w:val="22"/>
        </w:rPr>
        <w:t>BILAG 6: VIRKSOMHEDSLISTER</w:t>
      </w:r>
    </w:p>
    <w:p>
      <w:pPr>
        <w:pStyle w:val="BodyText"/>
        <w:spacing w:before="6"/>
        <w:rPr>
          <w:b/>
          <w:sz w:val="21"/>
        </w:rPr>
      </w:pPr>
    </w:p>
    <w:tbl>
      <w:tblPr>
        <w:tblW w:w="0" w:type="auto"/>
        <w:jc w:val="left"/>
        <w:tblInd w:w="641" w:type="dxa"/>
        <w:tblBorders>
          <w:top w:val="single" w:sz="4" w:space="0" w:color="A7D2F5"/>
          <w:left w:val="single" w:sz="4" w:space="0" w:color="A7D2F5"/>
          <w:bottom w:val="single" w:sz="4" w:space="0" w:color="A7D2F5"/>
          <w:right w:val="single" w:sz="4" w:space="0" w:color="A7D2F5"/>
          <w:insideH w:val="single" w:sz="4" w:space="0" w:color="A7D2F5"/>
          <w:insideV w:val="single" w:sz="4" w:space="0" w:color="A7D2F5"/>
        </w:tblBorders>
        <w:tblLayout w:type="fixed"/>
        <w:tblCellMar>
          <w:top w:w="0" w:type="dxa"/>
          <w:left w:w="0" w:type="dxa"/>
          <w:bottom w:w="0" w:type="dxa"/>
          <w:right w:w="0" w:type="dxa"/>
        </w:tblCellMar>
        <w:tblLook w:val="01E0"/>
      </w:tblPr>
      <w:tblGrid>
        <w:gridCol w:w="2281"/>
        <w:gridCol w:w="2278"/>
        <w:gridCol w:w="2281"/>
        <w:gridCol w:w="2281"/>
      </w:tblGrid>
      <w:tr>
        <w:trPr>
          <w:trHeight w:val="246" w:hRule="atLeast"/>
        </w:trPr>
        <w:tc>
          <w:tcPr>
            <w:tcW w:w="2281" w:type="dxa"/>
            <w:tcBorders>
              <w:top w:val="nil"/>
              <w:left w:val="nil"/>
              <w:bottom w:val="nil"/>
              <w:right w:val="nil"/>
            </w:tcBorders>
            <w:shd w:val="clear" w:color="auto" w:fill="A7D2F5"/>
          </w:tcPr>
          <w:p>
            <w:pPr>
              <w:pStyle w:val="TableParagraph"/>
              <w:spacing w:before="21"/>
              <w:ind w:left="112"/>
              <w:rPr>
                <w:b/>
                <w:sz w:val="16"/>
              </w:rPr>
            </w:pPr>
            <w:r>
              <w:rPr>
                <w:b/>
                <w:color w:val="FFFFFF"/>
                <w:sz w:val="16"/>
              </w:rPr>
              <w:t>Virksomhedsnavn</w:t>
            </w:r>
          </w:p>
        </w:tc>
        <w:tc>
          <w:tcPr>
            <w:tcW w:w="2278" w:type="dxa"/>
            <w:tcBorders>
              <w:top w:val="nil"/>
              <w:left w:val="nil"/>
              <w:bottom w:val="nil"/>
              <w:right w:val="nil"/>
            </w:tcBorders>
            <w:shd w:val="clear" w:color="auto" w:fill="A7D2F5"/>
          </w:tcPr>
          <w:p>
            <w:pPr>
              <w:pStyle w:val="TableParagraph"/>
              <w:spacing w:before="21"/>
              <w:ind w:left="109"/>
              <w:rPr>
                <w:b/>
                <w:sz w:val="16"/>
              </w:rPr>
            </w:pPr>
            <w:r>
              <w:rPr>
                <w:b/>
                <w:color w:val="FFFFFF"/>
                <w:sz w:val="16"/>
              </w:rPr>
              <w:t>Virksomhedsnavn</w:t>
            </w:r>
          </w:p>
        </w:tc>
        <w:tc>
          <w:tcPr>
            <w:tcW w:w="2281" w:type="dxa"/>
            <w:tcBorders>
              <w:top w:val="nil"/>
              <w:left w:val="nil"/>
              <w:bottom w:val="nil"/>
              <w:right w:val="nil"/>
            </w:tcBorders>
            <w:shd w:val="clear" w:color="auto" w:fill="A7D2F5"/>
          </w:tcPr>
          <w:p>
            <w:pPr>
              <w:pStyle w:val="TableParagraph"/>
              <w:spacing w:before="21"/>
              <w:ind w:left="112"/>
              <w:rPr>
                <w:b/>
                <w:sz w:val="16"/>
              </w:rPr>
            </w:pPr>
            <w:r>
              <w:rPr>
                <w:b/>
                <w:color w:val="FFFFFF"/>
                <w:sz w:val="16"/>
              </w:rPr>
              <w:t>Virksomhedsnavn</w:t>
            </w:r>
          </w:p>
        </w:tc>
        <w:tc>
          <w:tcPr>
            <w:tcW w:w="2281" w:type="dxa"/>
            <w:tcBorders>
              <w:top w:val="nil"/>
              <w:left w:val="nil"/>
              <w:bottom w:val="nil"/>
              <w:right w:val="nil"/>
            </w:tcBorders>
            <w:shd w:val="clear" w:color="auto" w:fill="A7D2F5"/>
          </w:tcPr>
          <w:p>
            <w:pPr>
              <w:pStyle w:val="TableParagraph"/>
              <w:spacing w:before="21"/>
              <w:ind w:left="109"/>
              <w:rPr>
                <w:b/>
                <w:sz w:val="16"/>
              </w:rPr>
            </w:pPr>
            <w:r>
              <w:rPr>
                <w:b/>
                <w:color w:val="FFFFFF"/>
                <w:sz w:val="16"/>
              </w:rPr>
              <w:t>Virksomhedsnavn</w:t>
            </w:r>
          </w:p>
        </w:tc>
      </w:tr>
      <w:tr>
        <w:trPr>
          <w:trHeight w:val="261" w:hRule="atLeast"/>
        </w:trPr>
        <w:tc>
          <w:tcPr>
            <w:tcW w:w="2281" w:type="dxa"/>
            <w:tcBorders>
              <w:bottom w:val="single" w:sz="4" w:space="0" w:color="C5ECFF"/>
            </w:tcBorders>
          </w:tcPr>
          <w:p>
            <w:pPr>
              <w:pStyle w:val="TableParagraph"/>
              <w:spacing w:before="27"/>
              <w:rPr>
                <w:rFonts w:ascii="Calibri"/>
                <w:sz w:val="16"/>
              </w:rPr>
            </w:pPr>
            <w:r>
              <w:rPr>
                <w:rFonts w:ascii="Calibri"/>
                <w:sz w:val="16"/>
              </w:rPr>
              <w:t>2OPERATE APS</w:t>
            </w:r>
          </w:p>
        </w:tc>
        <w:tc>
          <w:tcPr>
            <w:tcW w:w="2278" w:type="dxa"/>
            <w:tcBorders>
              <w:bottom w:val="single" w:sz="4" w:space="0" w:color="C5ECFF"/>
            </w:tcBorders>
          </w:tcPr>
          <w:p>
            <w:pPr>
              <w:pStyle w:val="TableParagraph"/>
              <w:spacing w:before="27"/>
              <w:ind w:left="104"/>
              <w:rPr>
                <w:rFonts w:ascii="Calibri"/>
                <w:sz w:val="16"/>
              </w:rPr>
            </w:pPr>
            <w:r>
              <w:rPr>
                <w:rFonts w:ascii="Calibri"/>
                <w:sz w:val="16"/>
              </w:rPr>
              <w:t>ESVAGT AS</w:t>
            </w:r>
          </w:p>
        </w:tc>
        <w:tc>
          <w:tcPr>
            <w:tcW w:w="2281" w:type="dxa"/>
            <w:tcBorders>
              <w:bottom w:val="single" w:sz="4" w:space="0" w:color="C5ECFF"/>
            </w:tcBorders>
          </w:tcPr>
          <w:p>
            <w:pPr>
              <w:pStyle w:val="TableParagraph"/>
              <w:spacing w:before="27"/>
              <w:rPr>
                <w:rFonts w:ascii="Calibri"/>
                <w:sz w:val="16"/>
              </w:rPr>
            </w:pPr>
            <w:r>
              <w:rPr>
                <w:rFonts w:ascii="Calibri"/>
                <w:sz w:val="16"/>
              </w:rPr>
              <w:t>Locus</w:t>
            </w:r>
          </w:p>
        </w:tc>
        <w:tc>
          <w:tcPr>
            <w:tcW w:w="2281" w:type="dxa"/>
            <w:tcBorders>
              <w:bottom w:val="single" w:sz="4" w:space="0" w:color="C5ECFF"/>
            </w:tcBorders>
          </w:tcPr>
          <w:p>
            <w:pPr>
              <w:pStyle w:val="TableParagraph"/>
              <w:spacing w:before="27"/>
              <w:ind w:left="104"/>
              <w:rPr>
                <w:rFonts w:ascii="Calibri"/>
                <w:sz w:val="16"/>
              </w:rPr>
            </w:pPr>
            <w:r>
              <w:rPr>
                <w:rFonts w:ascii="Calibri"/>
                <w:sz w:val="16"/>
              </w:rPr>
              <w:t>Sateye</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Abax</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Euman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Logodan A/S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SCAN ANTENNA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AJ Geomatics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Europasat Denmark</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LYTZEN A/S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Scandinavian Avionics</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Alexandra-instituttet</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Eurotracker ApS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Marimatech A/S</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ScanMarine DK Aps</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AMPLIDAN Danmark</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EXPLICIT I/S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Micro-PC Aps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SeaMaster Aps Esbjerg</w:t>
            </w:r>
          </w:p>
        </w:tc>
      </w:tr>
      <w:tr>
        <w:trPr>
          <w:trHeight w:val="470" w:hRule="atLeast"/>
        </w:trPr>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ANYBODY TECHNOLOGY A/S</w:t>
            </w:r>
          </w:p>
        </w:tc>
        <w:tc>
          <w:tcPr>
            <w:tcW w:w="2278" w:type="dxa"/>
            <w:tcBorders>
              <w:top w:val="single" w:sz="4" w:space="0" w:color="C5ECFF"/>
              <w:bottom w:val="single" w:sz="4" w:space="0" w:color="C5ECFF"/>
            </w:tcBorders>
          </w:tcPr>
          <w:p>
            <w:pPr>
              <w:pStyle w:val="TableParagraph"/>
              <w:spacing w:before="18"/>
              <w:ind w:left="104"/>
              <w:rPr>
                <w:rFonts w:ascii="Calibri"/>
                <w:sz w:val="16"/>
              </w:rPr>
            </w:pPr>
            <w:r>
              <w:rPr>
                <w:rFonts w:ascii="Calibri"/>
                <w:sz w:val="16"/>
              </w:rPr>
              <w:t>FALCK SCHMIDT DEFENCE</w:t>
            </w:r>
          </w:p>
          <w:p>
            <w:pPr>
              <w:pStyle w:val="TableParagraph"/>
              <w:spacing w:before="20"/>
              <w:ind w:left="104"/>
              <w:rPr>
                <w:rFonts w:ascii="Calibri"/>
                <w:sz w:val="16"/>
              </w:rPr>
            </w:pPr>
            <w:r>
              <w:rPr>
                <w:rFonts w:ascii="Calibri"/>
                <w:sz w:val="16"/>
              </w:rPr>
              <w:t>SYSTEMS</w:t>
            </w:r>
          </w:p>
        </w:tc>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Mobilethink</w:t>
            </w:r>
          </w:p>
        </w:tc>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Seasat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ASC P.BALLING ANTENNA SYST</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Fleetfinder</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NaviAir</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ShipIT</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ASCEND ApS</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FLT Alarmer ApS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Necas A/S</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Skyhost</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Ascom</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FLUX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NIRAS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SmartGPS.dk</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ATCOM ApS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FORCE TECHNOLOGY</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NKT PHOTONICS A/S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SPACECOM A/S</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AVIMAR ApS</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Furuno Broadband Services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Noliac A/S</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SSBV-Rovsing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AXCON APS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Furuno DK</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NSSLGlobal</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Stella Care ApS</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Black Box</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Garmin Nordic Denmark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NXP Semiconductors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Studios</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Bornholms Skibsradio</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GATEHOUSE A/S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OFS FITEL DENMARK APS</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Teejet</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Brorfelde Observatorium</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GEA-SAT ApS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OHMATEX APS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Teknologisk Institut</w:t>
            </w:r>
          </w:p>
        </w:tc>
      </w:tr>
      <w:tr>
        <w:trPr>
          <w:trHeight w:val="470" w:hRule="atLeast"/>
        </w:trPr>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Canal Digital</w:t>
            </w:r>
          </w:p>
        </w:tc>
        <w:tc>
          <w:tcPr>
            <w:tcW w:w="2278" w:type="dxa"/>
            <w:tcBorders>
              <w:top w:val="single" w:sz="4" w:space="0" w:color="C5ECFF"/>
              <w:bottom w:val="single" w:sz="4"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Geoteam A/S</w:t>
            </w:r>
          </w:p>
        </w:tc>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rPr>
                <w:rFonts w:ascii="Calibri" w:hAnsi="Calibri"/>
                <w:sz w:val="16"/>
              </w:rPr>
            </w:pPr>
            <w:r>
              <w:rPr>
                <w:rFonts w:ascii="Calibri" w:hAnsi="Calibri"/>
                <w:sz w:val="16"/>
              </w:rPr>
              <w:t>Økolariet</w:t>
            </w:r>
          </w:p>
        </w:tc>
        <w:tc>
          <w:tcPr>
            <w:tcW w:w="2281" w:type="dxa"/>
            <w:tcBorders>
              <w:top w:val="single" w:sz="4" w:space="0" w:color="C5ECFF"/>
              <w:bottom w:val="single" w:sz="4" w:space="0" w:color="C5ECFF"/>
            </w:tcBorders>
          </w:tcPr>
          <w:p>
            <w:pPr>
              <w:pStyle w:val="TableParagraph"/>
              <w:spacing w:before="18"/>
              <w:ind w:left="104"/>
              <w:rPr>
                <w:rFonts w:ascii="Calibri"/>
                <w:sz w:val="16"/>
              </w:rPr>
            </w:pPr>
            <w:r>
              <w:rPr>
                <w:rFonts w:ascii="Calibri"/>
                <w:sz w:val="16"/>
              </w:rPr>
              <w:t>TELE Greenland International</w:t>
            </w:r>
          </w:p>
          <w:p>
            <w:pPr>
              <w:pStyle w:val="TableParagraph"/>
              <w:spacing w:before="20"/>
              <w:ind w:left="104"/>
              <w:rPr>
                <w:rFonts w:ascii="Calibri"/>
                <w:sz w:val="16"/>
              </w:rPr>
            </w:pPr>
            <w:r>
              <w:rPr>
                <w:rFonts w:ascii="Calibri"/>
                <w:sz w:val="16"/>
              </w:rPr>
              <w:t>A/S (TGI)</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Care4all ApS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GOMSPACE APS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ORACLE DANMARK ApS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TeleServe Ltd</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Cekura</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GPS Agro</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Orion Planetarium</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TERMA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CEPTU IVS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GPS-Tracker.dk</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Parabol Eksperten</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TICRA</w:t>
            </w:r>
          </w:p>
        </w:tc>
      </w:tr>
      <w:tr>
        <w:trPr>
          <w:trHeight w:val="470" w:hRule="atLeast"/>
        </w:trPr>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Clip-Lok SimPak (Scandinavia)</w:t>
            </w:r>
          </w:p>
          <w:p>
            <w:pPr>
              <w:pStyle w:val="TableParagraph"/>
              <w:spacing w:before="20"/>
              <w:rPr>
                <w:rFonts w:ascii="Calibri"/>
                <w:sz w:val="16"/>
              </w:rPr>
            </w:pPr>
            <w:r>
              <w:rPr>
                <w:rFonts w:ascii="Calibri"/>
                <w:sz w:val="16"/>
              </w:rPr>
              <w:t>ApS</w:t>
            </w:r>
          </w:p>
        </w:tc>
        <w:tc>
          <w:tcPr>
            <w:tcW w:w="2278" w:type="dxa"/>
            <w:tcBorders>
              <w:top w:val="single" w:sz="4" w:space="0" w:color="C5ECFF"/>
              <w:bottom w:val="single" w:sz="4"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Hans Buch</w:t>
            </w:r>
          </w:p>
        </w:tc>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ParabolShoppen</w:t>
            </w:r>
          </w:p>
        </w:tc>
        <w:tc>
          <w:tcPr>
            <w:tcW w:w="2281" w:type="dxa"/>
            <w:tcBorders>
              <w:top w:val="single" w:sz="4" w:space="0" w:color="C5ECFF"/>
              <w:bottom w:val="single" w:sz="4"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ToppTOPO A/S</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Cobham Satcom</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Huber+Suhner</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Polar Electro Danmark ApS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TrackMe</w:t>
            </w:r>
          </w:p>
        </w:tc>
      </w:tr>
      <w:tr>
        <w:trPr>
          <w:trHeight w:val="256"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Copenhagen Suborbitals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HYTEK</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Polaris Electronics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Trackunit A/S</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Cubris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IHM P/S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PRI-DANA ELEKTRONIK A/S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Triax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Cuwilak A/S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Informi Gis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PRINS ENGINEERING</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TrippleTrack</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Dan Kontrol A/S</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INNOWARE A/S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Procom A/S</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Tunstall</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Dan Technologies A/S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INTEGRA CONSULT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ProMobil ApS</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Tycho Brahe Planetarium</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Danbit</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Intelligent Marking ApS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r2pTracking Danmark</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UltiSat</w:t>
            </w:r>
          </w:p>
        </w:tc>
      </w:tr>
      <w:tr>
        <w:trPr>
          <w:trHeight w:val="256" w:hRule="atLeast"/>
        </w:trPr>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Danish Aerospace Company</w:t>
            </w:r>
          </w:p>
        </w:tc>
        <w:tc>
          <w:tcPr>
            <w:tcW w:w="2278"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Intergraph Danmark A/S</w:t>
            </w:r>
          </w:p>
        </w:tc>
        <w:tc>
          <w:tcPr>
            <w:tcW w:w="2281" w:type="dxa"/>
            <w:tcBorders>
              <w:top w:val="single" w:sz="4" w:space="0" w:color="C5ECFF"/>
              <w:bottom w:val="single" w:sz="4" w:space="0" w:color="C5ECFF"/>
            </w:tcBorders>
          </w:tcPr>
          <w:p>
            <w:pPr>
              <w:pStyle w:val="TableParagraph"/>
              <w:spacing w:before="22"/>
              <w:rPr>
                <w:rFonts w:ascii="Calibri"/>
                <w:sz w:val="16"/>
              </w:rPr>
            </w:pPr>
            <w:r>
              <w:rPr>
                <w:rFonts w:ascii="Calibri"/>
                <w:sz w:val="16"/>
              </w:rPr>
              <w:t>RADIOLAB CONSULTING</w:t>
            </w:r>
          </w:p>
        </w:tc>
        <w:tc>
          <w:tcPr>
            <w:tcW w:w="2281" w:type="dxa"/>
            <w:tcBorders>
              <w:top w:val="single" w:sz="4" w:space="0" w:color="C5ECFF"/>
              <w:bottom w:val="single" w:sz="4" w:space="0" w:color="C5ECFF"/>
            </w:tcBorders>
          </w:tcPr>
          <w:p>
            <w:pPr>
              <w:pStyle w:val="TableParagraph"/>
              <w:spacing w:before="22"/>
              <w:ind w:left="104"/>
              <w:rPr>
                <w:rFonts w:ascii="Calibri"/>
                <w:sz w:val="16"/>
              </w:rPr>
            </w:pPr>
            <w:r>
              <w:rPr>
                <w:rFonts w:ascii="Calibri"/>
                <w:sz w:val="16"/>
              </w:rPr>
              <w:t>UniqTracking</w:t>
            </w:r>
          </w:p>
        </w:tc>
      </w:tr>
      <w:tr>
        <w:trPr>
          <w:trHeight w:val="470" w:hRule="atLeast"/>
        </w:trPr>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Danmarks Meteorologiske</w:t>
            </w:r>
          </w:p>
          <w:p>
            <w:pPr>
              <w:pStyle w:val="TableParagraph"/>
              <w:spacing w:before="20"/>
              <w:rPr>
                <w:rFonts w:ascii="Calibri"/>
                <w:sz w:val="16"/>
              </w:rPr>
            </w:pPr>
            <w:r>
              <w:rPr>
                <w:rFonts w:ascii="Calibri"/>
                <w:sz w:val="16"/>
              </w:rPr>
              <w:t>Institut</w:t>
            </w:r>
          </w:p>
        </w:tc>
        <w:tc>
          <w:tcPr>
            <w:tcW w:w="2278" w:type="dxa"/>
            <w:tcBorders>
              <w:top w:val="single" w:sz="4" w:space="0" w:color="C5ECFF"/>
              <w:bottom w:val="single" w:sz="4" w:space="0" w:color="C5ECFF"/>
            </w:tcBorders>
          </w:tcPr>
          <w:p>
            <w:pPr>
              <w:pStyle w:val="TableParagraph"/>
              <w:spacing w:before="2"/>
              <w:ind w:left="0"/>
              <w:rPr>
                <w:b/>
                <w:sz w:val="19"/>
              </w:rPr>
            </w:pPr>
          </w:p>
          <w:p>
            <w:pPr>
              <w:pStyle w:val="TableParagraph"/>
              <w:spacing w:before="1"/>
              <w:ind w:left="104"/>
              <w:rPr>
                <w:rFonts w:ascii="Calibri"/>
                <w:sz w:val="16"/>
              </w:rPr>
            </w:pPr>
            <w:r>
              <w:rPr>
                <w:rFonts w:ascii="Calibri"/>
                <w:sz w:val="16"/>
              </w:rPr>
              <w:t>Intermec Technologies</w:t>
            </w:r>
          </w:p>
        </w:tc>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RAKETMADSENS RUMLABORA-</w:t>
            </w:r>
          </w:p>
          <w:p>
            <w:pPr>
              <w:pStyle w:val="TableParagraph"/>
              <w:spacing w:before="20"/>
              <w:rPr>
                <w:rFonts w:ascii="Calibri"/>
                <w:sz w:val="16"/>
              </w:rPr>
            </w:pPr>
            <w:r>
              <w:rPr>
                <w:rFonts w:ascii="Calibri"/>
                <w:sz w:val="16"/>
              </w:rPr>
              <w:t>TORIUM ApS</w:t>
            </w:r>
          </w:p>
        </w:tc>
        <w:tc>
          <w:tcPr>
            <w:tcW w:w="2281" w:type="dxa"/>
            <w:tcBorders>
              <w:top w:val="single" w:sz="4" w:space="0" w:color="C5ECFF"/>
              <w:bottom w:val="single" w:sz="4" w:space="0" w:color="C5ECFF"/>
            </w:tcBorders>
          </w:tcPr>
          <w:p>
            <w:pPr>
              <w:pStyle w:val="TableParagraph"/>
              <w:spacing w:before="2"/>
              <w:ind w:left="0"/>
              <w:rPr>
                <w:b/>
                <w:sz w:val="19"/>
              </w:rPr>
            </w:pPr>
          </w:p>
          <w:p>
            <w:pPr>
              <w:pStyle w:val="TableParagraph"/>
              <w:spacing w:before="1"/>
              <w:ind w:left="104"/>
              <w:rPr>
                <w:rFonts w:ascii="Calibri"/>
                <w:sz w:val="16"/>
              </w:rPr>
            </w:pPr>
            <w:r>
              <w:rPr>
                <w:rFonts w:ascii="Calibri"/>
                <w:sz w:val="16"/>
              </w:rPr>
              <w:t>VHF Skolen</w:t>
            </w:r>
          </w:p>
        </w:tc>
      </w:tr>
      <w:tr>
        <w:trPr>
          <w:trHeight w:val="470" w:hRule="atLeast"/>
        </w:trPr>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Dansk Beredskabskommunika-</w:t>
            </w:r>
          </w:p>
          <w:p>
            <w:pPr>
              <w:pStyle w:val="TableParagraph"/>
              <w:spacing w:before="20"/>
              <w:rPr>
                <w:rFonts w:ascii="Calibri"/>
                <w:sz w:val="16"/>
              </w:rPr>
            </w:pPr>
            <w:r>
              <w:rPr>
                <w:rFonts w:ascii="Calibri"/>
                <w:sz w:val="16"/>
              </w:rPr>
              <w:t>tion A/S</w:t>
            </w:r>
          </w:p>
        </w:tc>
        <w:tc>
          <w:tcPr>
            <w:tcW w:w="2278" w:type="dxa"/>
            <w:tcBorders>
              <w:top w:val="single" w:sz="4" w:space="0" w:color="C5ECFF"/>
              <w:bottom w:val="single" w:sz="4" w:space="0" w:color="C5ECFF"/>
            </w:tcBorders>
          </w:tcPr>
          <w:p>
            <w:pPr>
              <w:pStyle w:val="TableParagraph"/>
              <w:spacing w:before="18"/>
              <w:ind w:left="104"/>
              <w:rPr>
                <w:rFonts w:ascii="Calibri"/>
                <w:sz w:val="16"/>
              </w:rPr>
            </w:pPr>
            <w:r>
              <w:rPr>
                <w:rFonts w:ascii="Calibri"/>
                <w:sz w:val="16"/>
              </w:rPr>
              <w:t>International Rectifier Danmark</w:t>
            </w:r>
          </w:p>
          <w:p>
            <w:pPr>
              <w:pStyle w:val="TableParagraph"/>
              <w:spacing w:before="20"/>
              <w:ind w:left="104"/>
              <w:rPr>
                <w:rFonts w:ascii="Calibri"/>
                <w:sz w:val="16"/>
              </w:rPr>
            </w:pPr>
            <w:r>
              <w:rPr>
                <w:rFonts w:ascii="Calibri"/>
                <w:sz w:val="16"/>
              </w:rPr>
              <w:t>ApS</w:t>
            </w:r>
          </w:p>
        </w:tc>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RF Micro Devices (Denmark)</w:t>
            </w:r>
          </w:p>
          <w:p>
            <w:pPr>
              <w:pStyle w:val="TableParagraph"/>
              <w:spacing w:before="20"/>
              <w:rPr>
                <w:rFonts w:ascii="Calibri"/>
                <w:sz w:val="16"/>
              </w:rPr>
            </w:pPr>
            <w:r>
              <w:rPr>
                <w:rFonts w:ascii="Calibri"/>
                <w:sz w:val="16"/>
              </w:rPr>
              <w:t>APS</w:t>
            </w:r>
          </w:p>
        </w:tc>
        <w:tc>
          <w:tcPr>
            <w:tcW w:w="2281" w:type="dxa"/>
            <w:tcBorders>
              <w:top w:val="single" w:sz="4" w:space="0" w:color="C5ECFF"/>
              <w:bottom w:val="single" w:sz="4" w:space="0" w:color="C5ECFF"/>
            </w:tcBorders>
          </w:tcPr>
          <w:p>
            <w:pPr>
              <w:pStyle w:val="TableParagraph"/>
              <w:spacing w:before="2"/>
              <w:ind w:left="0"/>
              <w:rPr>
                <w:b/>
                <w:sz w:val="19"/>
              </w:rPr>
            </w:pPr>
          </w:p>
          <w:p>
            <w:pPr>
              <w:pStyle w:val="TableParagraph"/>
              <w:spacing w:before="1"/>
              <w:ind w:left="104"/>
              <w:rPr>
                <w:rFonts w:ascii="Calibri"/>
                <w:sz w:val="16"/>
              </w:rPr>
            </w:pPr>
            <w:r>
              <w:rPr>
                <w:rFonts w:ascii="Calibri"/>
                <w:sz w:val="16"/>
              </w:rPr>
              <w:t>Viasat</w:t>
            </w:r>
          </w:p>
        </w:tc>
      </w:tr>
      <w:tr>
        <w:trPr>
          <w:trHeight w:val="467" w:hRule="atLeast"/>
        </w:trPr>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DFM - Danmarks Nationale</w:t>
            </w:r>
          </w:p>
          <w:p>
            <w:pPr>
              <w:pStyle w:val="TableParagraph"/>
              <w:spacing w:before="20"/>
              <w:rPr>
                <w:rFonts w:ascii="Calibri"/>
                <w:sz w:val="16"/>
              </w:rPr>
            </w:pPr>
            <w:r>
              <w:rPr>
                <w:rFonts w:ascii="Calibri"/>
                <w:sz w:val="16"/>
              </w:rPr>
              <w:t>Metrologiinstitut</w:t>
            </w:r>
          </w:p>
        </w:tc>
        <w:tc>
          <w:tcPr>
            <w:tcW w:w="2278" w:type="dxa"/>
            <w:tcBorders>
              <w:top w:val="single" w:sz="4" w:space="0" w:color="C5ECFF"/>
              <w:bottom w:val="single" w:sz="4" w:space="0" w:color="C5ECFF"/>
            </w:tcBorders>
          </w:tcPr>
          <w:p>
            <w:pPr>
              <w:pStyle w:val="TableParagraph"/>
              <w:spacing w:before="2"/>
              <w:ind w:left="0"/>
              <w:rPr>
                <w:b/>
                <w:sz w:val="19"/>
              </w:rPr>
            </w:pPr>
          </w:p>
          <w:p>
            <w:pPr>
              <w:pStyle w:val="TableParagraph"/>
              <w:spacing w:before="1"/>
              <w:ind w:left="104"/>
              <w:rPr>
                <w:rFonts w:ascii="Calibri" w:hAnsi="Calibri"/>
                <w:sz w:val="16"/>
              </w:rPr>
            </w:pPr>
            <w:r>
              <w:rPr>
                <w:rFonts w:ascii="Calibri" w:hAnsi="Calibri"/>
                <w:sz w:val="16"/>
              </w:rPr>
              <w:t>Jysk Landmåling ApS</w:t>
            </w:r>
          </w:p>
        </w:tc>
        <w:tc>
          <w:tcPr>
            <w:tcW w:w="2281" w:type="dxa"/>
            <w:tcBorders>
              <w:top w:val="single" w:sz="4" w:space="0" w:color="C5ECFF"/>
              <w:bottom w:val="single" w:sz="4" w:space="0" w:color="C5ECFF"/>
            </w:tcBorders>
          </w:tcPr>
          <w:p>
            <w:pPr>
              <w:pStyle w:val="TableParagraph"/>
              <w:spacing w:before="18"/>
              <w:rPr>
                <w:rFonts w:ascii="Calibri"/>
                <w:sz w:val="16"/>
              </w:rPr>
            </w:pPr>
            <w:r>
              <w:rPr>
                <w:rFonts w:ascii="Calibri"/>
                <w:sz w:val="16"/>
              </w:rPr>
              <w:t>ROHDE &amp; SCHWARZ DANMARK</w:t>
            </w:r>
          </w:p>
          <w:p>
            <w:pPr>
              <w:pStyle w:val="TableParagraph"/>
              <w:spacing w:before="20"/>
              <w:rPr>
                <w:rFonts w:ascii="Calibri"/>
                <w:sz w:val="16"/>
              </w:rPr>
            </w:pPr>
            <w:r>
              <w:rPr>
                <w:rFonts w:ascii="Calibri"/>
                <w:sz w:val="16"/>
              </w:rPr>
              <w:t>A/S</w:t>
            </w:r>
          </w:p>
        </w:tc>
        <w:tc>
          <w:tcPr>
            <w:tcW w:w="2281" w:type="dxa"/>
            <w:tcBorders>
              <w:top w:val="single" w:sz="4" w:space="0" w:color="C5ECFF"/>
              <w:bottom w:val="single" w:sz="4" w:space="0" w:color="C5ECFF"/>
            </w:tcBorders>
          </w:tcPr>
          <w:p>
            <w:pPr>
              <w:pStyle w:val="TableParagraph"/>
              <w:spacing w:before="2"/>
              <w:ind w:left="0"/>
              <w:rPr>
                <w:b/>
                <w:sz w:val="19"/>
              </w:rPr>
            </w:pPr>
          </w:p>
          <w:p>
            <w:pPr>
              <w:pStyle w:val="TableParagraph"/>
              <w:spacing w:before="1"/>
              <w:ind w:left="104"/>
              <w:rPr>
                <w:rFonts w:ascii="Calibri"/>
                <w:sz w:val="16"/>
              </w:rPr>
            </w:pPr>
            <w:r>
              <w:rPr>
                <w:rFonts w:ascii="Calibri"/>
                <w:sz w:val="16"/>
              </w:rPr>
              <w:t>Vicsat A/S</w:t>
            </w:r>
          </w:p>
        </w:tc>
      </w:tr>
      <w:tr>
        <w:trPr>
          <w:trHeight w:val="467" w:hRule="atLeast"/>
        </w:trPr>
        <w:tc>
          <w:tcPr>
            <w:tcW w:w="2281" w:type="dxa"/>
            <w:tcBorders>
              <w:top w:val="single" w:sz="4" w:space="0" w:color="C5ECFF"/>
              <w:bottom w:val="single" w:sz="6"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DHI GRAS A/S</w:t>
            </w:r>
          </w:p>
        </w:tc>
        <w:tc>
          <w:tcPr>
            <w:tcW w:w="2278" w:type="dxa"/>
            <w:tcBorders>
              <w:top w:val="single" w:sz="4" w:space="0" w:color="C5ECFF"/>
              <w:bottom w:val="single" w:sz="6" w:space="0" w:color="C5ECFF"/>
            </w:tcBorders>
          </w:tcPr>
          <w:p>
            <w:pPr>
              <w:pStyle w:val="TableParagraph"/>
              <w:spacing w:line="261" w:lineRule="auto" w:before="20"/>
              <w:ind w:left="104" w:right="253"/>
              <w:rPr>
                <w:rFonts w:ascii="Calibri"/>
                <w:sz w:val="16"/>
              </w:rPr>
            </w:pPr>
            <w:r>
              <w:rPr>
                <w:rFonts w:ascii="Calibri"/>
                <w:sz w:val="16"/>
              </w:rPr>
              <w:t>KIRKHOLM MASKININGENIO- RER A/S</w:t>
            </w:r>
          </w:p>
        </w:tc>
        <w:tc>
          <w:tcPr>
            <w:tcW w:w="2281" w:type="dxa"/>
            <w:tcBorders>
              <w:top w:val="single" w:sz="4" w:space="0" w:color="C5ECFF"/>
              <w:bottom w:val="single" w:sz="6" w:space="0" w:color="C5ECFF"/>
            </w:tcBorders>
          </w:tcPr>
          <w:p>
            <w:pPr>
              <w:pStyle w:val="TableParagraph"/>
              <w:spacing w:line="261" w:lineRule="auto" w:before="20"/>
              <w:ind w:right="154"/>
              <w:rPr>
                <w:rFonts w:ascii="Calibri"/>
                <w:sz w:val="16"/>
              </w:rPr>
            </w:pPr>
            <w:r>
              <w:rPr>
                <w:rFonts w:ascii="Calibri"/>
                <w:sz w:val="16"/>
              </w:rPr>
              <w:t>ROHDE &amp; SCHWARZ Technolo- gy Center A/S</w:t>
            </w:r>
          </w:p>
        </w:tc>
        <w:tc>
          <w:tcPr>
            <w:tcW w:w="2281" w:type="dxa"/>
            <w:tcBorders>
              <w:top w:val="single" w:sz="4" w:space="0" w:color="C5ECFF"/>
              <w:bottom w:val="single" w:sz="6"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Weebs Aps</w:t>
            </w:r>
          </w:p>
        </w:tc>
      </w:tr>
      <w:tr>
        <w:trPr>
          <w:trHeight w:val="254" w:hRule="atLeast"/>
        </w:trPr>
        <w:tc>
          <w:tcPr>
            <w:tcW w:w="2281" w:type="dxa"/>
            <w:tcBorders>
              <w:top w:val="single" w:sz="6" w:space="0" w:color="C5ECFF"/>
              <w:bottom w:val="single" w:sz="4" w:space="0" w:color="C5ECFF"/>
            </w:tcBorders>
          </w:tcPr>
          <w:p>
            <w:pPr>
              <w:pStyle w:val="TableParagraph"/>
              <w:spacing w:before="18"/>
              <w:rPr>
                <w:rFonts w:ascii="Calibri"/>
                <w:sz w:val="16"/>
              </w:rPr>
            </w:pPr>
            <w:r>
              <w:rPr>
                <w:rFonts w:ascii="Calibri"/>
                <w:sz w:val="16"/>
              </w:rPr>
              <w:t>Ecofleet Systems ApS</w:t>
            </w:r>
          </w:p>
        </w:tc>
        <w:tc>
          <w:tcPr>
            <w:tcW w:w="2278" w:type="dxa"/>
            <w:tcBorders>
              <w:top w:val="single" w:sz="6" w:space="0" w:color="C5ECFF"/>
              <w:bottom w:val="single" w:sz="4" w:space="0" w:color="C5ECFF"/>
            </w:tcBorders>
          </w:tcPr>
          <w:p>
            <w:pPr>
              <w:pStyle w:val="TableParagraph"/>
              <w:spacing w:before="18"/>
              <w:ind w:left="104"/>
              <w:rPr>
                <w:rFonts w:ascii="Calibri"/>
                <w:sz w:val="16"/>
              </w:rPr>
            </w:pPr>
            <w:r>
              <w:rPr>
                <w:rFonts w:ascii="Calibri"/>
                <w:sz w:val="16"/>
              </w:rPr>
              <w:t>KVH Industries</w:t>
            </w:r>
          </w:p>
        </w:tc>
        <w:tc>
          <w:tcPr>
            <w:tcW w:w="2281" w:type="dxa"/>
            <w:tcBorders>
              <w:top w:val="single" w:sz="6" w:space="0" w:color="C5ECFF"/>
              <w:bottom w:val="single" w:sz="4" w:space="0" w:color="C5ECFF"/>
            </w:tcBorders>
          </w:tcPr>
          <w:p>
            <w:pPr>
              <w:pStyle w:val="TableParagraph"/>
              <w:spacing w:before="18"/>
              <w:rPr>
                <w:rFonts w:ascii="Calibri"/>
                <w:sz w:val="16"/>
              </w:rPr>
            </w:pPr>
            <w:r>
              <w:rPr>
                <w:rFonts w:ascii="Calibri"/>
                <w:sz w:val="16"/>
              </w:rPr>
              <w:t>Saab Danmark A/S</w:t>
            </w:r>
          </w:p>
        </w:tc>
        <w:tc>
          <w:tcPr>
            <w:tcW w:w="2281" w:type="dxa"/>
            <w:tcBorders>
              <w:top w:val="single" w:sz="6" w:space="0" w:color="C5ECFF"/>
              <w:bottom w:val="single" w:sz="4" w:space="0" w:color="C5ECFF"/>
            </w:tcBorders>
          </w:tcPr>
          <w:p>
            <w:pPr>
              <w:pStyle w:val="TableParagraph"/>
              <w:spacing w:before="18"/>
              <w:ind w:left="104"/>
              <w:rPr>
                <w:rFonts w:ascii="Calibri"/>
                <w:sz w:val="16"/>
              </w:rPr>
            </w:pPr>
            <w:r>
              <w:rPr>
                <w:rFonts w:ascii="Calibri"/>
                <w:sz w:val="16"/>
              </w:rPr>
              <w:t>WEIBEL Scientific A/S</w:t>
            </w:r>
          </w:p>
        </w:tc>
      </w:tr>
      <w:tr>
        <w:trPr>
          <w:trHeight w:val="254"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EIVA A/S (HEADQUARTERS)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Lars Thrane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Safecall</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WIRTEK A/S</w:t>
            </w:r>
          </w:p>
        </w:tc>
      </w:tr>
      <w:tr>
        <w:trPr>
          <w:trHeight w:val="253" w:hRule="atLeast"/>
        </w:trPr>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Emperion A/S</w:t>
            </w:r>
          </w:p>
        </w:tc>
        <w:tc>
          <w:tcPr>
            <w:tcW w:w="2278"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Leica Geosystems A/S</w:t>
            </w:r>
          </w:p>
        </w:tc>
        <w:tc>
          <w:tcPr>
            <w:tcW w:w="2281" w:type="dxa"/>
            <w:tcBorders>
              <w:top w:val="single" w:sz="4" w:space="0" w:color="C5ECFF"/>
              <w:bottom w:val="single" w:sz="4" w:space="0" w:color="C5ECFF"/>
            </w:tcBorders>
          </w:tcPr>
          <w:p>
            <w:pPr>
              <w:pStyle w:val="TableParagraph"/>
              <w:spacing w:before="20"/>
              <w:rPr>
                <w:rFonts w:ascii="Calibri"/>
                <w:sz w:val="16"/>
              </w:rPr>
            </w:pPr>
            <w:r>
              <w:rPr>
                <w:rFonts w:ascii="Calibri"/>
                <w:sz w:val="16"/>
              </w:rPr>
              <w:t>Satcom1</w:t>
            </w:r>
          </w:p>
        </w:tc>
        <w:tc>
          <w:tcPr>
            <w:tcW w:w="2281" w:type="dxa"/>
            <w:tcBorders>
              <w:top w:val="single" w:sz="4" w:space="0" w:color="C5ECFF"/>
              <w:bottom w:val="single" w:sz="4" w:space="0" w:color="C5ECFF"/>
            </w:tcBorders>
          </w:tcPr>
          <w:p>
            <w:pPr>
              <w:pStyle w:val="TableParagraph"/>
              <w:spacing w:before="20"/>
              <w:ind w:left="104"/>
              <w:rPr>
                <w:rFonts w:ascii="Calibri"/>
                <w:sz w:val="16"/>
              </w:rPr>
            </w:pPr>
            <w:r>
              <w:rPr>
                <w:rFonts w:ascii="Calibri"/>
                <w:sz w:val="16"/>
              </w:rPr>
              <w:t>Worldtrack</w:t>
            </w:r>
          </w:p>
        </w:tc>
      </w:tr>
      <w:tr>
        <w:trPr>
          <w:trHeight w:val="470" w:hRule="atLeast"/>
        </w:trPr>
        <w:tc>
          <w:tcPr>
            <w:tcW w:w="2281" w:type="dxa"/>
            <w:tcBorders>
              <w:top w:val="single" w:sz="4" w:space="0" w:color="C5ECFF"/>
            </w:tcBorders>
          </w:tcPr>
          <w:p>
            <w:pPr>
              <w:pStyle w:val="TableParagraph"/>
              <w:spacing w:before="5"/>
              <w:ind w:left="0"/>
              <w:rPr>
                <w:b/>
                <w:sz w:val="19"/>
              </w:rPr>
            </w:pPr>
          </w:p>
          <w:p>
            <w:pPr>
              <w:pStyle w:val="TableParagraph"/>
              <w:spacing w:before="0"/>
              <w:rPr>
                <w:rFonts w:ascii="Calibri"/>
                <w:sz w:val="16"/>
              </w:rPr>
            </w:pPr>
            <w:r>
              <w:rPr>
                <w:rFonts w:ascii="Calibri"/>
                <w:sz w:val="16"/>
              </w:rPr>
              <w:t>ESS-Security</w:t>
            </w:r>
          </w:p>
        </w:tc>
        <w:tc>
          <w:tcPr>
            <w:tcW w:w="2278" w:type="dxa"/>
            <w:tcBorders>
              <w:top w:val="single" w:sz="4" w:space="0" w:color="C5ECFF"/>
            </w:tcBorders>
          </w:tcPr>
          <w:p>
            <w:pPr>
              <w:pStyle w:val="TableParagraph"/>
              <w:spacing w:before="5"/>
              <w:ind w:left="0"/>
              <w:rPr>
                <w:b/>
                <w:sz w:val="19"/>
              </w:rPr>
            </w:pPr>
          </w:p>
          <w:p>
            <w:pPr>
              <w:pStyle w:val="TableParagraph"/>
              <w:spacing w:before="0"/>
              <w:ind w:left="104"/>
              <w:rPr>
                <w:rFonts w:ascii="Calibri"/>
                <w:sz w:val="16"/>
              </w:rPr>
            </w:pPr>
            <w:r>
              <w:rPr>
                <w:rFonts w:ascii="Calibri"/>
                <w:sz w:val="16"/>
              </w:rPr>
              <w:t>Leica Geosystems Technology</w:t>
            </w:r>
          </w:p>
        </w:tc>
        <w:tc>
          <w:tcPr>
            <w:tcW w:w="2281" w:type="dxa"/>
            <w:tcBorders>
              <w:top w:val="single" w:sz="4" w:space="0" w:color="C5ECFF"/>
            </w:tcBorders>
          </w:tcPr>
          <w:p>
            <w:pPr>
              <w:pStyle w:val="TableParagraph"/>
              <w:spacing w:before="18"/>
              <w:rPr>
                <w:rFonts w:ascii="Calibri"/>
                <w:sz w:val="16"/>
              </w:rPr>
            </w:pPr>
            <w:r>
              <w:rPr>
                <w:rFonts w:ascii="Calibri"/>
                <w:sz w:val="16"/>
              </w:rPr>
              <w:t>SATCOM1 AIRTIME SERVICES</w:t>
            </w:r>
          </w:p>
          <w:p>
            <w:pPr>
              <w:pStyle w:val="TableParagraph"/>
              <w:spacing w:before="20"/>
              <w:rPr>
                <w:rFonts w:ascii="Calibri"/>
                <w:sz w:val="16"/>
              </w:rPr>
            </w:pPr>
            <w:r>
              <w:rPr>
                <w:rFonts w:ascii="Calibri"/>
                <w:sz w:val="16"/>
              </w:rPr>
              <w:t>ApS</w:t>
            </w:r>
          </w:p>
        </w:tc>
        <w:tc>
          <w:tcPr>
            <w:tcW w:w="2281" w:type="dxa"/>
            <w:tcBorders>
              <w:top w:val="single" w:sz="4" w:space="0" w:color="C5ECFF"/>
            </w:tcBorders>
          </w:tcPr>
          <w:p>
            <w:pPr>
              <w:pStyle w:val="TableParagraph"/>
              <w:spacing w:before="18"/>
              <w:ind w:left="104"/>
              <w:rPr>
                <w:rFonts w:ascii="Calibri"/>
                <w:sz w:val="16"/>
              </w:rPr>
            </w:pPr>
            <w:r>
              <w:rPr>
                <w:rFonts w:ascii="Calibri"/>
                <w:sz w:val="16"/>
              </w:rPr>
              <w:t>XPERION/ACE - ADVANCED</w:t>
            </w:r>
          </w:p>
          <w:p>
            <w:pPr>
              <w:pStyle w:val="TableParagraph"/>
              <w:spacing w:before="20"/>
              <w:ind w:left="104"/>
              <w:rPr>
                <w:rFonts w:ascii="Calibri"/>
                <w:sz w:val="16"/>
              </w:rPr>
            </w:pPr>
            <w:r>
              <w:rPr>
                <w:rFonts w:ascii="Calibri"/>
                <w:sz w:val="16"/>
              </w:rPr>
              <w:t>COMPOSI</w:t>
            </w:r>
          </w:p>
        </w:tc>
      </w:tr>
    </w:tbl>
    <w:p>
      <w:pPr>
        <w:spacing w:after="0"/>
        <w:rPr>
          <w:rFonts w:ascii="Calibri"/>
          <w:sz w:val="16"/>
        </w:rPr>
        <w:sectPr>
          <w:pgSz w:w="11910" w:h="16840"/>
          <w:pgMar w:header="0" w:footer="539" w:top="1580" w:bottom="720" w:left="960" w:right="0"/>
        </w:sectPr>
      </w:pPr>
    </w:p>
    <w:p>
      <w:pPr>
        <w:spacing w:before="105"/>
        <w:ind w:left="742" w:right="0" w:firstLine="0"/>
        <w:jc w:val="left"/>
        <w:rPr>
          <w:b/>
          <w:sz w:val="22"/>
        </w:rPr>
      </w:pPr>
      <w:bookmarkStart w:name="_bookmark69" w:id="70"/>
      <w:bookmarkEnd w:id="70"/>
      <w:r>
        <w:rPr/>
      </w:r>
      <w:r>
        <w:rPr>
          <w:b/>
          <w:color w:val="009DDF"/>
          <w:sz w:val="22"/>
        </w:rPr>
        <w:t>BILAG 7: FORKORTELSER</w:t>
      </w:r>
    </w:p>
    <w:p>
      <w:pPr>
        <w:pStyle w:val="BodyText"/>
        <w:spacing w:before="5"/>
        <w:rPr>
          <w:b/>
          <w:sz w:val="22"/>
        </w:rPr>
      </w:pPr>
    </w:p>
    <w:p>
      <w:pPr>
        <w:pStyle w:val="BodyText"/>
        <w:ind w:left="742"/>
      </w:pPr>
      <w:r>
        <w:rPr>
          <w:b/>
        </w:rPr>
        <w:t>AAU</w:t>
      </w:r>
      <w:r>
        <w:rPr/>
        <w:t>: Aalborg Universitet</w:t>
      </w:r>
    </w:p>
    <w:p>
      <w:pPr>
        <w:pStyle w:val="BodyText"/>
        <w:spacing w:before="6"/>
        <w:rPr>
          <w:sz w:val="21"/>
        </w:rPr>
      </w:pPr>
    </w:p>
    <w:p>
      <w:pPr>
        <w:pStyle w:val="BodyText"/>
        <w:spacing w:line="525" w:lineRule="auto"/>
        <w:ind w:left="742" w:right="5157"/>
      </w:pPr>
      <w:r>
        <w:rPr>
          <w:b/>
        </w:rPr>
        <w:t>ADS-B</w:t>
      </w:r>
      <w:r>
        <w:rPr/>
        <w:t>: Automatic Dependent Surveillance – Broadcast </w:t>
      </w:r>
      <w:r>
        <w:rPr>
          <w:b/>
        </w:rPr>
        <w:t>ADS-C</w:t>
      </w:r>
      <w:r>
        <w:rPr/>
        <w:t>: Automatic Dependent Surveillance – Contract </w:t>
      </w:r>
      <w:r>
        <w:rPr>
          <w:b/>
        </w:rPr>
        <w:t>AIS</w:t>
      </w:r>
      <w:r>
        <w:rPr/>
        <w:t>: Automatic Identification System</w:t>
      </w:r>
    </w:p>
    <w:p>
      <w:pPr>
        <w:pStyle w:val="BodyText"/>
        <w:spacing w:line="528" w:lineRule="auto" w:before="3"/>
        <w:ind w:left="742" w:right="7649"/>
      </w:pPr>
      <w:r>
        <w:rPr>
          <w:b/>
        </w:rPr>
        <w:t>ATC</w:t>
      </w:r>
      <w:r>
        <w:rPr/>
        <w:t>: Air Traffic Control </w:t>
      </w:r>
      <w:r>
        <w:rPr>
          <w:b/>
        </w:rPr>
        <w:t>AU</w:t>
      </w:r>
      <w:r>
        <w:rPr/>
        <w:t>: Aarhus Universitet </w:t>
      </w:r>
      <w:r>
        <w:rPr>
          <w:b/>
        </w:rPr>
        <w:t>BNP</w:t>
      </w:r>
      <w:r>
        <w:rPr/>
        <w:t>: Bruttonationalprodukt </w:t>
      </w:r>
      <w:r>
        <w:rPr>
          <w:b/>
        </w:rPr>
        <w:t>BVT</w:t>
      </w:r>
      <w:r>
        <w:rPr/>
        <w:t>:</w:t>
      </w:r>
      <w:r>
        <w:rPr>
          <w:spacing w:val="-4"/>
        </w:rPr>
        <w:t> </w:t>
      </w:r>
      <w:r>
        <w:rPr/>
        <w:t>Bruttoværditilvækst</w:t>
      </w:r>
    </w:p>
    <w:p>
      <w:pPr>
        <w:pStyle w:val="BodyText"/>
        <w:spacing w:line="214" w:lineRule="exact"/>
        <w:ind w:left="742"/>
      </w:pPr>
      <w:r>
        <w:rPr>
          <w:b/>
        </w:rPr>
        <w:t>CS</w:t>
      </w:r>
      <w:r>
        <w:rPr/>
        <w:t>: Galileos kommercielle tjeneste</w:t>
      </w:r>
    </w:p>
    <w:p>
      <w:pPr>
        <w:pStyle w:val="BodyText"/>
        <w:spacing w:before="6"/>
        <w:rPr>
          <w:sz w:val="21"/>
        </w:rPr>
      </w:pPr>
    </w:p>
    <w:p>
      <w:pPr>
        <w:pStyle w:val="BodyText"/>
        <w:ind w:left="742"/>
      </w:pPr>
      <w:r>
        <w:rPr>
          <w:b/>
        </w:rPr>
        <w:t>CTF</w:t>
      </w:r>
      <w:r>
        <w:rPr/>
        <w:t>: Controlled Traffic Farming</w:t>
      </w:r>
    </w:p>
    <w:p>
      <w:pPr>
        <w:pStyle w:val="BodyText"/>
        <w:spacing w:before="6"/>
        <w:rPr>
          <w:sz w:val="21"/>
        </w:rPr>
      </w:pPr>
    </w:p>
    <w:p>
      <w:pPr>
        <w:pStyle w:val="BodyText"/>
        <w:spacing w:line="264" w:lineRule="auto"/>
        <w:ind w:left="742" w:right="1236"/>
        <w:jc w:val="both"/>
      </w:pPr>
      <w:r>
        <w:rPr>
          <w:b/>
        </w:rPr>
        <w:t>Cubesats</w:t>
      </w:r>
      <w:r>
        <w:rPr/>
        <w:t>: En udgave af miniaturesatellitter med en vægt på mellem 0,1 kg og 1 kg, karakterise- ret ved deres kube-formede opbygning af elementer på 10x10x10 cm3. CubeSats er klassificerede som ”picosatellitter”.</w:t>
      </w:r>
    </w:p>
    <w:p>
      <w:pPr>
        <w:pStyle w:val="BodyText"/>
        <w:spacing w:before="7"/>
        <w:rPr>
          <w:sz w:val="19"/>
        </w:rPr>
      </w:pPr>
    </w:p>
    <w:p>
      <w:pPr>
        <w:pStyle w:val="BodyText"/>
        <w:ind w:left="742"/>
      </w:pPr>
      <w:r>
        <w:rPr>
          <w:b/>
        </w:rPr>
        <w:t>DGNSS</w:t>
      </w:r>
      <w:r>
        <w:rPr/>
        <w:t>: Differential Global Navigation Satellite System</w:t>
      </w:r>
    </w:p>
    <w:p>
      <w:pPr>
        <w:pStyle w:val="BodyText"/>
        <w:spacing w:before="6"/>
        <w:rPr>
          <w:sz w:val="21"/>
        </w:rPr>
      </w:pPr>
    </w:p>
    <w:p>
      <w:pPr>
        <w:pStyle w:val="BodyText"/>
        <w:ind w:left="742"/>
      </w:pPr>
      <w:r>
        <w:rPr>
          <w:b/>
        </w:rPr>
        <w:t>DMI</w:t>
      </w:r>
      <w:r>
        <w:rPr/>
        <w:t>: Danmarks Meteorologiske Institut</w:t>
      </w:r>
    </w:p>
    <w:p>
      <w:pPr>
        <w:pStyle w:val="BodyText"/>
        <w:spacing w:before="6"/>
        <w:rPr>
          <w:sz w:val="21"/>
        </w:rPr>
      </w:pPr>
    </w:p>
    <w:p>
      <w:pPr>
        <w:pStyle w:val="BodyText"/>
        <w:ind w:left="742"/>
      </w:pPr>
      <w:r>
        <w:rPr>
          <w:b/>
        </w:rPr>
        <w:t>DTU</w:t>
      </w:r>
      <w:r>
        <w:rPr/>
        <w:t>: Danmarks Tekniske Universitet</w:t>
      </w:r>
    </w:p>
    <w:p>
      <w:pPr>
        <w:pStyle w:val="BodyText"/>
        <w:spacing w:before="6"/>
        <w:rPr>
          <w:sz w:val="21"/>
        </w:rPr>
      </w:pPr>
    </w:p>
    <w:p>
      <w:pPr>
        <w:pStyle w:val="BodyText"/>
        <w:ind w:left="742"/>
      </w:pPr>
      <w:r>
        <w:rPr>
          <w:b/>
        </w:rPr>
        <w:t>E-ELT</w:t>
      </w:r>
      <w:r>
        <w:rPr/>
        <w:t>: European Extremely Large Telescope, drives af ESO</w:t>
      </w:r>
    </w:p>
    <w:p>
      <w:pPr>
        <w:pStyle w:val="BodyText"/>
        <w:spacing w:before="6"/>
        <w:rPr>
          <w:sz w:val="21"/>
        </w:rPr>
      </w:pPr>
    </w:p>
    <w:p>
      <w:pPr>
        <w:pStyle w:val="BodyText"/>
        <w:ind w:left="742"/>
      </w:pPr>
      <w:r>
        <w:rPr>
          <w:b/>
        </w:rPr>
        <w:t>EEA</w:t>
      </w:r>
      <w:r>
        <w:rPr/>
        <w:t>: Det Europæiske Miljøagentur</w:t>
      </w:r>
    </w:p>
    <w:p>
      <w:pPr>
        <w:pStyle w:val="BodyText"/>
        <w:spacing w:before="6"/>
        <w:rPr>
          <w:sz w:val="21"/>
        </w:rPr>
      </w:pPr>
    </w:p>
    <w:p>
      <w:pPr>
        <w:pStyle w:val="BodyText"/>
        <w:ind w:left="742"/>
      </w:pPr>
      <w:r>
        <w:rPr>
          <w:b/>
        </w:rPr>
        <w:t>EGNOS</w:t>
      </w:r>
      <w:r>
        <w:rPr/>
        <w:t>: European Geostationary Navigation Overlay Service</w:t>
      </w:r>
    </w:p>
    <w:p>
      <w:pPr>
        <w:pStyle w:val="BodyText"/>
        <w:spacing w:before="6"/>
        <w:rPr>
          <w:sz w:val="21"/>
        </w:rPr>
      </w:pPr>
    </w:p>
    <w:p>
      <w:pPr>
        <w:pStyle w:val="BodyText"/>
        <w:ind w:left="742"/>
      </w:pPr>
      <w:r>
        <w:rPr>
          <w:b/>
        </w:rPr>
        <w:t>EGNSS</w:t>
      </w:r>
      <w:r>
        <w:rPr/>
        <w:t>: De europæiske satellitnavigationsprogrammer, EGNOS og Galileo</w:t>
      </w:r>
    </w:p>
    <w:p>
      <w:pPr>
        <w:pStyle w:val="BodyText"/>
        <w:spacing w:before="6"/>
        <w:rPr>
          <w:sz w:val="21"/>
        </w:rPr>
      </w:pPr>
    </w:p>
    <w:p>
      <w:pPr>
        <w:pStyle w:val="BodyText"/>
        <w:spacing w:before="1"/>
        <w:ind w:left="742"/>
      </w:pPr>
      <w:r>
        <w:rPr>
          <w:b/>
        </w:rPr>
        <w:t>EMSA</w:t>
      </w:r>
      <w:r>
        <w:rPr/>
        <w:t>: European Maritime Safety Agency</w:t>
      </w:r>
    </w:p>
    <w:p>
      <w:pPr>
        <w:pStyle w:val="BodyText"/>
        <w:spacing w:before="5"/>
        <w:rPr>
          <w:sz w:val="21"/>
        </w:rPr>
      </w:pPr>
    </w:p>
    <w:p>
      <w:pPr>
        <w:pStyle w:val="BodyText"/>
        <w:spacing w:before="1"/>
        <w:ind w:left="742"/>
      </w:pPr>
      <w:r>
        <w:rPr>
          <w:b/>
        </w:rPr>
        <w:t>ESA</w:t>
      </w:r>
      <w:r>
        <w:rPr/>
        <w:t>: European Space Agency</w:t>
      </w:r>
    </w:p>
    <w:p>
      <w:pPr>
        <w:pStyle w:val="BodyText"/>
        <w:spacing w:before="6"/>
        <w:rPr>
          <w:sz w:val="21"/>
        </w:rPr>
      </w:pPr>
    </w:p>
    <w:p>
      <w:pPr>
        <w:pStyle w:val="BodyText"/>
        <w:spacing w:line="525" w:lineRule="auto"/>
        <w:ind w:left="742" w:right="5491"/>
      </w:pPr>
      <w:r>
        <w:rPr>
          <w:b/>
        </w:rPr>
        <w:t>ESRO</w:t>
      </w:r>
      <w:r>
        <w:rPr/>
        <w:t>: European Space Research Organisation </w:t>
      </w:r>
      <w:r>
        <w:rPr>
          <w:b/>
        </w:rPr>
        <w:t>ESERO</w:t>
      </w:r>
      <w:r>
        <w:rPr/>
        <w:t>: European Space Education Resource Office </w:t>
      </w:r>
      <w:r>
        <w:rPr>
          <w:b/>
        </w:rPr>
        <w:t>ESO</w:t>
      </w:r>
      <w:r>
        <w:rPr/>
        <w:t>: European Southern Observatory</w:t>
      </w:r>
    </w:p>
    <w:p>
      <w:pPr>
        <w:pStyle w:val="BodyText"/>
        <w:spacing w:before="3"/>
        <w:ind w:left="742"/>
      </w:pPr>
      <w:r>
        <w:rPr>
          <w:b/>
        </w:rPr>
        <w:t>EU</w:t>
      </w:r>
      <w:r>
        <w:rPr/>
        <w:t>: Den Europæiske Union</w:t>
      </w:r>
    </w:p>
    <w:p>
      <w:pPr>
        <w:pStyle w:val="BodyText"/>
        <w:spacing w:before="6"/>
        <w:rPr>
          <w:sz w:val="21"/>
        </w:rPr>
      </w:pPr>
    </w:p>
    <w:p>
      <w:pPr>
        <w:pStyle w:val="BodyText"/>
        <w:ind w:left="742"/>
      </w:pPr>
      <w:r>
        <w:rPr>
          <w:b/>
        </w:rPr>
        <w:t>EUMETSAT</w:t>
      </w:r>
      <w:r>
        <w:rPr/>
        <w:t>: European Organisation for the Exploitation of Meteorological Satellites</w:t>
      </w:r>
    </w:p>
    <w:p>
      <w:pPr>
        <w:spacing w:after="0"/>
        <w:sectPr>
          <w:pgSz w:w="11910" w:h="16840"/>
          <w:pgMar w:header="0" w:footer="539" w:top="1580" w:bottom="800" w:left="960" w:right="0"/>
        </w:sectPr>
      </w:pPr>
    </w:p>
    <w:p>
      <w:pPr>
        <w:pStyle w:val="BodyText"/>
        <w:spacing w:before="11"/>
        <w:rPr>
          <w:sz w:val="21"/>
        </w:rPr>
      </w:pPr>
    </w:p>
    <w:p>
      <w:pPr>
        <w:pStyle w:val="BodyText"/>
        <w:spacing w:line="264" w:lineRule="auto" w:before="100"/>
        <w:ind w:left="742" w:right="1173"/>
      </w:pPr>
      <w:r>
        <w:rPr>
          <w:b/>
        </w:rPr>
        <w:t>EUTELSAT</w:t>
      </w:r>
      <w:r>
        <w:rPr/>
        <w:t>: Udbyder af satellitbaserede tjenester inden for telekommunikation. Oprindeligt etable- ret som en tvær-europæisk organisation, i dag en privat virksomhed. Opererer 38 kommunikati- onssatellitter.</w:t>
      </w:r>
    </w:p>
    <w:p>
      <w:pPr>
        <w:pStyle w:val="BodyText"/>
        <w:spacing w:before="195"/>
        <w:ind w:left="742"/>
      </w:pPr>
      <w:r>
        <w:rPr>
          <w:b/>
        </w:rPr>
        <w:t>EØZ</w:t>
      </w:r>
      <w:r>
        <w:rPr/>
        <w:t>: Eksklusiv Økonomisk Zone (et lands andel af havet)</w:t>
      </w:r>
    </w:p>
    <w:p>
      <w:pPr>
        <w:pStyle w:val="BodyText"/>
        <w:spacing w:before="11"/>
        <w:rPr>
          <w:sz w:val="17"/>
        </w:rPr>
      </w:pPr>
    </w:p>
    <w:p>
      <w:pPr>
        <w:pStyle w:val="BodyText"/>
        <w:ind w:left="742"/>
      </w:pPr>
      <w:r>
        <w:rPr>
          <w:b/>
        </w:rPr>
        <w:t>FI</w:t>
      </w:r>
      <w:r>
        <w:rPr/>
        <w:t>: Styrelsen for Forskning og Innovation</w:t>
      </w:r>
    </w:p>
    <w:p>
      <w:pPr>
        <w:pStyle w:val="BodyText"/>
        <w:spacing w:before="9"/>
        <w:rPr>
          <w:sz w:val="19"/>
        </w:rPr>
      </w:pPr>
    </w:p>
    <w:p>
      <w:pPr>
        <w:pStyle w:val="BodyText"/>
        <w:ind w:left="742"/>
      </w:pPr>
      <w:r>
        <w:rPr>
          <w:b/>
        </w:rPr>
        <w:t>FoU</w:t>
      </w:r>
      <w:r>
        <w:rPr/>
        <w:t>: Forskning og Udvikling</w:t>
      </w:r>
    </w:p>
    <w:p>
      <w:pPr>
        <w:pStyle w:val="BodyText"/>
        <w:spacing w:before="9"/>
        <w:rPr>
          <w:sz w:val="19"/>
        </w:rPr>
      </w:pPr>
    </w:p>
    <w:p>
      <w:pPr>
        <w:pStyle w:val="BodyText"/>
        <w:ind w:left="742"/>
      </w:pPr>
      <w:r>
        <w:rPr>
          <w:b/>
        </w:rPr>
        <w:t>FP7</w:t>
      </w:r>
      <w:r>
        <w:rPr/>
        <w:t>: Den Europæiske Unions 7. rammeprogram</w:t>
      </w:r>
    </w:p>
    <w:p>
      <w:pPr>
        <w:pStyle w:val="BodyText"/>
        <w:spacing w:before="8"/>
        <w:rPr>
          <w:sz w:val="21"/>
        </w:rPr>
      </w:pPr>
    </w:p>
    <w:p>
      <w:pPr>
        <w:pStyle w:val="BodyText"/>
        <w:spacing w:line="264" w:lineRule="auto"/>
        <w:ind w:left="742" w:right="1145"/>
      </w:pPr>
      <w:r>
        <w:rPr>
          <w:b/>
        </w:rPr>
        <w:t>Galileo</w:t>
      </w:r>
      <w:r>
        <w:rPr/>
        <w:t>: Et europæisk globalt satellit-baseret navigationssystem og en pendant til det amerikanske GPS. Systemet vil bestå af 24 satellitter. Programmet er initieret af EU i samarbejde med ESA.</w:t>
      </w:r>
    </w:p>
    <w:p>
      <w:pPr>
        <w:pStyle w:val="BodyText"/>
        <w:spacing w:before="9"/>
        <w:rPr>
          <w:sz w:val="19"/>
        </w:rPr>
      </w:pPr>
    </w:p>
    <w:p>
      <w:pPr>
        <w:pStyle w:val="BodyText"/>
        <w:ind w:left="742"/>
      </w:pPr>
      <w:r>
        <w:rPr>
          <w:b/>
        </w:rPr>
        <w:t>GEO: </w:t>
      </w:r>
      <w:r>
        <w:rPr/>
        <w:t>Group on Earth Observations</w:t>
      </w:r>
    </w:p>
    <w:p>
      <w:pPr>
        <w:pStyle w:val="BodyText"/>
        <w:spacing w:before="6"/>
        <w:rPr>
          <w:sz w:val="21"/>
        </w:rPr>
      </w:pPr>
    </w:p>
    <w:p>
      <w:pPr>
        <w:pStyle w:val="BodyText"/>
        <w:ind w:left="742"/>
      </w:pPr>
      <w:r>
        <w:rPr>
          <w:b/>
        </w:rPr>
        <w:t>GEUS</w:t>
      </w:r>
      <w:r>
        <w:rPr/>
        <w:t>: De Nationale Geologiske Undersøgelser for Danmark og Grønland</w:t>
      </w:r>
    </w:p>
    <w:p>
      <w:pPr>
        <w:pStyle w:val="BodyText"/>
        <w:spacing w:before="6"/>
        <w:rPr>
          <w:sz w:val="21"/>
        </w:rPr>
      </w:pPr>
    </w:p>
    <w:p>
      <w:pPr>
        <w:pStyle w:val="BodyText"/>
        <w:ind w:left="742"/>
      </w:pPr>
      <w:r>
        <w:rPr>
          <w:b/>
        </w:rPr>
        <w:t>GMES</w:t>
      </w:r>
      <w:r>
        <w:rPr/>
        <w:t>: Global Monitoring for Environment and Security, tidligere navn for Copernicus</w:t>
      </w:r>
    </w:p>
    <w:p>
      <w:pPr>
        <w:pStyle w:val="BodyText"/>
        <w:spacing w:before="6"/>
        <w:rPr>
          <w:sz w:val="21"/>
        </w:rPr>
      </w:pPr>
    </w:p>
    <w:p>
      <w:pPr>
        <w:pStyle w:val="BodyText"/>
        <w:ind w:left="742"/>
      </w:pPr>
      <w:r>
        <w:rPr>
          <w:b/>
        </w:rPr>
        <w:t>GNSS</w:t>
      </w:r>
      <w:r>
        <w:rPr/>
        <w:t>: Global Navigation Satellite System</w:t>
      </w:r>
    </w:p>
    <w:p>
      <w:pPr>
        <w:pStyle w:val="BodyText"/>
        <w:spacing w:before="6"/>
        <w:rPr>
          <w:sz w:val="21"/>
        </w:rPr>
      </w:pPr>
    </w:p>
    <w:p>
      <w:pPr>
        <w:pStyle w:val="BodyText"/>
        <w:ind w:left="742"/>
      </w:pPr>
      <w:r>
        <w:rPr>
          <w:b/>
        </w:rPr>
        <w:t>GSTP</w:t>
      </w:r>
      <w:r>
        <w:rPr/>
        <w:t>: General Study and Technology Programme</w:t>
      </w:r>
    </w:p>
    <w:p>
      <w:pPr>
        <w:pStyle w:val="BodyText"/>
        <w:spacing w:before="6"/>
        <w:rPr>
          <w:sz w:val="21"/>
        </w:rPr>
      </w:pPr>
    </w:p>
    <w:p>
      <w:pPr>
        <w:pStyle w:val="BodyText"/>
        <w:ind w:left="742"/>
      </w:pPr>
      <w:r>
        <w:rPr>
          <w:b/>
        </w:rPr>
        <w:t>GPS</w:t>
      </w:r>
      <w:r>
        <w:rPr/>
        <w:t>: Global Positioning System</w:t>
      </w:r>
    </w:p>
    <w:p>
      <w:pPr>
        <w:pStyle w:val="BodyText"/>
        <w:spacing w:before="6"/>
        <w:rPr>
          <w:sz w:val="21"/>
        </w:rPr>
      </w:pPr>
    </w:p>
    <w:p>
      <w:pPr>
        <w:pStyle w:val="BodyText"/>
        <w:spacing w:line="264" w:lineRule="auto"/>
        <w:ind w:left="742" w:right="1410"/>
      </w:pPr>
      <w:r>
        <w:rPr>
          <w:b/>
        </w:rPr>
        <w:t>Horizon 2020</w:t>
      </w:r>
      <w:r>
        <w:rPr/>
        <w:t>: EU’s rammeprogram for forskning og udvikling. Det er opdelt i mange hundrede underprogrammer med et samlet budget på estimeret 80 milliarder euro. Horizon 2020- programmet dækker perioden 2014-2020. Tidligere programmer har været betegnet FP1 til FP7.</w:t>
      </w:r>
    </w:p>
    <w:p>
      <w:pPr>
        <w:pStyle w:val="BodyText"/>
        <w:spacing w:before="7"/>
        <w:rPr>
          <w:sz w:val="19"/>
        </w:rPr>
      </w:pPr>
    </w:p>
    <w:p>
      <w:pPr>
        <w:pStyle w:val="BodyText"/>
        <w:ind w:left="742"/>
      </w:pPr>
      <w:r>
        <w:rPr>
          <w:b/>
        </w:rPr>
        <w:t>IA</w:t>
      </w:r>
      <w:r>
        <w:rPr/>
        <w:t>: Investeringsafkast</w:t>
      </w:r>
    </w:p>
    <w:p>
      <w:pPr>
        <w:pStyle w:val="BodyText"/>
        <w:spacing w:before="6"/>
        <w:rPr>
          <w:sz w:val="21"/>
        </w:rPr>
      </w:pPr>
    </w:p>
    <w:p>
      <w:pPr>
        <w:pStyle w:val="BodyText"/>
        <w:ind w:left="742"/>
      </w:pPr>
      <w:r>
        <w:rPr>
          <w:b/>
        </w:rPr>
        <w:t>ICAO</w:t>
      </w:r>
      <w:r>
        <w:rPr/>
        <w:t>: Internationale Civil Aviation Organisation</w:t>
      </w:r>
    </w:p>
    <w:p>
      <w:pPr>
        <w:pStyle w:val="BodyText"/>
        <w:spacing w:before="6"/>
        <w:rPr>
          <w:sz w:val="21"/>
        </w:rPr>
      </w:pPr>
    </w:p>
    <w:p>
      <w:pPr>
        <w:pStyle w:val="BodyText"/>
        <w:ind w:left="742"/>
      </w:pPr>
      <w:r>
        <w:rPr>
          <w:b/>
        </w:rPr>
        <w:t>IMO</w:t>
      </w:r>
      <w:r>
        <w:rPr/>
        <w:t>: International Maritime Organization</w:t>
      </w:r>
    </w:p>
    <w:p>
      <w:pPr>
        <w:pStyle w:val="BodyText"/>
        <w:spacing w:before="6"/>
        <w:rPr>
          <w:sz w:val="21"/>
        </w:rPr>
      </w:pPr>
    </w:p>
    <w:p>
      <w:pPr>
        <w:pStyle w:val="BodyText"/>
        <w:ind w:left="742"/>
      </w:pPr>
      <w:r>
        <w:rPr>
          <w:b/>
        </w:rPr>
        <w:t>ISS</w:t>
      </w:r>
      <w:r>
        <w:rPr/>
        <w:t>: International Space Station</w:t>
      </w:r>
    </w:p>
    <w:p>
      <w:pPr>
        <w:pStyle w:val="BodyText"/>
        <w:spacing w:before="6"/>
        <w:rPr>
          <w:sz w:val="21"/>
        </w:rPr>
      </w:pPr>
    </w:p>
    <w:p>
      <w:pPr>
        <w:pStyle w:val="BodyText"/>
        <w:spacing w:before="1"/>
        <w:ind w:left="742"/>
      </w:pPr>
      <w:r>
        <w:rPr>
          <w:b/>
        </w:rPr>
        <w:t>ITU</w:t>
      </w:r>
      <w:r>
        <w:rPr/>
        <w:t>: International Telecommunication Union</w:t>
      </w:r>
    </w:p>
    <w:p>
      <w:pPr>
        <w:pStyle w:val="BodyText"/>
        <w:spacing w:before="11"/>
        <w:rPr>
          <w:sz w:val="17"/>
        </w:rPr>
      </w:pPr>
    </w:p>
    <w:p>
      <w:pPr>
        <w:pStyle w:val="BodyText"/>
        <w:ind w:left="742"/>
      </w:pPr>
      <w:r>
        <w:rPr>
          <w:b/>
        </w:rPr>
        <w:t>JIF</w:t>
      </w:r>
      <w:r>
        <w:rPr/>
        <w:t>: Journal Impact Factor</w:t>
      </w:r>
    </w:p>
    <w:p>
      <w:pPr>
        <w:pStyle w:val="BodyText"/>
        <w:spacing w:before="11"/>
        <w:rPr>
          <w:sz w:val="17"/>
        </w:rPr>
      </w:pPr>
    </w:p>
    <w:p>
      <w:pPr>
        <w:pStyle w:val="BodyText"/>
        <w:ind w:left="742"/>
      </w:pPr>
      <w:r>
        <w:rPr>
          <w:b/>
        </w:rPr>
        <w:t>JO</w:t>
      </w:r>
      <w:r>
        <w:rPr/>
        <w:t>: Jordobservation</w:t>
      </w:r>
    </w:p>
    <w:p>
      <w:pPr>
        <w:pStyle w:val="BodyText"/>
      </w:pPr>
    </w:p>
    <w:p>
      <w:pPr>
        <w:pStyle w:val="BodyText"/>
        <w:spacing w:line="480" w:lineRule="auto"/>
        <w:ind w:left="742" w:right="7565"/>
      </w:pPr>
      <w:r>
        <w:rPr>
          <w:b/>
        </w:rPr>
        <w:t>JRC</w:t>
      </w:r>
      <w:r>
        <w:rPr/>
        <w:t>: Joint Research Centre </w:t>
      </w:r>
      <w:r>
        <w:rPr>
          <w:b/>
        </w:rPr>
        <w:t>KU</w:t>
      </w:r>
      <w:r>
        <w:rPr/>
        <w:t>: Københavns Universitet </w:t>
      </w:r>
      <w:r>
        <w:rPr>
          <w:b/>
        </w:rPr>
        <w:t>LER: </w:t>
      </w:r>
      <w:r>
        <w:rPr/>
        <w:t>Ledningsejer-registeret</w:t>
      </w:r>
    </w:p>
    <w:p>
      <w:pPr>
        <w:pStyle w:val="BodyText"/>
        <w:spacing w:before="1"/>
        <w:ind w:left="742" w:right="1251"/>
      </w:pPr>
      <w:r>
        <w:rPr>
          <w:b/>
        </w:rPr>
        <w:t>Miniaturesatellitter</w:t>
      </w:r>
      <w:r>
        <w:rPr/>
        <w:t>: En klassifikation af små satellitter ud fra deres vægt. Cubesats er en særlig udgave af picosatellitter:</w:t>
      </w:r>
    </w:p>
    <w:p>
      <w:pPr>
        <w:pStyle w:val="BodyText"/>
        <w:spacing w:before="1"/>
        <w:ind w:left="1445" w:right="7190"/>
        <w:jc w:val="center"/>
      </w:pPr>
      <w:r>
        <w:rPr/>
        <w:t>Minisatellit (100–500 kg)</w:t>
      </w:r>
    </w:p>
    <w:p>
      <w:pPr>
        <w:spacing w:after="0"/>
        <w:jc w:val="center"/>
        <w:sectPr>
          <w:pgSz w:w="11910" w:h="16840"/>
          <w:pgMar w:header="0" w:footer="539" w:top="1580" w:bottom="800" w:left="960" w:right="0"/>
        </w:sectPr>
      </w:pPr>
    </w:p>
    <w:p>
      <w:pPr>
        <w:pStyle w:val="BodyText"/>
        <w:spacing w:line="219" w:lineRule="exact" w:before="105"/>
        <w:ind w:left="1462"/>
      </w:pPr>
      <w:r>
        <w:rPr/>
        <w:t>Mikrosatellit (10–100 kg)</w:t>
      </w:r>
    </w:p>
    <w:p>
      <w:pPr>
        <w:pStyle w:val="BodyText"/>
        <w:spacing w:line="218" w:lineRule="exact"/>
        <w:ind w:left="1462"/>
      </w:pPr>
      <w:r>
        <w:rPr/>
        <w:t>Nanosatellit (1–10</w:t>
      </w:r>
      <w:r>
        <w:rPr>
          <w:spacing w:val="-7"/>
        </w:rPr>
        <w:t> </w:t>
      </w:r>
      <w:r>
        <w:rPr/>
        <w:t>kg)</w:t>
      </w:r>
    </w:p>
    <w:p>
      <w:pPr>
        <w:pStyle w:val="BodyText"/>
        <w:spacing w:line="218" w:lineRule="exact"/>
        <w:ind w:left="1462"/>
      </w:pPr>
      <w:r>
        <w:rPr/>
        <w:t>Picosatellit (0.1–1</w:t>
      </w:r>
      <w:r>
        <w:rPr>
          <w:spacing w:val="-6"/>
        </w:rPr>
        <w:t> </w:t>
      </w:r>
      <w:r>
        <w:rPr/>
        <w:t>kg)</w:t>
      </w:r>
    </w:p>
    <w:p>
      <w:pPr>
        <w:pStyle w:val="BodyText"/>
        <w:ind w:left="1462"/>
      </w:pPr>
      <w:r>
        <w:rPr/>
        <w:t>Femtosatellit (0.01–0.1 kg)</w:t>
      </w:r>
    </w:p>
    <w:p>
      <w:pPr>
        <w:pStyle w:val="BodyText"/>
        <w:spacing w:before="5"/>
        <w:rPr>
          <w:sz w:val="21"/>
        </w:rPr>
      </w:pPr>
    </w:p>
    <w:p>
      <w:pPr>
        <w:pStyle w:val="BodyText"/>
        <w:spacing w:before="1"/>
        <w:ind w:left="742"/>
      </w:pPr>
      <w:r>
        <w:rPr>
          <w:b/>
        </w:rPr>
        <w:t>NASA</w:t>
      </w:r>
      <w:r>
        <w:rPr/>
        <w:t>: National Aeronautics and Space Administration, amerikansk</w:t>
      </w:r>
    </w:p>
    <w:p>
      <w:pPr>
        <w:pStyle w:val="BodyText"/>
        <w:spacing w:before="5"/>
        <w:rPr>
          <w:sz w:val="21"/>
        </w:rPr>
      </w:pPr>
    </w:p>
    <w:p>
      <w:pPr>
        <w:pStyle w:val="BodyText"/>
        <w:spacing w:before="1"/>
        <w:ind w:left="742"/>
      </w:pPr>
      <w:r>
        <w:rPr>
          <w:b/>
        </w:rPr>
        <w:t>NACE</w:t>
      </w:r>
      <w:r>
        <w:rPr/>
        <w:t>: Nomenclature Statistique Des Activités Économiques, EU’s standardsektornomenklatur</w:t>
      </w:r>
    </w:p>
    <w:p>
      <w:pPr>
        <w:pStyle w:val="BodyText"/>
        <w:spacing w:before="5"/>
        <w:rPr>
          <w:sz w:val="21"/>
        </w:rPr>
      </w:pPr>
    </w:p>
    <w:p>
      <w:pPr>
        <w:pStyle w:val="BodyText"/>
        <w:spacing w:before="1"/>
        <w:ind w:left="742"/>
      </w:pPr>
      <w:r>
        <w:rPr>
          <w:b/>
        </w:rPr>
        <w:t>NOAA</w:t>
      </w:r>
      <w:r>
        <w:rPr/>
        <w:t>: National Oceanic and Atmospheric Administration, amerikansk</w:t>
      </w:r>
    </w:p>
    <w:p>
      <w:pPr>
        <w:pStyle w:val="BodyText"/>
        <w:spacing w:before="5"/>
        <w:rPr>
          <w:sz w:val="21"/>
        </w:rPr>
      </w:pPr>
    </w:p>
    <w:p>
      <w:pPr>
        <w:pStyle w:val="BodyText"/>
        <w:spacing w:before="1"/>
        <w:ind w:left="742"/>
      </w:pPr>
      <w:r>
        <w:rPr>
          <w:b/>
        </w:rPr>
        <w:t>NOT: </w:t>
      </w:r>
      <w:r>
        <w:rPr/>
        <w:t>Nordic Optical Telescope</w:t>
      </w:r>
    </w:p>
    <w:p>
      <w:pPr>
        <w:pStyle w:val="BodyText"/>
        <w:spacing w:before="5"/>
        <w:rPr>
          <w:sz w:val="21"/>
        </w:rPr>
      </w:pPr>
    </w:p>
    <w:p>
      <w:pPr>
        <w:pStyle w:val="BodyText"/>
        <w:spacing w:before="1"/>
        <w:ind w:left="742"/>
      </w:pPr>
      <w:r>
        <w:rPr>
          <w:b/>
        </w:rPr>
        <w:t>OECD</w:t>
      </w:r>
      <w:r>
        <w:rPr/>
        <w:t>: Organisation for Economic Co-operation and Development</w:t>
      </w:r>
    </w:p>
    <w:p>
      <w:pPr>
        <w:pStyle w:val="BodyText"/>
        <w:spacing w:before="6"/>
        <w:rPr>
          <w:sz w:val="21"/>
        </w:rPr>
      </w:pPr>
    </w:p>
    <w:p>
      <w:pPr>
        <w:pStyle w:val="BodyText"/>
        <w:ind w:left="742"/>
      </w:pPr>
      <w:r>
        <w:rPr>
          <w:b/>
        </w:rPr>
        <w:t>OS</w:t>
      </w:r>
      <w:r>
        <w:rPr/>
        <w:t>: Galileos åbne tjeneste</w:t>
      </w:r>
    </w:p>
    <w:p>
      <w:pPr>
        <w:pStyle w:val="BodyText"/>
        <w:spacing w:before="6"/>
        <w:rPr>
          <w:sz w:val="21"/>
        </w:rPr>
      </w:pPr>
    </w:p>
    <w:p>
      <w:pPr>
        <w:pStyle w:val="BodyText"/>
        <w:spacing w:line="525" w:lineRule="auto"/>
        <w:ind w:left="742" w:right="6803"/>
      </w:pPr>
      <w:r>
        <w:rPr>
          <w:b/>
        </w:rPr>
        <w:t>PMU</w:t>
      </w:r>
      <w:r>
        <w:rPr/>
        <w:t>: Phasor Measurement Unit </w:t>
      </w:r>
      <w:r>
        <w:rPr>
          <w:b/>
        </w:rPr>
        <w:t>QZSS</w:t>
      </w:r>
      <w:r>
        <w:rPr/>
        <w:t>: Quasi-Zenith Satellite System </w:t>
      </w:r>
      <w:r>
        <w:rPr>
          <w:b/>
        </w:rPr>
        <w:t>RTK</w:t>
      </w:r>
      <w:r>
        <w:rPr/>
        <w:t>: Real-Time Kinematics</w:t>
      </w:r>
    </w:p>
    <w:p>
      <w:pPr>
        <w:pStyle w:val="BodyText"/>
        <w:spacing w:before="3"/>
        <w:ind w:left="742"/>
      </w:pPr>
      <w:r>
        <w:rPr>
          <w:b/>
        </w:rPr>
        <w:t>SAF</w:t>
      </w:r>
      <w:r>
        <w:rPr/>
        <w:t>: Satellite Application Facilities</w:t>
      </w:r>
    </w:p>
    <w:p>
      <w:pPr>
        <w:pStyle w:val="BodyText"/>
        <w:spacing w:before="6"/>
        <w:rPr>
          <w:sz w:val="21"/>
        </w:rPr>
      </w:pPr>
    </w:p>
    <w:p>
      <w:pPr>
        <w:pStyle w:val="BodyText"/>
        <w:ind w:left="742"/>
      </w:pPr>
      <w:r>
        <w:rPr>
          <w:b/>
        </w:rPr>
        <w:t>SaR: </w:t>
      </w:r>
      <w:r>
        <w:rPr/>
        <w:t>Galileos Search and Rescue tjeneste</w:t>
      </w:r>
    </w:p>
    <w:p>
      <w:pPr>
        <w:pStyle w:val="BodyText"/>
        <w:spacing w:before="6"/>
        <w:rPr>
          <w:sz w:val="21"/>
        </w:rPr>
      </w:pPr>
    </w:p>
    <w:p>
      <w:pPr>
        <w:pStyle w:val="BodyText"/>
        <w:ind w:left="742"/>
      </w:pPr>
      <w:r>
        <w:rPr>
          <w:b/>
        </w:rPr>
        <w:t>SAR</w:t>
      </w:r>
      <w:r>
        <w:rPr/>
        <w:t>: Synergetic Aperture Radar</w:t>
      </w:r>
    </w:p>
    <w:p>
      <w:pPr>
        <w:pStyle w:val="BodyText"/>
        <w:spacing w:before="6"/>
        <w:rPr>
          <w:sz w:val="21"/>
        </w:rPr>
      </w:pPr>
    </w:p>
    <w:p>
      <w:pPr>
        <w:pStyle w:val="BodyText"/>
        <w:ind w:left="742"/>
      </w:pPr>
      <w:r>
        <w:rPr>
          <w:b/>
        </w:rPr>
        <w:t>SatCen</w:t>
      </w:r>
      <w:r>
        <w:rPr/>
        <w:t>: European Union Satellite Centre</w:t>
      </w:r>
    </w:p>
    <w:p>
      <w:pPr>
        <w:pStyle w:val="BodyText"/>
        <w:spacing w:before="6"/>
        <w:rPr>
          <w:sz w:val="21"/>
        </w:rPr>
      </w:pPr>
    </w:p>
    <w:p>
      <w:pPr>
        <w:pStyle w:val="BodyText"/>
        <w:spacing w:before="1"/>
        <w:ind w:left="742"/>
      </w:pPr>
      <w:r>
        <w:rPr>
          <w:b/>
        </w:rPr>
        <w:t>SBAS</w:t>
      </w:r>
      <w:r>
        <w:rPr/>
        <w:t>: Satellitbaserede augmenteringstjenester, herunder EGNOS</w:t>
      </w:r>
    </w:p>
    <w:p>
      <w:pPr>
        <w:pStyle w:val="BodyText"/>
        <w:spacing w:before="5"/>
        <w:rPr>
          <w:sz w:val="21"/>
        </w:rPr>
      </w:pPr>
    </w:p>
    <w:p>
      <w:pPr>
        <w:pStyle w:val="BodyText"/>
        <w:spacing w:before="1"/>
        <w:ind w:left="742"/>
      </w:pPr>
      <w:r>
        <w:rPr>
          <w:b/>
        </w:rPr>
        <w:t>SDU</w:t>
      </w:r>
      <w:r>
        <w:rPr/>
        <w:t>: Syddansk Universitet</w:t>
      </w:r>
    </w:p>
    <w:p>
      <w:pPr>
        <w:pStyle w:val="BodyText"/>
        <w:spacing w:before="5"/>
        <w:rPr>
          <w:sz w:val="21"/>
        </w:rPr>
      </w:pPr>
    </w:p>
    <w:p>
      <w:pPr>
        <w:pStyle w:val="BodyText"/>
        <w:spacing w:before="1"/>
        <w:ind w:left="742"/>
      </w:pPr>
      <w:r>
        <w:rPr>
          <w:b/>
        </w:rPr>
        <w:t>SSETI</w:t>
      </w:r>
      <w:r>
        <w:rPr/>
        <w:t>: Student Space Exploration and Technology Initiative, ESA-program</w:t>
      </w:r>
    </w:p>
    <w:p>
      <w:pPr>
        <w:pStyle w:val="BodyText"/>
        <w:spacing w:before="5"/>
        <w:rPr>
          <w:sz w:val="21"/>
        </w:rPr>
      </w:pPr>
    </w:p>
    <w:p>
      <w:pPr>
        <w:pStyle w:val="BodyText"/>
        <w:spacing w:before="1"/>
        <w:ind w:left="742"/>
      </w:pPr>
      <w:r>
        <w:rPr>
          <w:b/>
        </w:rPr>
        <w:t>SSGP</w:t>
      </w:r>
      <w:r>
        <w:rPr/>
        <w:t>: Space for Smarter Government Programme, britisk</w:t>
      </w:r>
    </w:p>
    <w:p>
      <w:pPr>
        <w:pStyle w:val="BodyText"/>
        <w:spacing w:before="5"/>
        <w:rPr>
          <w:sz w:val="21"/>
        </w:rPr>
      </w:pPr>
    </w:p>
    <w:p>
      <w:pPr>
        <w:pStyle w:val="BodyText"/>
        <w:spacing w:before="1"/>
        <w:ind w:left="742"/>
      </w:pPr>
      <w:r>
        <w:rPr>
          <w:b/>
        </w:rPr>
        <w:t>SR: </w:t>
      </w:r>
      <w:r>
        <w:rPr/>
        <w:t>Strategisk Rumforskning</w:t>
      </w:r>
    </w:p>
    <w:p>
      <w:pPr>
        <w:pStyle w:val="BodyText"/>
        <w:spacing w:before="5"/>
        <w:rPr>
          <w:sz w:val="21"/>
        </w:rPr>
      </w:pPr>
    </w:p>
    <w:p>
      <w:pPr>
        <w:pStyle w:val="BodyText"/>
        <w:spacing w:before="1"/>
        <w:ind w:left="742"/>
      </w:pPr>
      <w:r>
        <w:rPr>
          <w:b/>
        </w:rPr>
        <w:t>STEREO </w:t>
      </w:r>
      <w:r>
        <w:rPr/>
        <w:t>(Solar Terrestrial Relations Observatory): NASA mission</w:t>
      </w:r>
    </w:p>
    <w:p>
      <w:pPr>
        <w:pStyle w:val="BodyText"/>
        <w:spacing w:before="5"/>
        <w:rPr>
          <w:sz w:val="21"/>
        </w:rPr>
      </w:pPr>
    </w:p>
    <w:p>
      <w:pPr>
        <w:pStyle w:val="BodyText"/>
        <w:spacing w:before="1"/>
        <w:ind w:left="742"/>
      </w:pPr>
      <w:r>
        <w:rPr>
          <w:b/>
        </w:rPr>
        <w:t>VLT</w:t>
      </w:r>
      <w:r>
        <w:rPr/>
        <w:t>: Very Large Telescope, drives af ESO</w:t>
      </w:r>
    </w:p>
    <w:p>
      <w:pPr>
        <w:pStyle w:val="BodyText"/>
        <w:spacing w:before="6"/>
        <w:rPr>
          <w:sz w:val="21"/>
        </w:rPr>
      </w:pPr>
    </w:p>
    <w:p>
      <w:pPr>
        <w:pStyle w:val="BodyText"/>
        <w:ind w:left="742"/>
      </w:pPr>
      <w:r>
        <w:rPr>
          <w:b/>
        </w:rPr>
        <w:t>VRT</w:t>
      </w:r>
      <w:r>
        <w:rPr/>
        <w:t>: Variable Rate Technology</w:t>
      </w:r>
    </w:p>
    <w:p>
      <w:pPr>
        <w:pStyle w:val="BodyText"/>
        <w:spacing w:before="6"/>
        <w:rPr>
          <w:sz w:val="21"/>
        </w:rPr>
      </w:pPr>
    </w:p>
    <w:p>
      <w:pPr>
        <w:pStyle w:val="BodyText"/>
        <w:ind w:left="742"/>
      </w:pPr>
      <w:r>
        <w:rPr>
          <w:b/>
        </w:rPr>
        <w:t>WTP</w:t>
      </w:r>
      <w:r>
        <w:rPr/>
        <w:t>: Willingness-To-Pay</w:t>
      </w:r>
    </w:p>
    <w:sectPr>
      <w:pgSz w:w="11910" w:h="16840"/>
      <w:pgMar w:header="0" w:footer="539" w:top="1580" w:bottom="80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8.543999pt;margin-top:783.607666pt;width:94.75pt;height:12.95pt;mso-position-horizontal-relative:page;mso-position-vertical-relative:page;z-index:-182680" type="#_x0000_t202" filled="false" stroked="false">
          <v:textbox inset="0,0,0,0">
            <w:txbxContent>
              <w:p>
                <w:pPr>
                  <w:pStyle w:val="BodyText"/>
                  <w:spacing w:before="20"/>
                  <w:ind w:left="20"/>
                </w:pPr>
                <w:hyperlink w:history="true" w:anchor="_bookmark69">
                  <w:r>
                    <w:rPr/>
                    <w:t>Bilag 7: Forkortelser</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78.101196pt;width:45.6pt;height:9.9pt;mso-position-horizontal-relative:page;mso-position-vertical-relative:page;z-index:-182656"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10</w:t>
                </w:r>
                <w:r>
                  <w:rPr/>
                  <w:fldChar w:fldCharType="end"/>
                </w:r>
                <w:r>
                  <w:rPr>
                    <w:sz w:val="13"/>
                  </w:rPr>
                  <w:t> af 92</w:t>
                </w:r>
              </w:p>
            </w:txbxContent>
          </v:textbox>
          <w10:wrap type="none"/>
        </v:shape>
      </w:pict>
    </w:r>
    <w:r>
      <w:rPr/>
      <w:pict>
        <v:shape style="position:absolute;margin-left:339.269989pt;margin-top:778.101196pt;width:179.05pt;height:9.9pt;mso-position-horizontal-relative:page;mso-position-vertical-relative:page;z-index:-182632"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78.101196pt;width:45.6pt;height:9.9pt;mso-position-horizontal-relative:page;mso-position-vertical-relative:page;z-index:-182608"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31</w:t>
                </w:r>
                <w:r>
                  <w:rPr/>
                  <w:fldChar w:fldCharType="end"/>
                </w:r>
                <w:r>
                  <w:rPr>
                    <w:sz w:val="13"/>
                  </w:rPr>
                  <w:t> af 92</w:t>
                </w:r>
              </w:p>
            </w:txbxContent>
          </v:textbox>
          <w10:wrap type="none"/>
        </v:shape>
      </w:pict>
    </w:r>
    <w:r>
      <w:rPr/>
      <w:pict>
        <v:shape style="position:absolute;margin-left:339.269989pt;margin-top:778.101196pt;width:179.05pt;height:9.9pt;mso-position-horizontal-relative:page;mso-position-vertical-relative:page;z-index:-182584"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78.101196pt;width:45.6pt;height:9.9pt;mso-position-horizontal-relative:page;mso-position-vertical-relative:page;z-index:-182560"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39</w:t>
                </w:r>
                <w:r>
                  <w:rPr/>
                  <w:fldChar w:fldCharType="end"/>
                </w:r>
                <w:r>
                  <w:rPr>
                    <w:sz w:val="13"/>
                  </w:rPr>
                  <w:t> af 92</w:t>
                </w:r>
              </w:p>
            </w:txbxContent>
          </v:textbox>
          <w10:wrap type="none"/>
        </v:shape>
      </w:pict>
    </w:r>
    <w:r>
      <w:rPr/>
      <w:pict>
        <v:shape style="position:absolute;margin-left:339.269989pt;margin-top:778.101196pt;width:179.05pt;height:9.9pt;mso-position-horizontal-relative:page;mso-position-vertical-relative:page;z-index:-182536"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99.965149pt;width:45.6pt;height:9.9pt;mso-position-horizontal-relative:page;mso-position-vertical-relative:page;z-index:-182512"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57</w:t>
                </w:r>
                <w:r>
                  <w:rPr/>
                  <w:fldChar w:fldCharType="end"/>
                </w:r>
                <w:r>
                  <w:rPr>
                    <w:sz w:val="13"/>
                  </w:rPr>
                  <w:t> af 92</w:t>
                </w:r>
              </w:p>
            </w:txbxContent>
          </v:textbox>
          <w10:wrap type="none"/>
        </v:shape>
      </w:pict>
    </w:r>
    <w:r>
      <w:rPr/>
      <w:pict>
        <v:shape style="position:absolute;margin-left:339.269989pt;margin-top:799.965149pt;width:179.05pt;height:9.9pt;mso-position-horizontal-relative:page;mso-position-vertical-relative:page;z-index:-182488"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99.965149pt;width:45.6pt;height:9.9pt;mso-position-horizontal-relative:page;mso-position-vertical-relative:page;z-index:-182464"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60</w:t>
                </w:r>
                <w:r>
                  <w:rPr/>
                  <w:fldChar w:fldCharType="end"/>
                </w:r>
                <w:r>
                  <w:rPr>
                    <w:sz w:val="13"/>
                  </w:rPr>
                  <w:t> af 92</w:t>
                </w:r>
              </w:p>
            </w:txbxContent>
          </v:textbox>
          <w10:wrap type="none"/>
        </v:shape>
      </w:pict>
    </w:r>
    <w:r>
      <w:rPr/>
      <w:pict>
        <v:shape style="position:absolute;margin-left:339.269989pt;margin-top:799.965149pt;width:179.05pt;height:9.9pt;mso-position-horizontal-relative:page;mso-position-vertical-relative:page;z-index:-182440"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3999pt;margin-top:799.965149pt;width:45.6pt;height:9.9pt;mso-position-horizontal-relative:page;mso-position-vertical-relative:page;z-index:-182416"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63</w:t>
                </w:r>
                <w:r>
                  <w:rPr/>
                  <w:fldChar w:fldCharType="end"/>
                </w:r>
                <w:r>
                  <w:rPr>
                    <w:sz w:val="13"/>
                  </w:rPr>
                  <w:t> af 92</w:t>
                </w:r>
              </w:p>
            </w:txbxContent>
          </v:textbox>
          <w10:wrap type="none"/>
        </v:shape>
      </w:pict>
    </w:r>
    <w:r>
      <w:rPr/>
      <w:pict>
        <v:shape style="position:absolute;margin-left:339.269989pt;margin-top:799.965149pt;width:179.05pt;height:9.9pt;mso-position-horizontal-relative:page;mso-position-vertical-relative:page;z-index:-182392"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2.903999pt;margin-top:799.965149pt;width:45.6pt;height:9.9pt;mso-position-horizontal-relative:page;mso-position-vertical-relative:page;z-index:-182368" type="#_x0000_t202" filled="false" stroked="false">
          <v:textbox inset="0,0,0,0">
            <w:txbxContent>
              <w:p>
                <w:pPr>
                  <w:spacing w:before="19"/>
                  <w:ind w:left="20" w:right="0" w:firstLine="0"/>
                  <w:jc w:val="left"/>
                  <w:rPr>
                    <w:sz w:val="13"/>
                  </w:rPr>
                </w:pPr>
                <w:r>
                  <w:rPr>
                    <w:sz w:val="13"/>
                  </w:rPr>
                  <w:t>Side </w:t>
                </w:r>
                <w:r>
                  <w:rPr/>
                  <w:fldChar w:fldCharType="begin"/>
                </w:r>
                <w:r>
                  <w:rPr>
                    <w:sz w:val="13"/>
                  </w:rPr>
                  <w:instrText> PAGE </w:instrText>
                </w:r>
                <w:r>
                  <w:rPr/>
                  <w:fldChar w:fldCharType="separate"/>
                </w:r>
                <w:r>
                  <w:rPr/>
                  <w:t>83</w:t>
                </w:r>
                <w:r>
                  <w:rPr/>
                  <w:fldChar w:fldCharType="end"/>
                </w:r>
                <w:r>
                  <w:rPr>
                    <w:sz w:val="13"/>
                  </w:rPr>
                  <w:t> af 92</w:t>
                </w:r>
              </w:p>
            </w:txbxContent>
          </v:textbox>
          <w10:wrap type="none"/>
        </v:shape>
      </w:pict>
    </w:r>
    <w:r>
      <w:rPr/>
      <w:pict>
        <v:shape style="position:absolute;margin-left:339.269989pt;margin-top:799.965149pt;width:179.05pt;height:9.9pt;mso-position-horizontal-relative:page;mso-position-vertical-relative:page;z-index:-182344" type="#_x0000_t202" filled="false" stroked="false">
          <v:textbox inset="0,0,0,0">
            <w:txbxContent>
              <w:p>
                <w:pPr>
                  <w:spacing w:before="19"/>
                  <w:ind w:left="20" w:right="0" w:firstLine="0"/>
                  <w:jc w:val="left"/>
                  <w:rPr>
                    <w:sz w:val="13"/>
                  </w:rPr>
                </w:pPr>
                <w:r>
                  <w:rPr>
                    <w:sz w:val="13"/>
                  </w:rPr>
                  <w:t>Rambøll Management Consulting &amp; London Economics</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1462" w:hanging="360"/>
      </w:pPr>
      <w:rPr>
        <w:rFonts w:hint="default" w:ascii="Symbol" w:hAnsi="Symbol" w:eastAsia="Symbol" w:cs="Symbol"/>
        <w:w w:val="100"/>
        <w:sz w:val="18"/>
        <w:szCs w:val="18"/>
        <w:lang w:val="en-us" w:eastAsia="en-us" w:bidi="en-us"/>
      </w:rPr>
    </w:lvl>
    <w:lvl w:ilvl="1">
      <w:start w:val="0"/>
      <w:numFmt w:val="bullet"/>
      <w:lvlText w:val="•"/>
      <w:lvlJc w:val="left"/>
      <w:pPr>
        <w:ind w:left="2408" w:hanging="360"/>
      </w:pPr>
      <w:rPr>
        <w:rFonts w:hint="default"/>
        <w:lang w:val="en-us" w:eastAsia="en-us" w:bidi="en-us"/>
      </w:rPr>
    </w:lvl>
    <w:lvl w:ilvl="2">
      <w:start w:val="0"/>
      <w:numFmt w:val="bullet"/>
      <w:lvlText w:val="•"/>
      <w:lvlJc w:val="left"/>
      <w:pPr>
        <w:ind w:left="3357" w:hanging="360"/>
      </w:pPr>
      <w:rPr>
        <w:rFonts w:hint="default"/>
        <w:lang w:val="en-us" w:eastAsia="en-us" w:bidi="en-us"/>
      </w:rPr>
    </w:lvl>
    <w:lvl w:ilvl="3">
      <w:start w:val="0"/>
      <w:numFmt w:val="bullet"/>
      <w:lvlText w:val="•"/>
      <w:lvlJc w:val="left"/>
      <w:pPr>
        <w:ind w:left="4305" w:hanging="360"/>
      </w:pPr>
      <w:rPr>
        <w:rFonts w:hint="default"/>
        <w:lang w:val="en-us" w:eastAsia="en-us" w:bidi="en-us"/>
      </w:rPr>
    </w:lvl>
    <w:lvl w:ilvl="4">
      <w:start w:val="0"/>
      <w:numFmt w:val="bullet"/>
      <w:lvlText w:val="•"/>
      <w:lvlJc w:val="left"/>
      <w:pPr>
        <w:ind w:left="5254" w:hanging="360"/>
      </w:pPr>
      <w:rPr>
        <w:rFonts w:hint="default"/>
        <w:lang w:val="en-us" w:eastAsia="en-us" w:bidi="en-us"/>
      </w:rPr>
    </w:lvl>
    <w:lvl w:ilvl="5">
      <w:start w:val="0"/>
      <w:numFmt w:val="bullet"/>
      <w:lvlText w:val="•"/>
      <w:lvlJc w:val="left"/>
      <w:pPr>
        <w:ind w:left="6203" w:hanging="360"/>
      </w:pPr>
      <w:rPr>
        <w:rFonts w:hint="default"/>
        <w:lang w:val="en-us" w:eastAsia="en-us" w:bidi="en-us"/>
      </w:rPr>
    </w:lvl>
    <w:lvl w:ilvl="6">
      <w:start w:val="0"/>
      <w:numFmt w:val="bullet"/>
      <w:lvlText w:val="•"/>
      <w:lvlJc w:val="left"/>
      <w:pPr>
        <w:ind w:left="7151" w:hanging="360"/>
      </w:pPr>
      <w:rPr>
        <w:rFonts w:hint="default"/>
        <w:lang w:val="en-us" w:eastAsia="en-us" w:bidi="en-us"/>
      </w:rPr>
    </w:lvl>
    <w:lvl w:ilvl="7">
      <w:start w:val="0"/>
      <w:numFmt w:val="bullet"/>
      <w:lvlText w:val="•"/>
      <w:lvlJc w:val="left"/>
      <w:pPr>
        <w:ind w:left="8100" w:hanging="360"/>
      </w:pPr>
      <w:rPr>
        <w:rFonts w:hint="default"/>
        <w:lang w:val="en-us" w:eastAsia="en-us" w:bidi="en-us"/>
      </w:rPr>
    </w:lvl>
    <w:lvl w:ilvl="8">
      <w:start w:val="0"/>
      <w:numFmt w:val="bullet"/>
      <w:lvlText w:val="•"/>
      <w:lvlJc w:val="left"/>
      <w:pPr>
        <w:ind w:left="9049" w:hanging="360"/>
      </w:pPr>
      <w:rPr>
        <w:rFonts w:hint="default"/>
        <w:lang w:val="en-us" w:eastAsia="en-us" w:bidi="en-us"/>
      </w:rPr>
    </w:lvl>
  </w:abstractNum>
  <w:abstractNum w:abstractNumId="24">
    <w:multiLevelType w:val="hybridMultilevel"/>
    <w:lvl w:ilvl="0">
      <w:start w:val="1"/>
      <w:numFmt w:val="decimal"/>
      <w:lvlText w:val="%1"/>
      <w:lvlJc w:val="left"/>
      <w:pPr>
        <w:ind w:left="742" w:hanging="624"/>
        <w:jc w:val="left"/>
      </w:pPr>
      <w:rPr>
        <w:rFonts w:hint="default"/>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1.%2.%3"/>
      <w:lvlJc w:val="left"/>
      <w:pPr>
        <w:ind w:left="742" w:hanging="624"/>
        <w:jc w:val="left"/>
      </w:pPr>
      <w:rPr>
        <w:rFonts w:hint="default" w:ascii="Verdana" w:hAnsi="Verdana" w:eastAsia="Verdana" w:cs="Verdana"/>
        <w:b/>
        <w:bCs/>
        <w:spacing w:val="-2"/>
        <w:w w:val="100"/>
        <w:sz w:val="17"/>
        <w:szCs w:val="17"/>
        <w:lang w:val="en-us" w:eastAsia="en-us" w:bidi="en-us"/>
      </w:rPr>
    </w:lvl>
    <w:lvl w:ilvl="3">
      <w:start w:val="0"/>
      <w:numFmt w:val="bullet"/>
      <w:lvlText w:val=""/>
      <w:lvlJc w:val="left"/>
      <w:pPr>
        <w:ind w:left="1462" w:hanging="360"/>
      </w:pPr>
      <w:rPr>
        <w:rFonts w:hint="default" w:ascii="Symbol" w:hAnsi="Symbol" w:eastAsia="Symbol" w:cs="Symbol"/>
        <w:w w:val="100"/>
        <w:sz w:val="18"/>
        <w:szCs w:val="18"/>
        <w:lang w:val="en-us" w:eastAsia="en-us" w:bidi="en-us"/>
      </w:rPr>
    </w:lvl>
    <w:lvl w:ilvl="4">
      <w:start w:val="0"/>
      <w:numFmt w:val="bullet"/>
      <w:lvlText w:val="•"/>
      <w:lvlJc w:val="left"/>
      <w:pPr>
        <w:ind w:left="4371" w:hanging="360"/>
      </w:pPr>
      <w:rPr>
        <w:rFonts w:hint="default"/>
        <w:lang w:val="en-us" w:eastAsia="en-us" w:bidi="en-us"/>
      </w:rPr>
    </w:lvl>
    <w:lvl w:ilvl="5">
      <w:start w:val="0"/>
      <w:numFmt w:val="bullet"/>
      <w:lvlText w:val="•"/>
      <w:lvlJc w:val="left"/>
      <w:pPr>
        <w:ind w:left="5467" w:hanging="360"/>
      </w:pPr>
      <w:rPr>
        <w:rFonts w:hint="default"/>
        <w:lang w:val="en-us" w:eastAsia="en-us" w:bidi="en-us"/>
      </w:rPr>
    </w:lvl>
    <w:lvl w:ilvl="6">
      <w:start w:val="0"/>
      <w:numFmt w:val="bullet"/>
      <w:lvlText w:val="•"/>
      <w:lvlJc w:val="left"/>
      <w:pPr>
        <w:ind w:left="6563" w:hanging="360"/>
      </w:pPr>
      <w:rPr>
        <w:rFonts w:hint="default"/>
        <w:lang w:val="en-us" w:eastAsia="en-us" w:bidi="en-us"/>
      </w:rPr>
    </w:lvl>
    <w:lvl w:ilvl="7">
      <w:start w:val="0"/>
      <w:numFmt w:val="bullet"/>
      <w:lvlText w:val="•"/>
      <w:lvlJc w:val="left"/>
      <w:pPr>
        <w:ind w:left="7659" w:hanging="360"/>
      </w:pPr>
      <w:rPr>
        <w:rFonts w:hint="default"/>
        <w:lang w:val="en-us" w:eastAsia="en-us" w:bidi="en-us"/>
      </w:rPr>
    </w:lvl>
    <w:lvl w:ilvl="8">
      <w:start w:val="0"/>
      <w:numFmt w:val="bullet"/>
      <w:lvlText w:val="•"/>
      <w:lvlJc w:val="left"/>
      <w:pPr>
        <w:ind w:left="8754" w:hanging="360"/>
      </w:pPr>
      <w:rPr>
        <w:rFonts w:hint="default"/>
        <w:lang w:val="en-us" w:eastAsia="en-us" w:bidi="en-us"/>
      </w:rPr>
    </w:lvl>
  </w:abstractNum>
  <w:abstractNum w:abstractNumId="23">
    <w:multiLevelType w:val="hybridMultilevel"/>
    <w:lvl w:ilvl="0">
      <w:start w:val="0"/>
      <w:numFmt w:val="bullet"/>
      <w:lvlText w:val=""/>
      <w:lvlJc w:val="left"/>
      <w:pPr>
        <w:ind w:left="1082" w:hanging="341"/>
      </w:pPr>
      <w:rPr>
        <w:rFonts w:hint="default" w:ascii="Symbol" w:hAnsi="Symbol" w:eastAsia="Symbol" w:cs="Symbol"/>
        <w:w w:val="100"/>
        <w:sz w:val="18"/>
        <w:szCs w:val="18"/>
        <w:lang w:val="en-us" w:eastAsia="en-us" w:bidi="en-us"/>
      </w:rPr>
    </w:lvl>
    <w:lvl w:ilvl="1">
      <w:start w:val="0"/>
      <w:numFmt w:val="bullet"/>
      <w:lvlText w:val="•"/>
      <w:lvlJc w:val="left"/>
      <w:pPr>
        <w:ind w:left="2066" w:hanging="341"/>
      </w:pPr>
      <w:rPr>
        <w:rFonts w:hint="default"/>
        <w:lang w:val="en-us" w:eastAsia="en-us" w:bidi="en-us"/>
      </w:rPr>
    </w:lvl>
    <w:lvl w:ilvl="2">
      <w:start w:val="0"/>
      <w:numFmt w:val="bullet"/>
      <w:lvlText w:val="•"/>
      <w:lvlJc w:val="left"/>
      <w:pPr>
        <w:ind w:left="3053" w:hanging="341"/>
      </w:pPr>
      <w:rPr>
        <w:rFonts w:hint="default"/>
        <w:lang w:val="en-us" w:eastAsia="en-us" w:bidi="en-us"/>
      </w:rPr>
    </w:lvl>
    <w:lvl w:ilvl="3">
      <w:start w:val="0"/>
      <w:numFmt w:val="bullet"/>
      <w:lvlText w:val="•"/>
      <w:lvlJc w:val="left"/>
      <w:pPr>
        <w:ind w:left="4039" w:hanging="341"/>
      </w:pPr>
      <w:rPr>
        <w:rFonts w:hint="default"/>
        <w:lang w:val="en-us" w:eastAsia="en-us" w:bidi="en-us"/>
      </w:rPr>
    </w:lvl>
    <w:lvl w:ilvl="4">
      <w:start w:val="0"/>
      <w:numFmt w:val="bullet"/>
      <w:lvlText w:val="•"/>
      <w:lvlJc w:val="left"/>
      <w:pPr>
        <w:ind w:left="5026" w:hanging="341"/>
      </w:pPr>
      <w:rPr>
        <w:rFonts w:hint="default"/>
        <w:lang w:val="en-us" w:eastAsia="en-us" w:bidi="en-us"/>
      </w:rPr>
    </w:lvl>
    <w:lvl w:ilvl="5">
      <w:start w:val="0"/>
      <w:numFmt w:val="bullet"/>
      <w:lvlText w:val="•"/>
      <w:lvlJc w:val="left"/>
      <w:pPr>
        <w:ind w:left="6013" w:hanging="341"/>
      </w:pPr>
      <w:rPr>
        <w:rFonts w:hint="default"/>
        <w:lang w:val="en-us" w:eastAsia="en-us" w:bidi="en-us"/>
      </w:rPr>
    </w:lvl>
    <w:lvl w:ilvl="6">
      <w:start w:val="0"/>
      <w:numFmt w:val="bullet"/>
      <w:lvlText w:val="•"/>
      <w:lvlJc w:val="left"/>
      <w:pPr>
        <w:ind w:left="6999" w:hanging="341"/>
      </w:pPr>
      <w:rPr>
        <w:rFonts w:hint="default"/>
        <w:lang w:val="en-us" w:eastAsia="en-us" w:bidi="en-us"/>
      </w:rPr>
    </w:lvl>
    <w:lvl w:ilvl="7">
      <w:start w:val="0"/>
      <w:numFmt w:val="bullet"/>
      <w:lvlText w:val="•"/>
      <w:lvlJc w:val="left"/>
      <w:pPr>
        <w:ind w:left="7986" w:hanging="341"/>
      </w:pPr>
      <w:rPr>
        <w:rFonts w:hint="default"/>
        <w:lang w:val="en-us" w:eastAsia="en-us" w:bidi="en-us"/>
      </w:rPr>
    </w:lvl>
    <w:lvl w:ilvl="8">
      <w:start w:val="0"/>
      <w:numFmt w:val="bullet"/>
      <w:lvlText w:val="•"/>
      <w:lvlJc w:val="left"/>
      <w:pPr>
        <w:ind w:left="8973" w:hanging="341"/>
      </w:pPr>
      <w:rPr>
        <w:rFonts w:hint="default"/>
        <w:lang w:val="en-us" w:eastAsia="en-us" w:bidi="en-us"/>
      </w:rPr>
    </w:lvl>
  </w:abstractNum>
  <w:abstractNum w:abstractNumId="22">
    <w:multiLevelType w:val="hybridMultilevel"/>
    <w:lvl w:ilvl="0">
      <w:start w:val="1"/>
      <w:numFmt w:val="decimal"/>
      <w:lvlText w:val="%1."/>
      <w:lvlJc w:val="left"/>
      <w:pPr>
        <w:ind w:left="1102" w:hanging="360"/>
        <w:jc w:val="left"/>
      </w:pPr>
      <w:rPr>
        <w:rFonts w:hint="default" w:ascii="Verdana" w:hAnsi="Verdana" w:eastAsia="Verdana" w:cs="Verdana"/>
        <w:spacing w:val="-11"/>
        <w:w w:val="100"/>
        <w:sz w:val="18"/>
        <w:szCs w:val="18"/>
        <w:lang w:val="en-us" w:eastAsia="en-us" w:bidi="en-us"/>
      </w:rPr>
    </w:lvl>
    <w:lvl w:ilvl="1">
      <w:start w:val="0"/>
      <w:numFmt w:val="bullet"/>
      <w:lvlText w:val="•"/>
      <w:lvlJc w:val="left"/>
      <w:pPr>
        <w:ind w:left="2084" w:hanging="360"/>
      </w:pPr>
      <w:rPr>
        <w:rFonts w:hint="default"/>
        <w:lang w:val="en-us" w:eastAsia="en-us" w:bidi="en-us"/>
      </w:rPr>
    </w:lvl>
    <w:lvl w:ilvl="2">
      <w:start w:val="0"/>
      <w:numFmt w:val="bullet"/>
      <w:lvlText w:val="•"/>
      <w:lvlJc w:val="left"/>
      <w:pPr>
        <w:ind w:left="3069" w:hanging="360"/>
      </w:pPr>
      <w:rPr>
        <w:rFonts w:hint="default"/>
        <w:lang w:val="en-us" w:eastAsia="en-us" w:bidi="en-us"/>
      </w:rPr>
    </w:lvl>
    <w:lvl w:ilvl="3">
      <w:start w:val="0"/>
      <w:numFmt w:val="bullet"/>
      <w:lvlText w:val="•"/>
      <w:lvlJc w:val="left"/>
      <w:pPr>
        <w:ind w:left="4053" w:hanging="360"/>
      </w:pPr>
      <w:rPr>
        <w:rFonts w:hint="default"/>
        <w:lang w:val="en-us" w:eastAsia="en-us" w:bidi="en-us"/>
      </w:rPr>
    </w:lvl>
    <w:lvl w:ilvl="4">
      <w:start w:val="0"/>
      <w:numFmt w:val="bullet"/>
      <w:lvlText w:val="•"/>
      <w:lvlJc w:val="left"/>
      <w:pPr>
        <w:ind w:left="5038" w:hanging="360"/>
      </w:pPr>
      <w:rPr>
        <w:rFonts w:hint="default"/>
        <w:lang w:val="en-us" w:eastAsia="en-us" w:bidi="en-us"/>
      </w:rPr>
    </w:lvl>
    <w:lvl w:ilvl="5">
      <w:start w:val="0"/>
      <w:numFmt w:val="bullet"/>
      <w:lvlText w:val="•"/>
      <w:lvlJc w:val="left"/>
      <w:pPr>
        <w:ind w:left="6023" w:hanging="360"/>
      </w:pPr>
      <w:rPr>
        <w:rFonts w:hint="default"/>
        <w:lang w:val="en-us" w:eastAsia="en-us" w:bidi="en-us"/>
      </w:rPr>
    </w:lvl>
    <w:lvl w:ilvl="6">
      <w:start w:val="0"/>
      <w:numFmt w:val="bullet"/>
      <w:lvlText w:val="•"/>
      <w:lvlJc w:val="left"/>
      <w:pPr>
        <w:ind w:left="7007" w:hanging="360"/>
      </w:pPr>
      <w:rPr>
        <w:rFonts w:hint="default"/>
        <w:lang w:val="en-us" w:eastAsia="en-us" w:bidi="en-us"/>
      </w:rPr>
    </w:lvl>
    <w:lvl w:ilvl="7">
      <w:start w:val="0"/>
      <w:numFmt w:val="bullet"/>
      <w:lvlText w:val="•"/>
      <w:lvlJc w:val="left"/>
      <w:pPr>
        <w:ind w:left="7992" w:hanging="360"/>
      </w:pPr>
      <w:rPr>
        <w:rFonts w:hint="default"/>
        <w:lang w:val="en-us" w:eastAsia="en-us" w:bidi="en-us"/>
      </w:rPr>
    </w:lvl>
    <w:lvl w:ilvl="8">
      <w:start w:val="0"/>
      <w:numFmt w:val="bullet"/>
      <w:lvlText w:val="•"/>
      <w:lvlJc w:val="left"/>
      <w:pPr>
        <w:ind w:left="8977" w:hanging="360"/>
      </w:pPr>
      <w:rPr>
        <w:rFonts w:hint="default"/>
        <w:lang w:val="en-us" w:eastAsia="en-us" w:bidi="en-us"/>
      </w:rPr>
    </w:lvl>
  </w:abstractNum>
  <w:abstractNum w:abstractNumId="20">
    <w:multiLevelType w:val="hybridMultilevel"/>
    <w:lvl w:ilvl="0">
      <w:start w:val="0"/>
      <w:numFmt w:val="bullet"/>
      <w:lvlText w:val=""/>
      <w:lvlJc w:val="left"/>
      <w:pPr>
        <w:ind w:left="249" w:hanging="142"/>
      </w:pPr>
      <w:rPr>
        <w:rFonts w:hint="default" w:ascii="Symbol" w:hAnsi="Symbol" w:eastAsia="Symbol" w:cs="Symbol"/>
        <w:w w:val="100"/>
        <w:sz w:val="16"/>
        <w:szCs w:val="16"/>
        <w:lang w:val="en-us" w:eastAsia="en-us" w:bidi="en-us"/>
      </w:rPr>
    </w:lvl>
    <w:lvl w:ilvl="1">
      <w:start w:val="0"/>
      <w:numFmt w:val="bullet"/>
      <w:lvlText w:val="•"/>
      <w:lvlJc w:val="left"/>
      <w:pPr>
        <w:ind w:left="647" w:hanging="142"/>
      </w:pPr>
      <w:rPr>
        <w:rFonts w:hint="default"/>
        <w:lang w:val="en-us" w:eastAsia="en-us" w:bidi="en-us"/>
      </w:rPr>
    </w:lvl>
    <w:lvl w:ilvl="2">
      <w:start w:val="0"/>
      <w:numFmt w:val="bullet"/>
      <w:lvlText w:val="•"/>
      <w:lvlJc w:val="left"/>
      <w:pPr>
        <w:ind w:left="1054" w:hanging="142"/>
      </w:pPr>
      <w:rPr>
        <w:rFonts w:hint="default"/>
        <w:lang w:val="en-us" w:eastAsia="en-us" w:bidi="en-us"/>
      </w:rPr>
    </w:lvl>
    <w:lvl w:ilvl="3">
      <w:start w:val="0"/>
      <w:numFmt w:val="bullet"/>
      <w:lvlText w:val="•"/>
      <w:lvlJc w:val="left"/>
      <w:pPr>
        <w:ind w:left="1461" w:hanging="142"/>
      </w:pPr>
      <w:rPr>
        <w:rFonts w:hint="default"/>
        <w:lang w:val="en-us" w:eastAsia="en-us" w:bidi="en-us"/>
      </w:rPr>
    </w:lvl>
    <w:lvl w:ilvl="4">
      <w:start w:val="0"/>
      <w:numFmt w:val="bullet"/>
      <w:lvlText w:val="•"/>
      <w:lvlJc w:val="left"/>
      <w:pPr>
        <w:ind w:left="1869" w:hanging="142"/>
      </w:pPr>
      <w:rPr>
        <w:rFonts w:hint="default"/>
        <w:lang w:val="en-us" w:eastAsia="en-us" w:bidi="en-us"/>
      </w:rPr>
    </w:lvl>
    <w:lvl w:ilvl="5">
      <w:start w:val="0"/>
      <w:numFmt w:val="bullet"/>
      <w:lvlText w:val="•"/>
      <w:lvlJc w:val="left"/>
      <w:pPr>
        <w:ind w:left="2276" w:hanging="142"/>
      </w:pPr>
      <w:rPr>
        <w:rFonts w:hint="default"/>
        <w:lang w:val="en-us" w:eastAsia="en-us" w:bidi="en-us"/>
      </w:rPr>
    </w:lvl>
    <w:lvl w:ilvl="6">
      <w:start w:val="0"/>
      <w:numFmt w:val="bullet"/>
      <w:lvlText w:val="•"/>
      <w:lvlJc w:val="left"/>
      <w:pPr>
        <w:ind w:left="2683" w:hanging="142"/>
      </w:pPr>
      <w:rPr>
        <w:rFonts w:hint="default"/>
        <w:lang w:val="en-us" w:eastAsia="en-us" w:bidi="en-us"/>
      </w:rPr>
    </w:lvl>
    <w:lvl w:ilvl="7">
      <w:start w:val="0"/>
      <w:numFmt w:val="bullet"/>
      <w:lvlText w:val="•"/>
      <w:lvlJc w:val="left"/>
      <w:pPr>
        <w:ind w:left="3091" w:hanging="142"/>
      </w:pPr>
      <w:rPr>
        <w:rFonts w:hint="default"/>
        <w:lang w:val="en-us" w:eastAsia="en-us" w:bidi="en-us"/>
      </w:rPr>
    </w:lvl>
    <w:lvl w:ilvl="8">
      <w:start w:val="0"/>
      <w:numFmt w:val="bullet"/>
      <w:lvlText w:val="•"/>
      <w:lvlJc w:val="left"/>
      <w:pPr>
        <w:ind w:left="3498" w:hanging="142"/>
      </w:pPr>
      <w:rPr>
        <w:rFonts w:hint="default"/>
        <w:lang w:val="en-us" w:eastAsia="en-us" w:bidi="en-us"/>
      </w:rPr>
    </w:lvl>
  </w:abstractNum>
  <w:abstractNum w:abstractNumId="19">
    <w:multiLevelType w:val="hybridMultilevel"/>
    <w:lvl w:ilvl="0">
      <w:start w:val="0"/>
      <w:numFmt w:val="bullet"/>
      <w:lvlText w:val=""/>
      <w:lvlJc w:val="left"/>
      <w:pPr>
        <w:ind w:left="249" w:hanging="142"/>
      </w:pPr>
      <w:rPr>
        <w:rFonts w:hint="default" w:ascii="Symbol" w:hAnsi="Symbol" w:eastAsia="Symbol" w:cs="Symbol"/>
        <w:w w:val="100"/>
        <w:sz w:val="16"/>
        <w:szCs w:val="16"/>
        <w:lang w:val="en-us" w:eastAsia="en-us" w:bidi="en-us"/>
      </w:rPr>
    </w:lvl>
    <w:lvl w:ilvl="1">
      <w:start w:val="0"/>
      <w:numFmt w:val="bullet"/>
      <w:lvlText w:val="•"/>
      <w:lvlJc w:val="left"/>
      <w:pPr>
        <w:ind w:left="683" w:hanging="142"/>
      </w:pPr>
      <w:rPr>
        <w:rFonts w:hint="default"/>
        <w:lang w:val="en-us" w:eastAsia="en-us" w:bidi="en-us"/>
      </w:rPr>
    </w:lvl>
    <w:lvl w:ilvl="2">
      <w:start w:val="0"/>
      <w:numFmt w:val="bullet"/>
      <w:lvlText w:val="•"/>
      <w:lvlJc w:val="left"/>
      <w:pPr>
        <w:ind w:left="1126" w:hanging="142"/>
      </w:pPr>
      <w:rPr>
        <w:rFonts w:hint="default"/>
        <w:lang w:val="en-us" w:eastAsia="en-us" w:bidi="en-us"/>
      </w:rPr>
    </w:lvl>
    <w:lvl w:ilvl="3">
      <w:start w:val="0"/>
      <w:numFmt w:val="bullet"/>
      <w:lvlText w:val="•"/>
      <w:lvlJc w:val="left"/>
      <w:pPr>
        <w:ind w:left="1569" w:hanging="142"/>
      </w:pPr>
      <w:rPr>
        <w:rFonts w:hint="default"/>
        <w:lang w:val="en-us" w:eastAsia="en-us" w:bidi="en-us"/>
      </w:rPr>
    </w:lvl>
    <w:lvl w:ilvl="4">
      <w:start w:val="0"/>
      <w:numFmt w:val="bullet"/>
      <w:lvlText w:val="•"/>
      <w:lvlJc w:val="left"/>
      <w:pPr>
        <w:ind w:left="2012" w:hanging="142"/>
      </w:pPr>
      <w:rPr>
        <w:rFonts w:hint="default"/>
        <w:lang w:val="en-us" w:eastAsia="en-us" w:bidi="en-us"/>
      </w:rPr>
    </w:lvl>
    <w:lvl w:ilvl="5">
      <w:start w:val="0"/>
      <w:numFmt w:val="bullet"/>
      <w:lvlText w:val="•"/>
      <w:lvlJc w:val="left"/>
      <w:pPr>
        <w:ind w:left="2455" w:hanging="142"/>
      </w:pPr>
      <w:rPr>
        <w:rFonts w:hint="default"/>
        <w:lang w:val="en-us" w:eastAsia="en-us" w:bidi="en-us"/>
      </w:rPr>
    </w:lvl>
    <w:lvl w:ilvl="6">
      <w:start w:val="0"/>
      <w:numFmt w:val="bullet"/>
      <w:lvlText w:val="•"/>
      <w:lvlJc w:val="left"/>
      <w:pPr>
        <w:ind w:left="2898" w:hanging="142"/>
      </w:pPr>
      <w:rPr>
        <w:rFonts w:hint="default"/>
        <w:lang w:val="en-us" w:eastAsia="en-us" w:bidi="en-us"/>
      </w:rPr>
    </w:lvl>
    <w:lvl w:ilvl="7">
      <w:start w:val="0"/>
      <w:numFmt w:val="bullet"/>
      <w:lvlText w:val="•"/>
      <w:lvlJc w:val="left"/>
      <w:pPr>
        <w:ind w:left="3341" w:hanging="142"/>
      </w:pPr>
      <w:rPr>
        <w:rFonts w:hint="default"/>
        <w:lang w:val="en-us" w:eastAsia="en-us" w:bidi="en-us"/>
      </w:rPr>
    </w:lvl>
    <w:lvl w:ilvl="8">
      <w:start w:val="0"/>
      <w:numFmt w:val="bullet"/>
      <w:lvlText w:val="•"/>
      <w:lvlJc w:val="left"/>
      <w:pPr>
        <w:ind w:left="3784" w:hanging="142"/>
      </w:pPr>
      <w:rPr>
        <w:rFonts w:hint="default"/>
        <w:lang w:val="en-us" w:eastAsia="en-us" w:bidi="en-us"/>
      </w:rPr>
    </w:lvl>
  </w:abstractNum>
  <w:abstractNum w:abstractNumId="18">
    <w:multiLevelType w:val="hybridMultilevel"/>
    <w:lvl w:ilvl="0">
      <w:start w:val="0"/>
      <w:numFmt w:val="bullet"/>
      <w:lvlText w:val=""/>
      <w:lvlJc w:val="left"/>
      <w:pPr>
        <w:ind w:left="448" w:hanging="341"/>
      </w:pPr>
      <w:rPr>
        <w:rFonts w:hint="default" w:ascii="Symbol" w:hAnsi="Symbol" w:eastAsia="Symbol" w:cs="Symbol"/>
        <w:w w:val="100"/>
        <w:sz w:val="16"/>
        <w:szCs w:val="16"/>
        <w:lang w:val="en-us" w:eastAsia="en-us" w:bidi="en-us"/>
      </w:rPr>
    </w:lvl>
    <w:lvl w:ilvl="1">
      <w:start w:val="0"/>
      <w:numFmt w:val="bullet"/>
      <w:lvlText w:val="•"/>
      <w:lvlJc w:val="left"/>
      <w:pPr>
        <w:ind w:left="863" w:hanging="341"/>
      </w:pPr>
      <w:rPr>
        <w:rFonts w:hint="default"/>
        <w:lang w:val="en-us" w:eastAsia="en-us" w:bidi="en-us"/>
      </w:rPr>
    </w:lvl>
    <w:lvl w:ilvl="2">
      <w:start w:val="0"/>
      <w:numFmt w:val="bullet"/>
      <w:lvlText w:val="•"/>
      <w:lvlJc w:val="left"/>
      <w:pPr>
        <w:ind w:left="1286" w:hanging="341"/>
      </w:pPr>
      <w:rPr>
        <w:rFonts w:hint="default"/>
        <w:lang w:val="en-us" w:eastAsia="en-us" w:bidi="en-us"/>
      </w:rPr>
    </w:lvl>
    <w:lvl w:ilvl="3">
      <w:start w:val="0"/>
      <w:numFmt w:val="bullet"/>
      <w:lvlText w:val="•"/>
      <w:lvlJc w:val="left"/>
      <w:pPr>
        <w:ind w:left="1709" w:hanging="341"/>
      </w:pPr>
      <w:rPr>
        <w:rFonts w:hint="default"/>
        <w:lang w:val="en-us" w:eastAsia="en-us" w:bidi="en-us"/>
      </w:rPr>
    </w:lvl>
    <w:lvl w:ilvl="4">
      <w:start w:val="0"/>
      <w:numFmt w:val="bullet"/>
      <w:lvlText w:val="•"/>
      <w:lvlJc w:val="left"/>
      <w:pPr>
        <w:ind w:left="2132" w:hanging="341"/>
      </w:pPr>
      <w:rPr>
        <w:rFonts w:hint="default"/>
        <w:lang w:val="en-us" w:eastAsia="en-us" w:bidi="en-us"/>
      </w:rPr>
    </w:lvl>
    <w:lvl w:ilvl="5">
      <w:start w:val="0"/>
      <w:numFmt w:val="bullet"/>
      <w:lvlText w:val="•"/>
      <w:lvlJc w:val="left"/>
      <w:pPr>
        <w:ind w:left="2555" w:hanging="341"/>
      </w:pPr>
      <w:rPr>
        <w:rFonts w:hint="default"/>
        <w:lang w:val="en-us" w:eastAsia="en-us" w:bidi="en-us"/>
      </w:rPr>
    </w:lvl>
    <w:lvl w:ilvl="6">
      <w:start w:val="0"/>
      <w:numFmt w:val="bullet"/>
      <w:lvlText w:val="•"/>
      <w:lvlJc w:val="left"/>
      <w:pPr>
        <w:ind w:left="2978" w:hanging="341"/>
      </w:pPr>
      <w:rPr>
        <w:rFonts w:hint="default"/>
        <w:lang w:val="en-us" w:eastAsia="en-us" w:bidi="en-us"/>
      </w:rPr>
    </w:lvl>
    <w:lvl w:ilvl="7">
      <w:start w:val="0"/>
      <w:numFmt w:val="bullet"/>
      <w:lvlText w:val="•"/>
      <w:lvlJc w:val="left"/>
      <w:pPr>
        <w:ind w:left="3401" w:hanging="341"/>
      </w:pPr>
      <w:rPr>
        <w:rFonts w:hint="default"/>
        <w:lang w:val="en-us" w:eastAsia="en-us" w:bidi="en-us"/>
      </w:rPr>
    </w:lvl>
    <w:lvl w:ilvl="8">
      <w:start w:val="0"/>
      <w:numFmt w:val="bullet"/>
      <w:lvlText w:val="•"/>
      <w:lvlJc w:val="left"/>
      <w:pPr>
        <w:ind w:left="3824" w:hanging="341"/>
      </w:pPr>
      <w:rPr>
        <w:rFonts w:hint="default"/>
        <w:lang w:val="en-us" w:eastAsia="en-us" w:bidi="en-us"/>
      </w:rPr>
    </w:lvl>
  </w:abstractNum>
  <w:abstractNum w:abstractNumId="17">
    <w:multiLevelType w:val="hybridMultilevel"/>
    <w:lvl w:ilvl="0">
      <w:start w:val="0"/>
      <w:numFmt w:val="bullet"/>
      <w:lvlText w:val=""/>
      <w:lvlJc w:val="left"/>
      <w:pPr>
        <w:ind w:left="249" w:hanging="142"/>
      </w:pPr>
      <w:rPr>
        <w:rFonts w:hint="default" w:ascii="Symbol" w:hAnsi="Symbol" w:eastAsia="Symbol" w:cs="Symbol"/>
        <w:w w:val="100"/>
        <w:sz w:val="16"/>
        <w:szCs w:val="16"/>
        <w:lang w:val="en-us" w:eastAsia="en-us" w:bidi="en-us"/>
      </w:rPr>
    </w:lvl>
    <w:lvl w:ilvl="1">
      <w:start w:val="0"/>
      <w:numFmt w:val="bullet"/>
      <w:lvlText w:val="•"/>
      <w:lvlJc w:val="left"/>
      <w:pPr>
        <w:ind w:left="683" w:hanging="142"/>
      </w:pPr>
      <w:rPr>
        <w:rFonts w:hint="default"/>
        <w:lang w:val="en-us" w:eastAsia="en-us" w:bidi="en-us"/>
      </w:rPr>
    </w:lvl>
    <w:lvl w:ilvl="2">
      <w:start w:val="0"/>
      <w:numFmt w:val="bullet"/>
      <w:lvlText w:val="•"/>
      <w:lvlJc w:val="left"/>
      <w:pPr>
        <w:ind w:left="1126" w:hanging="142"/>
      </w:pPr>
      <w:rPr>
        <w:rFonts w:hint="default"/>
        <w:lang w:val="en-us" w:eastAsia="en-us" w:bidi="en-us"/>
      </w:rPr>
    </w:lvl>
    <w:lvl w:ilvl="3">
      <w:start w:val="0"/>
      <w:numFmt w:val="bullet"/>
      <w:lvlText w:val="•"/>
      <w:lvlJc w:val="left"/>
      <w:pPr>
        <w:ind w:left="1569" w:hanging="142"/>
      </w:pPr>
      <w:rPr>
        <w:rFonts w:hint="default"/>
        <w:lang w:val="en-us" w:eastAsia="en-us" w:bidi="en-us"/>
      </w:rPr>
    </w:lvl>
    <w:lvl w:ilvl="4">
      <w:start w:val="0"/>
      <w:numFmt w:val="bullet"/>
      <w:lvlText w:val="•"/>
      <w:lvlJc w:val="left"/>
      <w:pPr>
        <w:ind w:left="2012" w:hanging="142"/>
      </w:pPr>
      <w:rPr>
        <w:rFonts w:hint="default"/>
        <w:lang w:val="en-us" w:eastAsia="en-us" w:bidi="en-us"/>
      </w:rPr>
    </w:lvl>
    <w:lvl w:ilvl="5">
      <w:start w:val="0"/>
      <w:numFmt w:val="bullet"/>
      <w:lvlText w:val="•"/>
      <w:lvlJc w:val="left"/>
      <w:pPr>
        <w:ind w:left="2455" w:hanging="142"/>
      </w:pPr>
      <w:rPr>
        <w:rFonts w:hint="default"/>
        <w:lang w:val="en-us" w:eastAsia="en-us" w:bidi="en-us"/>
      </w:rPr>
    </w:lvl>
    <w:lvl w:ilvl="6">
      <w:start w:val="0"/>
      <w:numFmt w:val="bullet"/>
      <w:lvlText w:val="•"/>
      <w:lvlJc w:val="left"/>
      <w:pPr>
        <w:ind w:left="2898" w:hanging="142"/>
      </w:pPr>
      <w:rPr>
        <w:rFonts w:hint="default"/>
        <w:lang w:val="en-us" w:eastAsia="en-us" w:bidi="en-us"/>
      </w:rPr>
    </w:lvl>
    <w:lvl w:ilvl="7">
      <w:start w:val="0"/>
      <w:numFmt w:val="bullet"/>
      <w:lvlText w:val="•"/>
      <w:lvlJc w:val="left"/>
      <w:pPr>
        <w:ind w:left="3341" w:hanging="142"/>
      </w:pPr>
      <w:rPr>
        <w:rFonts w:hint="default"/>
        <w:lang w:val="en-us" w:eastAsia="en-us" w:bidi="en-us"/>
      </w:rPr>
    </w:lvl>
    <w:lvl w:ilvl="8">
      <w:start w:val="0"/>
      <w:numFmt w:val="bullet"/>
      <w:lvlText w:val="•"/>
      <w:lvlJc w:val="left"/>
      <w:pPr>
        <w:ind w:left="3784" w:hanging="142"/>
      </w:pPr>
      <w:rPr>
        <w:rFonts w:hint="default"/>
        <w:lang w:val="en-us" w:eastAsia="en-us" w:bidi="en-us"/>
      </w:rPr>
    </w:lvl>
  </w:abstractNum>
  <w:abstractNum w:abstractNumId="16">
    <w:multiLevelType w:val="hybridMultilevel"/>
    <w:lvl w:ilvl="0">
      <w:start w:val="0"/>
      <w:numFmt w:val="bullet"/>
      <w:lvlText w:val=""/>
      <w:lvlJc w:val="left"/>
      <w:pPr>
        <w:ind w:left="249" w:hanging="142"/>
      </w:pPr>
      <w:rPr>
        <w:rFonts w:hint="default" w:ascii="Symbol" w:hAnsi="Symbol" w:eastAsia="Symbol" w:cs="Symbol"/>
        <w:w w:val="100"/>
        <w:sz w:val="16"/>
        <w:szCs w:val="16"/>
        <w:lang w:val="en-us" w:eastAsia="en-us" w:bidi="en-us"/>
      </w:rPr>
    </w:lvl>
    <w:lvl w:ilvl="1">
      <w:start w:val="0"/>
      <w:numFmt w:val="bullet"/>
      <w:lvlText w:val="•"/>
      <w:lvlJc w:val="left"/>
      <w:pPr>
        <w:ind w:left="683" w:hanging="142"/>
      </w:pPr>
      <w:rPr>
        <w:rFonts w:hint="default"/>
        <w:lang w:val="en-us" w:eastAsia="en-us" w:bidi="en-us"/>
      </w:rPr>
    </w:lvl>
    <w:lvl w:ilvl="2">
      <w:start w:val="0"/>
      <w:numFmt w:val="bullet"/>
      <w:lvlText w:val="•"/>
      <w:lvlJc w:val="left"/>
      <w:pPr>
        <w:ind w:left="1126" w:hanging="142"/>
      </w:pPr>
      <w:rPr>
        <w:rFonts w:hint="default"/>
        <w:lang w:val="en-us" w:eastAsia="en-us" w:bidi="en-us"/>
      </w:rPr>
    </w:lvl>
    <w:lvl w:ilvl="3">
      <w:start w:val="0"/>
      <w:numFmt w:val="bullet"/>
      <w:lvlText w:val="•"/>
      <w:lvlJc w:val="left"/>
      <w:pPr>
        <w:ind w:left="1569" w:hanging="142"/>
      </w:pPr>
      <w:rPr>
        <w:rFonts w:hint="default"/>
        <w:lang w:val="en-us" w:eastAsia="en-us" w:bidi="en-us"/>
      </w:rPr>
    </w:lvl>
    <w:lvl w:ilvl="4">
      <w:start w:val="0"/>
      <w:numFmt w:val="bullet"/>
      <w:lvlText w:val="•"/>
      <w:lvlJc w:val="left"/>
      <w:pPr>
        <w:ind w:left="2012" w:hanging="142"/>
      </w:pPr>
      <w:rPr>
        <w:rFonts w:hint="default"/>
        <w:lang w:val="en-us" w:eastAsia="en-us" w:bidi="en-us"/>
      </w:rPr>
    </w:lvl>
    <w:lvl w:ilvl="5">
      <w:start w:val="0"/>
      <w:numFmt w:val="bullet"/>
      <w:lvlText w:val="•"/>
      <w:lvlJc w:val="left"/>
      <w:pPr>
        <w:ind w:left="2455" w:hanging="142"/>
      </w:pPr>
      <w:rPr>
        <w:rFonts w:hint="default"/>
        <w:lang w:val="en-us" w:eastAsia="en-us" w:bidi="en-us"/>
      </w:rPr>
    </w:lvl>
    <w:lvl w:ilvl="6">
      <w:start w:val="0"/>
      <w:numFmt w:val="bullet"/>
      <w:lvlText w:val="•"/>
      <w:lvlJc w:val="left"/>
      <w:pPr>
        <w:ind w:left="2898" w:hanging="142"/>
      </w:pPr>
      <w:rPr>
        <w:rFonts w:hint="default"/>
        <w:lang w:val="en-us" w:eastAsia="en-us" w:bidi="en-us"/>
      </w:rPr>
    </w:lvl>
    <w:lvl w:ilvl="7">
      <w:start w:val="0"/>
      <w:numFmt w:val="bullet"/>
      <w:lvlText w:val="•"/>
      <w:lvlJc w:val="left"/>
      <w:pPr>
        <w:ind w:left="3341" w:hanging="142"/>
      </w:pPr>
      <w:rPr>
        <w:rFonts w:hint="default"/>
        <w:lang w:val="en-us" w:eastAsia="en-us" w:bidi="en-us"/>
      </w:rPr>
    </w:lvl>
    <w:lvl w:ilvl="8">
      <w:start w:val="0"/>
      <w:numFmt w:val="bullet"/>
      <w:lvlText w:val="•"/>
      <w:lvlJc w:val="left"/>
      <w:pPr>
        <w:ind w:left="3784" w:hanging="142"/>
      </w:pPr>
      <w:rPr>
        <w:rFonts w:hint="default"/>
        <w:lang w:val="en-us" w:eastAsia="en-us" w:bidi="en-us"/>
      </w:rPr>
    </w:lvl>
  </w:abstractNum>
  <w:abstractNum w:abstractNumId="15">
    <w:multiLevelType w:val="hybridMultilevel"/>
    <w:lvl w:ilvl="0">
      <w:start w:val="0"/>
      <w:numFmt w:val="bullet"/>
      <w:lvlText w:val=""/>
      <w:lvlJc w:val="left"/>
      <w:pPr>
        <w:ind w:left="1082" w:hanging="341"/>
      </w:pPr>
      <w:rPr>
        <w:rFonts w:hint="default" w:ascii="Symbol" w:hAnsi="Symbol" w:eastAsia="Symbol" w:cs="Symbol"/>
        <w:w w:val="100"/>
        <w:sz w:val="18"/>
        <w:szCs w:val="18"/>
        <w:lang w:val="en-us" w:eastAsia="en-us" w:bidi="en-us"/>
      </w:rPr>
    </w:lvl>
    <w:lvl w:ilvl="1">
      <w:start w:val="0"/>
      <w:numFmt w:val="bullet"/>
      <w:lvlText w:val="•"/>
      <w:lvlJc w:val="left"/>
      <w:pPr>
        <w:ind w:left="2066" w:hanging="341"/>
      </w:pPr>
      <w:rPr>
        <w:rFonts w:hint="default"/>
        <w:lang w:val="en-us" w:eastAsia="en-us" w:bidi="en-us"/>
      </w:rPr>
    </w:lvl>
    <w:lvl w:ilvl="2">
      <w:start w:val="0"/>
      <w:numFmt w:val="bullet"/>
      <w:lvlText w:val="•"/>
      <w:lvlJc w:val="left"/>
      <w:pPr>
        <w:ind w:left="3053" w:hanging="341"/>
      </w:pPr>
      <w:rPr>
        <w:rFonts w:hint="default"/>
        <w:lang w:val="en-us" w:eastAsia="en-us" w:bidi="en-us"/>
      </w:rPr>
    </w:lvl>
    <w:lvl w:ilvl="3">
      <w:start w:val="0"/>
      <w:numFmt w:val="bullet"/>
      <w:lvlText w:val="•"/>
      <w:lvlJc w:val="left"/>
      <w:pPr>
        <w:ind w:left="4039" w:hanging="341"/>
      </w:pPr>
      <w:rPr>
        <w:rFonts w:hint="default"/>
        <w:lang w:val="en-us" w:eastAsia="en-us" w:bidi="en-us"/>
      </w:rPr>
    </w:lvl>
    <w:lvl w:ilvl="4">
      <w:start w:val="0"/>
      <w:numFmt w:val="bullet"/>
      <w:lvlText w:val="•"/>
      <w:lvlJc w:val="left"/>
      <w:pPr>
        <w:ind w:left="5026" w:hanging="341"/>
      </w:pPr>
      <w:rPr>
        <w:rFonts w:hint="default"/>
        <w:lang w:val="en-us" w:eastAsia="en-us" w:bidi="en-us"/>
      </w:rPr>
    </w:lvl>
    <w:lvl w:ilvl="5">
      <w:start w:val="0"/>
      <w:numFmt w:val="bullet"/>
      <w:lvlText w:val="•"/>
      <w:lvlJc w:val="left"/>
      <w:pPr>
        <w:ind w:left="6013" w:hanging="341"/>
      </w:pPr>
      <w:rPr>
        <w:rFonts w:hint="default"/>
        <w:lang w:val="en-us" w:eastAsia="en-us" w:bidi="en-us"/>
      </w:rPr>
    </w:lvl>
    <w:lvl w:ilvl="6">
      <w:start w:val="0"/>
      <w:numFmt w:val="bullet"/>
      <w:lvlText w:val="•"/>
      <w:lvlJc w:val="left"/>
      <w:pPr>
        <w:ind w:left="6999" w:hanging="341"/>
      </w:pPr>
      <w:rPr>
        <w:rFonts w:hint="default"/>
        <w:lang w:val="en-us" w:eastAsia="en-us" w:bidi="en-us"/>
      </w:rPr>
    </w:lvl>
    <w:lvl w:ilvl="7">
      <w:start w:val="0"/>
      <w:numFmt w:val="bullet"/>
      <w:lvlText w:val="•"/>
      <w:lvlJc w:val="left"/>
      <w:pPr>
        <w:ind w:left="7986" w:hanging="341"/>
      </w:pPr>
      <w:rPr>
        <w:rFonts w:hint="default"/>
        <w:lang w:val="en-us" w:eastAsia="en-us" w:bidi="en-us"/>
      </w:rPr>
    </w:lvl>
    <w:lvl w:ilvl="8">
      <w:start w:val="0"/>
      <w:numFmt w:val="bullet"/>
      <w:lvlText w:val="•"/>
      <w:lvlJc w:val="left"/>
      <w:pPr>
        <w:ind w:left="8973" w:hanging="341"/>
      </w:pPr>
      <w:rPr>
        <w:rFonts w:hint="default"/>
        <w:lang w:val="en-us" w:eastAsia="en-us" w:bidi="en-us"/>
      </w:rPr>
    </w:lvl>
  </w:abstractNum>
  <w:abstractNum w:abstractNumId="14">
    <w:multiLevelType w:val="hybridMultilevel"/>
    <w:lvl w:ilvl="0">
      <w:start w:val="6"/>
      <w:numFmt w:val="decimal"/>
      <w:lvlText w:val="%1."/>
      <w:lvlJc w:val="left"/>
      <w:pPr>
        <w:ind w:left="742" w:hanging="624"/>
        <w:jc w:val="left"/>
      </w:pPr>
      <w:rPr>
        <w:rFonts w:hint="default" w:ascii="Verdana" w:hAnsi="Verdana" w:eastAsia="Verdana" w:cs="Verdana"/>
        <w:b/>
        <w:bCs/>
        <w:color w:val="009DDF"/>
        <w:spacing w:val="-1"/>
        <w:w w:val="100"/>
        <w:sz w:val="28"/>
        <w:szCs w:val="28"/>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1.%2.%3"/>
      <w:lvlJc w:val="left"/>
      <w:pPr>
        <w:ind w:left="742" w:hanging="624"/>
        <w:jc w:val="left"/>
      </w:pPr>
      <w:rPr>
        <w:rFonts w:hint="default" w:ascii="Verdana" w:hAnsi="Verdana" w:eastAsia="Verdana" w:cs="Verdana"/>
        <w:b/>
        <w:bCs/>
        <w:spacing w:val="-12"/>
        <w:w w:val="100"/>
        <w:sz w:val="18"/>
        <w:szCs w:val="18"/>
        <w:lang w:val="en-us" w:eastAsia="en-us" w:bidi="en-us"/>
      </w:rPr>
    </w:lvl>
    <w:lvl w:ilvl="3">
      <w:start w:val="0"/>
      <w:numFmt w:val="bullet"/>
      <w:lvlText w:val=""/>
      <w:lvlJc w:val="left"/>
      <w:pPr>
        <w:ind w:left="1082" w:hanging="341"/>
      </w:pPr>
      <w:rPr>
        <w:rFonts w:hint="default" w:ascii="Symbol" w:hAnsi="Symbol" w:eastAsia="Symbol" w:cs="Symbol"/>
        <w:w w:val="100"/>
        <w:sz w:val="18"/>
        <w:szCs w:val="18"/>
        <w:lang w:val="en-us" w:eastAsia="en-us" w:bidi="en-us"/>
      </w:rPr>
    </w:lvl>
    <w:lvl w:ilvl="4">
      <w:start w:val="0"/>
      <w:numFmt w:val="bullet"/>
      <w:lvlText w:val="•"/>
      <w:lvlJc w:val="left"/>
      <w:pPr>
        <w:ind w:left="4368" w:hanging="341"/>
      </w:pPr>
      <w:rPr>
        <w:rFonts w:hint="default"/>
        <w:lang w:val="en-us" w:eastAsia="en-us" w:bidi="en-us"/>
      </w:rPr>
    </w:lvl>
    <w:lvl w:ilvl="5">
      <w:start w:val="0"/>
      <w:numFmt w:val="bullet"/>
      <w:lvlText w:val="•"/>
      <w:lvlJc w:val="left"/>
      <w:pPr>
        <w:ind w:left="5465" w:hanging="341"/>
      </w:pPr>
      <w:rPr>
        <w:rFonts w:hint="default"/>
        <w:lang w:val="en-us" w:eastAsia="en-us" w:bidi="en-us"/>
      </w:rPr>
    </w:lvl>
    <w:lvl w:ilvl="6">
      <w:start w:val="0"/>
      <w:numFmt w:val="bullet"/>
      <w:lvlText w:val="•"/>
      <w:lvlJc w:val="left"/>
      <w:pPr>
        <w:ind w:left="6561" w:hanging="341"/>
      </w:pPr>
      <w:rPr>
        <w:rFonts w:hint="default"/>
        <w:lang w:val="en-us" w:eastAsia="en-us" w:bidi="en-us"/>
      </w:rPr>
    </w:lvl>
    <w:lvl w:ilvl="7">
      <w:start w:val="0"/>
      <w:numFmt w:val="bullet"/>
      <w:lvlText w:val="•"/>
      <w:lvlJc w:val="left"/>
      <w:pPr>
        <w:ind w:left="7657" w:hanging="341"/>
      </w:pPr>
      <w:rPr>
        <w:rFonts w:hint="default"/>
        <w:lang w:val="en-us" w:eastAsia="en-us" w:bidi="en-us"/>
      </w:rPr>
    </w:lvl>
    <w:lvl w:ilvl="8">
      <w:start w:val="0"/>
      <w:numFmt w:val="bullet"/>
      <w:lvlText w:val="•"/>
      <w:lvlJc w:val="left"/>
      <w:pPr>
        <w:ind w:left="8753" w:hanging="341"/>
      </w:pPr>
      <w:rPr>
        <w:rFonts w:hint="default"/>
        <w:lang w:val="en-us" w:eastAsia="en-us" w:bidi="en-us"/>
      </w:rPr>
    </w:lvl>
  </w:abstractNum>
  <w:abstractNum w:abstractNumId="13">
    <w:multiLevelType w:val="hybridMultilevel"/>
    <w:lvl w:ilvl="0">
      <w:start w:val="5"/>
      <w:numFmt w:val="decimal"/>
      <w:lvlText w:val="%1"/>
      <w:lvlJc w:val="left"/>
      <w:pPr>
        <w:ind w:left="742" w:hanging="624"/>
        <w:jc w:val="left"/>
      </w:pPr>
      <w:rPr>
        <w:rFonts w:hint="default"/>
        <w:lang w:val="en-us" w:eastAsia="en-us" w:bidi="en-us"/>
      </w:rPr>
    </w:lvl>
    <w:lvl w:ilvl="1">
      <w:start w:val="4"/>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3."/>
      <w:lvlJc w:val="left"/>
      <w:pPr>
        <w:ind w:left="742" w:hanging="243"/>
        <w:jc w:val="left"/>
      </w:pPr>
      <w:rPr>
        <w:rFonts w:hint="default" w:ascii="Verdana" w:hAnsi="Verdana" w:eastAsia="Verdana" w:cs="Verdana"/>
        <w:w w:val="100"/>
        <w:sz w:val="18"/>
        <w:szCs w:val="18"/>
        <w:lang w:val="en-us" w:eastAsia="en-us" w:bidi="en-us"/>
      </w:rPr>
    </w:lvl>
    <w:lvl w:ilvl="3">
      <w:start w:val="0"/>
      <w:numFmt w:val="bullet"/>
      <w:lvlText w:val="•"/>
      <w:lvlJc w:val="left"/>
      <w:pPr>
        <w:ind w:left="3801" w:hanging="243"/>
      </w:pPr>
      <w:rPr>
        <w:rFonts w:hint="default"/>
        <w:lang w:val="en-us" w:eastAsia="en-us" w:bidi="en-us"/>
      </w:rPr>
    </w:lvl>
    <w:lvl w:ilvl="4">
      <w:start w:val="0"/>
      <w:numFmt w:val="bullet"/>
      <w:lvlText w:val="•"/>
      <w:lvlJc w:val="left"/>
      <w:pPr>
        <w:ind w:left="4822" w:hanging="243"/>
      </w:pPr>
      <w:rPr>
        <w:rFonts w:hint="default"/>
        <w:lang w:val="en-us" w:eastAsia="en-us" w:bidi="en-us"/>
      </w:rPr>
    </w:lvl>
    <w:lvl w:ilvl="5">
      <w:start w:val="0"/>
      <w:numFmt w:val="bullet"/>
      <w:lvlText w:val="•"/>
      <w:lvlJc w:val="left"/>
      <w:pPr>
        <w:ind w:left="5843" w:hanging="243"/>
      </w:pPr>
      <w:rPr>
        <w:rFonts w:hint="default"/>
        <w:lang w:val="en-us" w:eastAsia="en-us" w:bidi="en-us"/>
      </w:rPr>
    </w:lvl>
    <w:lvl w:ilvl="6">
      <w:start w:val="0"/>
      <w:numFmt w:val="bullet"/>
      <w:lvlText w:val="•"/>
      <w:lvlJc w:val="left"/>
      <w:pPr>
        <w:ind w:left="6863" w:hanging="243"/>
      </w:pPr>
      <w:rPr>
        <w:rFonts w:hint="default"/>
        <w:lang w:val="en-us" w:eastAsia="en-us" w:bidi="en-us"/>
      </w:rPr>
    </w:lvl>
    <w:lvl w:ilvl="7">
      <w:start w:val="0"/>
      <w:numFmt w:val="bullet"/>
      <w:lvlText w:val="•"/>
      <w:lvlJc w:val="left"/>
      <w:pPr>
        <w:ind w:left="7884" w:hanging="243"/>
      </w:pPr>
      <w:rPr>
        <w:rFonts w:hint="default"/>
        <w:lang w:val="en-us" w:eastAsia="en-us" w:bidi="en-us"/>
      </w:rPr>
    </w:lvl>
    <w:lvl w:ilvl="8">
      <w:start w:val="0"/>
      <w:numFmt w:val="bullet"/>
      <w:lvlText w:val="•"/>
      <w:lvlJc w:val="left"/>
      <w:pPr>
        <w:ind w:left="8905" w:hanging="243"/>
      </w:pPr>
      <w:rPr>
        <w:rFonts w:hint="default"/>
        <w:lang w:val="en-us" w:eastAsia="en-us" w:bidi="en-us"/>
      </w:rPr>
    </w:lvl>
  </w:abstractNum>
  <w:abstractNum w:abstractNumId="12">
    <w:multiLevelType w:val="hybridMultilevel"/>
    <w:lvl w:ilvl="0">
      <w:start w:val="5"/>
      <w:numFmt w:val="decimal"/>
      <w:lvlText w:val="%1"/>
      <w:lvlJc w:val="left"/>
      <w:pPr>
        <w:ind w:left="742" w:hanging="624"/>
        <w:jc w:val="left"/>
      </w:pPr>
      <w:rPr>
        <w:rFonts w:hint="default"/>
        <w:lang w:val="en-us" w:eastAsia="en-us" w:bidi="en-us"/>
      </w:rPr>
    </w:lvl>
    <w:lvl w:ilvl="1">
      <w:start w:val="2"/>
      <w:numFmt w:val="decimal"/>
      <w:lvlText w:val="%1.%2"/>
      <w:lvlJc w:val="left"/>
      <w:pPr>
        <w:ind w:left="742" w:hanging="624"/>
        <w:jc w:val="left"/>
      </w:pPr>
      <w:rPr>
        <w:rFonts w:hint="default"/>
        <w:lang w:val="en-us" w:eastAsia="en-us" w:bidi="en-us"/>
      </w:rPr>
    </w:lvl>
    <w:lvl w:ilvl="2">
      <w:start w:val="3"/>
      <w:numFmt w:val="decimal"/>
      <w:lvlText w:val="%1.%2.%3"/>
      <w:lvlJc w:val="left"/>
      <w:pPr>
        <w:ind w:left="742" w:hanging="624"/>
        <w:jc w:val="left"/>
      </w:pPr>
      <w:rPr>
        <w:rFonts w:hint="default" w:ascii="Verdana" w:hAnsi="Verdana" w:eastAsia="Verdana" w:cs="Verdana"/>
        <w:b/>
        <w:bCs/>
        <w:spacing w:val="-12"/>
        <w:w w:val="100"/>
        <w:sz w:val="18"/>
        <w:szCs w:val="18"/>
        <w:lang w:val="en-us" w:eastAsia="en-us" w:bidi="en-us"/>
      </w:rPr>
    </w:lvl>
    <w:lvl w:ilvl="3">
      <w:start w:val="0"/>
      <w:numFmt w:val="bullet"/>
      <w:lvlText w:val=""/>
      <w:lvlJc w:val="left"/>
      <w:pPr>
        <w:ind w:left="1082" w:hanging="341"/>
      </w:pPr>
      <w:rPr>
        <w:rFonts w:hint="default" w:ascii="Symbol" w:hAnsi="Symbol" w:eastAsia="Symbol" w:cs="Symbol"/>
        <w:w w:val="100"/>
        <w:sz w:val="18"/>
        <w:szCs w:val="18"/>
        <w:lang w:val="en-us" w:eastAsia="en-us" w:bidi="en-us"/>
      </w:rPr>
    </w:lvl>
    <w:lvl w:ilvl="4">
      <w:start w:val="0"/>
      <w:numFmt w:val="bullet"/>
      <w:lvlText w:val="•"/>
      <w:lvlJc w:val="left"/>
      <w:pPr>
        <w:ind w:left="4368" w:hanging="341"/>
      </w:pPr>
      <w:rPr>
        <w:rFonts w:hint="default"/>
        <w:lang w:val="en-us" w:eastAsia="en-us" w:bidi="en-us"/>
      </w:rPr>
    </w:lvl>
    <w:lvl w:ilvl="5">
      <w:start w:val="0"/>
      <w:numFmt w:val="bullet"/>
      <w:lvlText w:val="•"/>
      <w:lvlJc w:val="left"/>
      <w:pPr>
        <w:ind w:left="5465" w:hanging="341"/>
      </w:pPr>
      <w:rPr>
        <w:rFonts w:hint="default"/>
        <w:lang w:val="en-us" w:eastAsia="en-us" w:bidi="en-us"/>
      </w:rPr>
    </w:lvl>
    <w:lvl w:ilvl="6">
      <w:start w:val="0"/>
      <w:numFmt w:val="bullet"/>
      <w:lvlText w:val="•"/>
      <w:lvlJc w:val="left"/>
      <w:pPr>
        <w:ind w:left="6561" w:hanging="341"/>
      </w:pPr>
      <w:rPr>
        <w:rFonts w:hint="default"/>
        <w:lang w:val="en-us" w:eastAsia="en-us" w:bidi="en-us"/>
      </w:rPr>
    </w:lvl>
    <w:lvl w:ilvl="7">
      <w:start w:val="0"/>
      <w:numFmt w:val="bullet"/>
      <w:lvlText w:val="•"/>
      <w:lvlJc w:val="left"/>
      <w:pPr>
        <w:ind w:left="7657" w:hanging="341"/>
      </w:pPr>
      <w:rPr>
        <w:rFonts w:hint="default"/>
        <w:lang w:val="en-us" w:eastAsia="en-us" w:bidi="en-us"/>
      </w:rPr>
    </w:lvl>
    <w:lvl w:ilvl="8">
      <w:start w:val="0"/>
      <w:numFmt w:val="bullet"/>
      <w:lvlText w:val="•"/>
      <w:lvlJc w:val="left"/>
      <w:pPr>
        <w:ind w:left="8753" w:hanging="341"/>
      </w:pPr>
      <w:rPr>
        <w:rFonts w:hint="default"/>
        <w:lang w:val="en-us" w:eastAsia="en-us" w:bidi="en-us"/>
      </w:rPr>
    </w:lvl>
  </w:abstractNum>
  <w:abstractNum w:abstractNumId="11">
    <w:multiLevelType w:val="hybridMultilevel"/>
    <w:lvl w:ilvl="0">
      <w:start w:val="1"/>
      <w:numFmt w:val="decimal"/>
      <w:lvlText w:val="%1."/>
      <w:lvlJc w:val="left"/>
      <w:pPr>
        <w:ind w:left="1102" w:hanging="360"/>
        <w:jc w:val="right"/>
      </w:pPr>
      <w:rPr>
        <w:rFonts w:hint="default"/>
        <w:spacing w:val="-11"/>
        <w:w w:val="100"/>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1.%2.%3"/>
      <w:lvlJc w:val="left"/>
      <w:pPr>
        <w:ind w:left="742" w:hanging="624"/>
        <w:jc w:val="left"/>
      </w:pPr>
      <w:rPr>
        <w:rFonts w:hint="default" w:ascii="Verdana" w:hAnsi="Verdana" w:eastAsia="Verdana" w:cs="Verdana"/>
        <w:b/>
        <w:bCs/>
        <w:spacing w:val="-12"/>
        <w:w w:val="100"/>
        <w:sz w:val="18"/>
        <w:szCs w:val="18"/>
        <w:lang w:val="en-us" w:eastAsia="en-us" w:bidi="en-us"/>
      </w:rPr>
    </w:lvl>
    <w:lvl w:ilvl="3">
      <w:start w:val="0"/>
      <w:numFmt w:val="bullet"/>
      <w:lvlText w:val="•"/>
      <w:lvlJc w:val="left"/>
      <w:pPr>
        <w:ind w:left="1110" w:hanging="624"/>
      </w:pPr>
      <w:rPr>
        <w:rFonts w:hint="default"/>
        <w:lang w:val="en-us" w:eastAsia="en-us" w:bidi="en-us"/>
      </w:rPr>
    </w:lvl>
    <w:lvl w:ilvl="4">
      <w:start w:val="0"/>
      <w:numFmt w:val="bullet"/>
      <w:lvlText w:val="•"/>
      <w:lvlJc w:val="left"/>
      <w:pPr>
        <w:ind w:left="1121" w:hanging="624"/>
      </w:pPr>
      <w:rPr>
        <w:rFonts w:hint="default"/>
        <w:lang w:val="en-us" w:eastAsia="en-us" w:bidi="en-us"/>
      </w:rPr>
    </w:lvl>
    <w:lvl w:ilvl="5">
      <w:start w:val="0"/>
      <w:numFmt w:val="bullet"/>
      <w:lvlText w:val="•"/>
      <w:lvlJc w:val="left"/>
      <w:pPr>
        <w:ind w:left="1132" w:hanging="624"/>
      </w:pPr>
      <w:rPr>
        <w:rFonts w:hint="default"/>
        <w:lang w:val="en-us" w:eastAsia="en-us" w:bidi="en-us"/>
      </w:rPr>
    </w:lvl>
    <w:lvl w:ilvl="6">
      <w:start w:val="0"/>
      <w:numFmt w:val="bullet"/>
      <w:lvlText w:val="•"/>
      <w:lvlJc w:val="left"/>
      <w:pPr>
        <w:ind w:left="1142" w:hanging="624"/>
      </w:pPr>
      <w:rPr>
        <w:rFonts w:hint="default"/>
        <w:lang w:val="en-us" w:eastAsia="en-us" w:bidi="en-us"/>
      </w:rPr>
    </w:lvl>
    <w:lvl w:ilvl="7">
      <w:start w:val="0"/>
      <w:numFmt w:val="bullet"/>
      <w:lvlText w:val="•"/>
      <w:lvlJc w:val="left"/>
      <w:pPr>
        <w:ind w:left="1153" w:hanging="624"/>
      </w:pPr>
      <w:rPr>
        <w:rFonts w:hint="default"/>
        <w:lang w:val="en-us" w:eastAsia="en-us" w:bidi="en-us"/>
      </w:rPr>
    </w:lvl>
    <w:lvl w:ilvl="8">
      <w:start w:val="0"/>
      <w:numFmt w:val="bullet"/>
      <w:lvlText w:val="•"/>
      <w:lvlJc w:val="left"/>
      <w:pPr>
        <w:ind w:left="1164" w:hanging="624"/>
      </w:pPr>
      <w:rPr>
        <w:rFonts w:hint="default"/>
        <w:lang w:val="en-us" w:eastAsia="en-us" w:bidi="en-us"/>
      </w:rPr>
    </w:lvl>
  </w:abstractNum>
  <w:abstractNum w:abstractNumId="10">
    <w:multiLevelType w:val="hybridMultilevel"/>
    <w:lvl w:ilvl="0">
      <w:start w:val="1"/>
      <w:numFmt w:val="decimal"/>
      <w:lvlText w:val="%1."/>
      <w:lvlJc w:val="left"/>
      <w:pPr>
        <w:ind w:left="1102" w:hanging="360"/>
        <w:jc w:val="left"/>
      </w:pPr>
      <w:rPr>
        <w:rFonts w:hint="default" w:ascii="Verdana" w:hAnsi="Verdana" w:eastAsia="Verdana" w:cs="Verdana"/>
        <w:spacing w:val="-11"/>
        <w:w w:val="100"/>
        <w:sz w:val="18"/>
        <w:szCs w:val="18"/>
        <w:lang w:val="en-us" w:eastAsia="en-us" w:bidi="en-us"/>
      </w:rPr>
    </w:lvl>
    <w:lvl w:ilvl="1">
      <w:start w:val="0"/>
      <w:numFmt w:val="bullet"/>
      <w:lvlText w:val=""/>
      <w:lvlJc w:val="left"/>
      <w:pPr>
        <w:ind w:left="1421" w:hanging="339"/>
      </w:pPr>
      <w:rPr>
        <w:rFonts w:hint="default" w:ascii="Symbol" w:hAnsi="Symbol" w:eastAsia="Symbol" w:cs="Symbol"/>
        <w:w w:val="100"/>
        <w:sz w:val="18"/>
        <w:szCs w:val="18"/>
        <w:lang w:val="en-us" w:eastAsia="en-us" w:bidi="en-us"/>
      </w:rPr>
    </w:lvl>
    <w:lvl w:ilvl="2">
      <w:start w:val="0"/>
      <w:numFmt w:val="bullet"/>
      <w:lvlText w:val="•"/>
      <w:lvlJc w:val="left"/>
      <w:pPr>
        <w:ind w:left="2478" w:hanging="339"/>
      </w:pPr>
      <w:rPr>
        <w:rFonts w:hint="default"/>
        <w:lang w:val="en-us" w:eastAsia="en-us" w:bidi="en-us"/>
      </w:rPr>
    </w:lvl>
    <w:lvl w:ilvl="3">
      <w:start w:val="0"/>
      <w:numFmt w:val="bullet"/>
      <w:lvlText w:val="•"/>
      <w:lvlJc w:val="left"/>
      <w:pPr>
        <w:ind w:left="3536" w:hanging="339"/>
      </w:pPr>
      <w:rPr>
        <w:rFonts w:hint="default"/>
        <w:lang w:val="en-us" w:eastAsia="en-us" w:bidi="en-us"/>
      </w:rPr>
    </w:lvl>
    <w:lvl w:ilvl="4">
      <w:start w:val="0"/>
      <w:numFmt w:val="bullet"/>
      <w:lvlText w:val="•"/>
      <w:lvlJc w:val="left"/>
      <w:pPr>
        <w:ind w:left="4595" w:hanging="339"/>
      </w:pPr>
      <w:rPr>
        <w:rFonts w:hint="default"/>
        <w:lang w:val="en-us" w:eastAsia="en-us" w:bidi="en-us"/>
      </w:rPr>
    </w:lvl>
    <w:lvl w:ilvl="5">
      <w:start w:val="0"/>
      <w:numFmt w:val="bullet"/>
      <w:lvlText w:val="•"/>
      <w:lvlJc w:val="left"/>
      <w:pPr>
        <w:ind w:left="5653" w:hanging="339"/>
      </w:pPr>
      <w:rPr>
        <w:rFonts w:hint="default"/>
        <w:lang w:val="en-us" w:eastAsia="en-us" w:bidi="en-us"/>
      </w:rPr>
    </w:lvl>
    <w:lvl w:ilvl="6">
      <w:start w:val="0"/>
      <w:numFmt w:val="bullet"/>
      <w:lvlText w:val="•"/>
      <w:lvlJc w:val="left"/>
      <w:pPr>
        <w:ind w:left="6712" w:hanging="339"/>
      </w:pPr>
      <w:rPr>
        <w:rFonts w:hint="default"/>
        <w:lang w:val="en-us" w:eastAsia="en-us" w:bidi="en-us"/>
      </w:rPr>
    </w:lvl>
    <w:lvl w:ilvl="7">
      <w:start w:val="0"/>
      <w:numFmt w:val="bullet"/>
      <w:lvlText w:val="•"/>
      <w:lvlJc w:val="left"/>
      <w:pPr>
        <w:ind w:left="7770" w:hanging="339"/>
      </w:pPr>
      <w:rPr>
        <w:rFonts w:hint="default"/>
        <w:lang w:val="en-us" w:eastAsia="en-us" w:bidi="en-us"/>
      </w:rPr>
    </w:lvl>
    <w:lvl w:ilvl="8">
      <w:start w:val="0"/>
      <w:numFmt w:val="bullet"/>
      <w:lvlText w:val="•"/>
      <w:lvlJc w:val="left"/>
      <w:pPr>
        <w:ind w:left="8829" w:hanging="339"/>
      </w:pPr>
      <w:rPr>
        <w:rFonts w:hint="default"/>
        <w:lang w:val="en-us" w:eastAsia="en-us" w:bidi="en-us"/>
      </w:rPr>
    </w:lvl>
  </w:abstractNum>
  <w:abstractNum w:abstractNumId="9">
    <w:multiLevelType w:val="hybridMultilevel"/>
    <w:lvl w:ilvl="0">
      <w:start w:val="1"/>
      <w:numFmt w:val="decimal"/>
      <w:lvlText w:val="%1."/>
      <w:lvlJc w:val="left"/>
      <w:pPr>
        <w:ind w:left="1102" w:hanging="360"/>
        <w:jc w:val="left"/>
      </w:pPr>
      <w:rPr>
        <w:rFonts w:hint="default" w:ascii="Verdana" w:hAnsi="Verdana" w:eastAsia="Verdana" w:cs="Verdana"/>
        <w:spacing w:val="-11"/>
        <w:w w:val="100"/>
        <w:sz w:val="18"/>
        <w:szCs w:val="18"/>
        <w:lang w:val="en-us" w:eastAsia="en-us" w:bidi="en-us"/>
      </w:rPr>
    </w:lvl>
    <w:lvl w:ilvl="1">
      <w:start w:val="0"/>
      <w:numFmt w:val="bullet"/>
      <w:lvlText w:val="•"/>
      <w:lvlJc w:val="left"/>
      <w:pPr>
        <w:ind w:left="2084" w:hanging="360"/>
      </w:pPr>
      <w:rPr>
        <w:rFonts w:hint="default"/>
        <w:lang w:val="en-us" w:eastAsia="en-us" w:bidi="en-us"/>
      </w:rPr>
    </w:lvl>
    <w:lvl w:ilvl="2">
      <w:start w:val="0"/>
      <w:numFmt w:val="bullet"/>
      <w:lvlText w:val="•"/>
      <w:lvlJc w:val="left"/>
      <w:pPr>
        <w:ind w:left="3069" w:hanging="360"/>
      </w:pPr>
      <w:rPr>
        <w:rFonts w:hint="default"/>
        <w:lang w:val="en-us" w:eastAsia="en-us" w:bidi="en-us"/>
      </w:rPr>
    </w:lvl>
    <w:lvl w:ilvl="3">
      <w:start w:val="0"/>
      <w:numFmt w:val="bullet"/>
      <w:lvlText w:val="•"/>
      <w:lvlJc w:val="left"/>
      <w:pPr>
        <w:ind w:left="4053" w:hanging="360"/>
      </w:pPr>
      <w:rPr>
        <w:rFonts w:hint="default"/>
        <w:lang w:val="en-us" w:eastAsia="en-us" w:bidi="en-us"/>
      </w:rPr>
    </w:lvl>
    <w:lvl w:ilvl="4">
      <w:start w:val="0"/>
      <w:numFmt w:val="bullet"/>
      <w:lvlText w:val="•"/>
      <w:lvlJc w:val="left"/>
      <w:pPr>
        <w:ind w:left="5038" w:hanging="360"/>
      </w:pPr>
      <w:rPr>
        <w:rFonts w:hint="default"/>
        <w:lang w:val="en-us" w:eastAsia="en-us" w:bidi="en-us"/>
      </w:rPr>
    </w:lvl>
    <w:lvl w:ilvl="5">
      <w:start w:val="0"/>
      <w:numFmt w:val="bullet"/>
      <w:lvlText w:val="•"/>
      <w:lvlJc w:val="left"/>
      <w:pPr>
        <w:ind w:left="6023" w:hanging="360"/>
      </w:pPr>
      <w:rPr>
        <w:rFonts w:hint="default"/>
        <w:lang w:val="en-us" w:eastAsia="en-us" w:bidi="en-us"/>
      </w:rPr>
    </w:lvl>
    <w:lvl w:ilvl="6">
      <w:start w:val="0"/>
      <w:numFmt w:val="bullet"/>
      <w:lvlText w:val="•"/>
      <w:lvlJc w:val="left"/>
      <w:pPr>
        <w:ind w:left="7007" w:hanging="360"/>
      </w:pPr>
      <w:rPr>
        <w:rFonts w:hint="default"/>
        <w:lang w:val="en-us" w:eastAsia="en-us" w:bidi="en-us"/>
      </w:rPr>
    </w:lvl>
    <w:lvl w:ilvl="7">
      <w:start w:val="0"/>
      <w:numFmt w:val="bullet"/>
      <w:lvlText w:val="•"/>
      <w:lvlJc w:val="left"/>
      <w:pPr>
        <w:ind w:left="7992" w:hanging="360"/>
      </w:pPr>
      <w:rPr>
        <w:rFonts w:hint="default"/>
        <w:lang w:val="en-us" w:eastAsia="en-us" w:bidi="en-us"/>
      </w:rPr>
    </w:lvl>
    <w:lvl w:ilvl="8">
      <w:start w:val="0"/>
      <w:numFmt w:val="bullet"/>
      <w:lvlText w:val="•"/>
      <w:lvlJc w:val="left"/>
      <w:pPr>
        <w:ind w:left="8977" w:hanging="360"/>
      </w:pPr>
      <w:rPr>
        <w:rFonts w:hint="default"/>
        <w:lang w:val="en-us" w:eastAsia="en-us" w:bidi="en-us"/>
      </w:rPr>
    </w:lvl>
  </w:abstractNum>
  <w:abstractNum w:abstractNumId="8">
    <w:multiLevelType w:val="hybridMultilevel"/>
    <w:lvl w:ilvl="0">
      <w:start w:val="1"/>
      <w:numFmt w:val="decimal"/>
      <w:lvlText w:val="%1)"/>
      <w:lvlJc w:val="left"/>
      <w:pPr>
        <w:ind w:left="1001" w:hanging="259"/>
        <w:jc w:val="left"/>
      </w:pPr>
      <w:rPr>
        <w:rFonts w:hint="default" w:ascii="Verdana" w:hAnsi="Verdana" w:eastAsia="Verdana" w:cs="Verdana"/>
        <w:w w:val="100"/>
        <w:sz w:val="18"/>
        <w:szCs w:val="18"/>
        <w:lang w:val="en-us" w:eastAsia="en-us" w:bidi="en-us"/>
      </w:rPr>
    </w:lvl>
    <w:lvl w:ilvl="1">
      <w:start w:val="0"/>
      <w:numFmt w:val="bullet"/>
      <w:lvlText w:val=""/>
      <w:lvlJc w:val="left"/>
      <w:pPr>
        <w:ind w:left="1462" w:hanging="360"/>
      </w:pPr>
      <w:rPr>
        <w:rFonts w:hint="default" w:ascii="Symbol" w:hAnsi="Symbol" w:eastAsia="Symbol" w:cs="Symbol"/>
        <w:w w:val="100"/>
        <w:sz w:val="18"/>
        <w:szCs w:val="18"/>
        <w:lang w:val="en-us" w:eastAsia="en-us" w:bidi="en-us"/>
      </w:rPr>
    </w:lvl>
    <w:lvl w:ilvl="2">
      <w:start w:val="0"/>
      <w:numFmt w:val="bullet"/>
      <w:lvlText w:val="•"/>
      <w:lvlJc w:val="left"/>
      <w:pPr>
        <w:ind w:left="2514" w:hanging="360"/>
      </w:pPr>
      <w:rPr>
        <w:rFonts w:hint="default"/>
        <w:lang w:val="en-us" w:eastAsia="en-us" w:bidi="en-us"/>
      </w:rPr>
    </w:lvl>
    <w:lvl w:ilvl="3">
      <w:start w:val="0"/>
      <w:numFmt w:val="bullet"/>
      <w:lvlText w:val="•"/>
      <w:lvlJc w:val="left"/>
      <w:pPr>
        <w:ind w:left="3568" w:hanging="360"/>
      </w:pPr>
      <w:rPr>
        <w:rFonts w:hint="default"/>
        <w:lang w:val="en-us" w:eastAsia="en-us" w:bidi="en-us"/>
      </w:rPr>
    </w:lvl>
    <w:lvl w:ilvl="4">
      <w:start w:val="0"/>
      <w:numFmt w:val="bullet"/>
      <w:lvlText w:val="•"/>
      <w:lvlJc w:val="left"/>
      <w:pPr>
        <w:ind w:left="4622" w:hanging="360"/>
      </w:pPr>
      <w:rPr>
        <w:rFonts w:hint="default"/>
        <w:lang w:val="en-us" w:eastAsia="en-us" w:bidi="en-us"/>
      </w:rPr>
    </w:lvl>
    <w:lvl w:ilvl="5">
      <w:start w:val="0"/>
      <w:numFmt w:val="bullet"/>
      <w:lvlText w:val="•"/>
      <w:lvlJc w:val="left"/>
      <w:pPr>
        <w:ind w:left="5676" w:hanging="360"/>
      </w:pPr>
      <w:rPr>
        <w:rFonts w:hint="default"/>
        <w:lang w:val="en-us" w:eastAsia="en-us" w:bidi="en-us"/>
      </w:rPr>
    </w:lvl>
    <w:lvl w:ilvl="6">
      <w:start w:val="0"/>
      <w:numFmt w:val="bullet"/>
      <w:lvlText w:val="•"/>
      <w:lvlJc w:val="left"/>
      <w:pPr>
        <w:ind w:left="6730" w:hanging="360"/>
      </w:pPr>
      <w:rPr>
        <w:rFonts w:hint="default"/>
        <w:lang w:val="en-us" w:eastAsia="en-us" w:bidi="en-us"/>
      </w:rPr>
    </w:lvl>
    <w:lvl w:ilvl="7">
      <w:start w:val="0"/>
      <w:numFmt w:val="bullet"/>
      <w:lvlText w:val="•"/>
      <w:lvlJc w:val="left"/>
      <w:pPr>
        <w:ind w:left="7784" w:hanging="360"/>
      </w:pPr>
      <w:rPr>
        <w:rFonts w:hint="default"/>
        <w:lang w:val="en-us" w:eastAsia="en-us" w:bidi="en-us"/>
      </w:rPr>
    </w:lvl>
    <w:lvl w:ilvl="8">
      <w:start w:val="0"/>
      <w:numFmt w:val="bullet"/>
      <w:lvlText w:val="•"/>
      <w:lvlJc w:val="left"/>
      <w:pPr>
        <w:ind w:left="8838" w:hanging="360"/>
      </w:pPr>
      <w:rPr>
        <w:rFonts w:hint="default"/>
        <w:lang w:val="en-us" w:eastAsia="en-us" w:bidi="en-us"/>
      </w:rPr>
    </w:lvl>
  </w:abstractNum>
  <w:abstractNum w:abstractNumId="7">
    <w:multiLevelType w:val="hybridMultilevel"/>
    <w:lvl w:ilvl="0">
      <w:start w:val="0"/>
      <w:numFmt w:val="bullet"/>
      <w:lvlText w:val="•"/>
      <w:lvlJc w:val="left"/>
      <w:pPr>
        <w:ind w:left="1102" w:hanging="360"/>
      </w:pPr>
      <w:rPr>
        <w:rFonts w:hint="default" w:ascii="Arial" w:hAnsi="Arial" w:eastAsia="Arial" w:cs="Arial"/>
        <w:spacing w:val="-2"/>
        <w:w w:val="100"/>
        <w:sz w:val="18"/>
        <w:szCs w:val="18"/>
        <w:lang w:val="en-us" w:eastAsia="en-us" w:bidi="en-us"/>
      </w:rPr>
    </w:lvl>
    <w:lvl w:ilvl="1">
      <w:start w:val="0"/>
      <w:numFmt w:val="bullet"/>
      <w:lvlText w:val="•"/>
      <w:lvlJc w:val="left"/>
      <w:pPr>
        <w:ind w:left="2084" w:hanging="360"/>
      </w:pPr>
      <w:rPr>
        <w:rFonts w:hint="default"/>
        <w:lang w:val="en-us" w:eastAsia="en-us" w:bidi="en-us"/>
      </w:rPr>
    </w:lvl>
    <w:lvl w:ilvl="2">
      <w:start w:val="0"/>
      <w:numFmt w:val="bullet"/>
      <w:lvlText w:val="•"/>
      <w:lvlJc w:val="left"/>
      <w:pPr>
        <w:ind w:left="3069" w:hanging="360"/>
      </w:pPr>
      <w:rPr>
        <w:rFonts w:hint="default"/>
        <w:lang w:val="en-us" w:eastAsia="en-us" w:bidi="en-us"/>
      </w:rPr>
    </w:lvl>
    <w:lvl w:ilvl="3">
      <w:start w:val="0"/>
      <w:numFmt w:val="bullet"/>
      <w:lvlText w:val="•"/>
      <w:lvlJc w:val="left"/>
      <w:pPr>
        <w:ind w:left="4053" w:hanging="360"/>
      </w:pPr>
      <w:rPr>
        <w:rFonts w:hint="default"/>
        <w:lang w:val="en-us" w:eastAsia="en-us" w:bidi="en-us"/>
      </w:rPr>
    </w:lvl>
    <w:lvl w:ilvl="4">
      <w:start w:val="0"/>
      <w:numFmt w:val="bullet"/>
      <w:lvlText w:val="•"/>
      <w:lvlJc w:val="left"/>
      <w:pPr>
        <w:ind w:left="5038" w:hanging="360"/>
      </w:pPr>
      <w:rPr>
        <w:rFonts w:hint="default"/>
        <w:lang w:val="en-us" w:eastAsia="en-us" w:bidi="en-us"/>
      </w:rPr>
    </w:lvl>
    <w:lvl w:ilvl="5">
      <w:start w:val="0"/>
      <w:numFmt w:val="bullet"/>
      <w:lvlText w:val="•"/>
      <w:lvlJc w:val="left"/>
      <w:pPr>
        <w:ind w:left="6023" w:hanging="360"/>
      </w:pPr>
      <w:rPr>
        <w:rFonts w:hint="default"/>
        <w:lang w:val="en-us" w:eastAsia="en-us" w:bidi="en-us"/>
      </w:rPr>
    </w:lvl>
    <w:lvl w:ilvl="6">
      <w:start w:val="0"/>
      <w:numFmt w:val="bullet"/>
      <w:lvlText w:val="•"/>
      <w:lvlJc w:val="left"/>
      <w:pPr>
        <w:ind w:left="7007" w:hanging="360"/>
      </w:pPr>
      <w:rPr>
        <w:rFonts w:hint="default"/>
        <w:lang w:val="en-us" w:eastAsia="en-us" w:bidi="en-us"/>
      </w:rPr>
    </w:lvl>
    <w:lvl w:ilvl="7">
      <w:start w:val="0"/>
      <w:numFmt w:val="bullet"/>
      <w:lvlText w:val="•"/>
      <w:lvlJc w:val="left"/>
      <w:pPr>
        <w:ind w:left="7992" w:hanging="360"/>
      </w:pPr>
      <w:rPr>
        <w:rFonts w:hint="default"/>
        <w:lang w:val="en-us" w:eastAsia="en-us" w:bidi="en-us"/>
      </w:rPr>
    </w:lvl>
    <w:lvl w:ilvl="8">
      <w:start w:val="0"/>
      <w:numFmt w:val="bullet"/>
      <w:lvlText w:val="•"/>
      <w:lvlJc w:val="left"/>
      <w:pPr>
        <w:ind w:left="8977" w:hanging="360"/>
      </w:pPr>
      <w:rPr>
        <w:rFonts w:hint="default"/>
        <w:lang w:val="en-us" w:eastAsia="en-us" w:bidi="en-us"/>
      </w:rPr>
    </w:lvl>
  </w:abstractNum>
  <w:abstractNum w:abstractNumId="6">
    <w:multiLevelType w:val="hybridMultilevel"/>
    <w:lvl w:ilvl="0">
      <w:start w:val="4"/>
      <w:numFmt w:val="decimal"/>
      <w:lvlText w:val="%1"/>
      <w:lvlJc w:val="left"/>
      <w:pPr>
        <w:ind w:left="742" w:hanging="624"/>
        <w:jc w:val="left"/>
      </w:pPr>
      <w:rPr>
        <w:rFonts w:hint="default"/>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1.%2.%3"/>
      <w:lvlJc w:val="left"/>
      <w:pPr>
        <w:ind w:left="742" w:hanging="624"/>
        <w:jc w:val="left"/>
      </w:pPr>
      <w:rPr>
        <w:rFonts w:hint="default" w:ascii="Verdana" w:hAnsi="Verdana" w:eastAsia="Verdana" w:cs="Verdana"/>
        <w:b/>
        <w:bCs/>
        <w:spacing w:val="-12"/>
        <w:w w:val="100"/>
        <w:sz w:val="18"/>
        <w:szCs w:val="18"/>
        <w:lang w:val="en-us" w:eastAsia="en-us" w:bidi="en-us"/>
      </w:rPr>
    </w:lvl>
    <w:lvl w:ilvl="3">
      <w:start w:val="0"/>
      <w:numFmt w:val="bullet"/>
      <w:lvlText w:val=""/>
      <w:lvlJc w:val="left"/>
      <w:pPr>
        <w:ind w:left="1058" w:hanging="284"/>
      </w:pPr>
      <w:rPr>
        <w:rFonts w:hint="default" w:ascii="Symbol" w:hAnsi="Symbol" w:eastAsia="Symbol" w:cs="Symbol"/>
        <w:w w:val="100"/>
        <w:sz w:val="18"/>
        <w:szCs w:val="18"/>
        <w:lang w:val="en-us" w:eastAsia="en-us" w:bidi="en-us"/>
      </w:rPr>
    </w:lvl>
    <w:lvl w:ilvl="4">
      <w:start w:val="0"/>
      <w:numFmt w:val="bullet"/>
      <w:lvlText w:val="•"/>
      <w:lvlJc w:val="left"/>
      <w:pPr>
        <w:ind w:left="4355" w:hanging="284"/>
      </w:pPr>
      <w:rPr>
        <w:rFonts w:hint="default"/>
        <w:lang w:val="en-us" w:eastAsia="en-us" w:bidi="en-us"/>
      </w:rPr>
    </w:lvl>
    <w:lvl w:ilvl="5">
      <w:start w:val="0"/>
      <w:numFmt w:val="bullet"/>
      <w:lvlText w:val="•"/>
      <w:lvlJc w:val="left"/>
      <w:pPr>
        <w:ind w:left="5453" w:hanging="284"/>
      </w:pPr>
      <w:rPr>
        <w:rFonts w:hint="default"/>
        <w:lang w:val="en-us" w:eastAsia="en-us" w:bidi="en-us"/>
      </w:rPr>
    </w:lvl>
    <w:lvl w:ilvl="6">
      <w:start w:val="0"/>
      <w:numFmt w:val="bullet"/>
      <w:lvlText w:val="•"/>
      <w:lvlJc w:val="left"/>
      <w:pPr>
        <w:ind w:left="6552" w:hanging="284"/>
      </w:pPr>
      <w:rPr>
        <w:rFonts w:hint="default"/>
        <w:lang w:val="en-us" w:eastAsia="en-us" w:bidi="en-us"/>
      </w:rPr>
    </w:lvl>
    <w:lvl w:ilvl="7">
      <w:start w:val="0"/>
      <w:numFmt w:val="bullet"/>
      <w:lvlText w:val="•"/>
      <w:lvlJc w:val="left"/>
      <w:pPr>
        <w:ind w:left="7650" w:hanging="284"/>
      </w:pPr>
      <w:rPr>
        <w:rFonts w:hint="default"/>
        <w:lang w:val="en-us" w:eastAsia="en-us" w:bidi="en-us"/>
      </w:rPr>
    </w:lvl>
    <w:lvl w:ilvl="8">
      <w:start w:val="0"/>
      <w:numFmt w:val="bullet"/>
      <w:lvlText w:val="•"/>
      <w:lvlJc w:val="left"/>
      <w:pPr>
        <w:ind w:left="8749" w:hanging="284"/>
      </w:pPr>
      <w:rPr>
        <w:rFonts w:hint="default"/>
        <w:lang w:val="en-us" w:eastAsia="en-us" w:bidi="en-us"/>
      </w:rPr>
    </w:lvl>
  </w:abstractNum>
  <w:abstractNum w:abstractNumId="5">
    <w:multiLevelType w:val="hybridMultilevel"/>
    <w:lvl w:ilvl="0">
      <w:start w:val="0"/>
      <w:numFmt w:val="bullet"/>
      <w:lvlText w:val=""/>
      <w:lvlJc w:val="left"/>
      <w:pPr>
        <w:ind w:left="1082" w:hanging="341"/>
      </w:pPr>
      <w:rPr>
        <w:rFonts w:hint="default" w:ascii="Symbol" w:hAnsi="Symbol" w:eastAsia="Symbol" w:cs="Symbol"/>
        <w:w w:val="100"/>
        <w:sz w:val="18"/>
        <w:szCs w:val="18"/>
        <w:lang w:val="en-us" w:eastAsia="en-us" w:bidi="en-us"/>
      </w:rPr>
    </w:lvl>
    <w:lvl w:ilvl="1">
      <w:start w:val="0"/>
      <w:numFmt w:val="bullet"/>
      <w:lvlText w:val="•"/>
      <w:lvlJc w:val="left"/>
      <w:pPr>
        <w:ind w:left="2066" w:hanging="341"/>
      </w:pPr>
      <w:rPr>
        <w:rFonts w:hint="default"/>
        <w:lang w:val="en-us" w:eastAsia="en-us" w:bidi="en-us"/>
      </w:rPr>
    </w:lvl>
    <w:lvl w:ilvl="2">
      <w:start w:val="0"/>
      <w:numFmt w:val="bullet"/>
      <w:lvlText w:val="•"/>
      <w:lvlJc w:val="left"/>
      <w:pPr>
        <w:ind w:left="3053" w:hanging="341"/>
      </w:pPr>
      <w:rPr>
        <w:rFonts w:hint="default"/>
        <w:lang w:val="en-us" w:eastAsia="en-us" w:bidi="en-us"/>
      </w:rPr>
    </w:lvl>
    <w:lvl w:ilvl="3">
      <w:start w:val="0"/>
      <w:numFmt w:val="bullet"/>
      <w:lvlText w:val="•"/>
      <w:lvlJc w:val="left"/>
      <w:pPr>
        <w:ind w:left="4039" w:hanging="341"/>
      </w:pPr>
      <w:rPr>
        <w:rFonts w:hint="default"/>
        <w:lang w:val="en-us" w:eastAsia="en-us" w:bidi="en-us"/>
      </w:rPr>
    </w:lvl>
    <w:lvl w:ilvl="4">
      <w:start w:val="0"/>
      <w:numFmt w:val="bullet"/>
      <w:lvlText w:val="•"/>
      <w:lvlJc w:val="left"/>
      <w:pPr>
        <w:ind w:left="5026" w:hanging="341"/>
      </w:pPr>
      <w:rPr>
        <w:rFonts w:hint="default"/>
        <w:lang w:val="en-us" w:eastAsia="en-us" w:bidi="en-us"/>
      </w:rPr>
    </w:lvl>
    <w:lvl w:ilvl="5">
      <w:start w:val="0"/>
      <w:numFmt w:val="bullet"/>
      <w:lvlText w:val="•"/>
      <w:lvlJc w:val="left"/>
      <w:pPr>
        <w:ind w:left="6013" w:hanging="341"/>
      </w:pPr>
      <w:rPr>
        <w:rFonts w:hint="default"/>
        <w:lang w:val="en-us" w:eastAsia="en-us" w:bidi="en-us"/>
      </w:rPr>
    </w:lvl>
    <w:lvl w:ilvl="6">
      <w:start w:val="0"/>
      <w:numFmt w:val="bullet"/>
      <w:lvlText w:val="•"/>
      <w:lvlJc w:val="left"/>
      <w:pPr>
        <w:ind w:left="6999" w:hanging="341"/>
      </w:pPr>
      <w:rPr>
        <w:rFonts w:hint="default"/>
        <w:lang w:val="en-us" w:eastAsia="en-us" w:bidi="en-us"/>
      </w:rPr>
    </w:lvl>
    <w:lvl w:ilvl="7">
      <w:start w:val="0"/>
      <w:numFmt w:val="bullet"/>
      <w:lvlText w:val="•"/>
      <w:lvlJc w:val="left"/>
      <w:pPr>
        <w:ind w:left="7986" w:hanging="341"/>
      </w:pPr>
      <w:rPr>
        <w:rFonts w:hint="default"/>
        <w:lang w:val="en-us" w:eastAsia="en-us" w:bidi="en-us"/>
      </w:rPr>
    </w:lvl>
    <w:lvl w:ilvl="8">
      <w:start w:val="0"/>
      <w:numFmt w:val="bullet"/>
      <w:lvlText w:val="•"/>
      <w:lvlJc w:val="left"/>
      <w:pPr>
        <w:ind w:left="8973" w:hanging="341"/>
      </w:pPr>
      <w:rPr>
        <w:rFonts w:hint="default"/>
        <w:lang w:val="en-us" w:eastAsia="en-us" w:bidi="en-us"/>
      </w:rPr>
    </w:lvl>
  </w:abstractNum>
  <w:abstractNum w:abstractNumId="4">
    <w:multiLevelType w:val="hybridMultilevel"/>
    <w:lvl w:ilvl="0">
      <w:start w:val="3"/>
      <w:numFmt w:val="decimal"/>
      <w:lvlText w:val="%1"/>
      <w:lvlJc w:val="left"/>
      <w:pPr>
        <w:ind w:left="742" w:hanging="624"/>
        <w:jc w:val="left"/>
      </w:pPr>
      <w:rPr>
        <w:rFonts w:hint="default"/>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1"/>
      <w:numFmt w:val="decimal"/>
      <w:lvlText w:val="%1.%2.%3"/>
      <w:lvlJc w:val="left"/>
      <w:pPr>
        <w:ind w:left="742" w:hanging="624"/>
        <w:jc w:val="left"/>
      </w:pPr>
      <w:rPr>
        <w:rFonts w:hint="default" w:ascii="Verdana" w:hAnsi="Verdana" w:eastAsia="Verdana" w:cs="Verdana"/>
        <w:b/>
        <w:bCs/>
        <w:spacing w:val="-12"/>
        <w:w w:val="100"/>
        <w:sz w:val="18"/>
        <w:szCs w:val="18"/>
        <w:lang w:val="en-us" w:eastAsia="en-us" w:bidi="en-us"/>
      </w:rPr>
    </w:lvl>
    <w:lvl w:ilvl="3">
      <w:start w:val="0"/>
      <w:numFmt w:val="bullet"/>
      <w:lvlText w:val=""/>
      <w:lvlJc w:val="left"/>
      <w:pPr>
        <w:ind w:left="1082" w:hanging="341"/>
      </w:pPr>
      <w:rPr>
        <w:rFonts w:hint="default" w:ascii="Symbol" w:hAnsi="Symbol" w:eastAsia="Symbol" w:cs="Symbol"/>
        <w:w w:val="100"/>
        <w:sz w:val="18"/>
        <w:szCs w:val="18"/>
        <w:lang w:val="en-us" w:eastAsia="en-us" w:bidi="en-us"/>
      </w:rPr>
    </w:lvl>
    <w:lvl w:ilvl="4">
      <w:start w:val="0"/>
      <w:numFmt w:val="bullet"/>
      <w:lvlText w:val="•"/>
      <w:lvlJc w:val="left"/>
      <w:pPr>
        <w:ind w:left="4368" w:hanging="341"/>
      </w:pPr>
      <w:rPr>
        <w:rFonts w:hint="default"/>
        <w:lang w:val="en-us" w:eastAsia="en-us" w:bidi="en-us"/>
      </w:rPr>
    </w:lvl>
    <w:lvl w:ilvl="5">
      <w:start w:val="0"/>
      <w:numFmt w:val="bullet"/>
      <w:lvlText w:val="•"/>
      <w:lvlJc w:val="left"/>
      <w:pPr>
        <w:ind w:left="5465" w:hanging="341"/>
      </w:pPr>
      <w:rPr>
        <w:rFonts w:hint="default"/>
        <w:lang w:val="en-us" w:eastAsia="en-us" w:bidi="en-us"/>
      </w:rPr>
    </w:lvl>
    <w:lvl w:ilvl="6">
      <w:start w:val="0"/>
      <w:numFmt w:val="bullet"/>
      <w:lvlText w:val="•"/>
      <w:lvlJc w:val="left"/>
      <w:pPr>
        <w:ind w:left="6561" w:hanging="341"/>
      </w:pPr>
      <w:rPr>
        <w:rFonts w:hint="default"/>
        <w:lang w:val="en-us" w:eastAsia="en-us" w:bidi="en-us"/>
      </w:rPr>
    </w:lvl>
    <w:lvl w:ilvl="7">
      <w:start w:val="0"/>
      <w:numFmt w:val="bullet"/>
      <w:lvlText w:val="•"/>
      <w:lvlJc w:val="left"/>
      <w:pPr>
        <w:ind w:left="7657" w:hanging="341"/>
      </w:pPr>
      <w:rPr>
        <w:rFonts w:hint="default"/>
        <w:lang w:val="en-us" w:eastAsia="en-us" w:bidi="en-us"/>
      </w:rPr>
    </w:lvl>
    <w:lvl w:ilvl="8">
      <w:start w:val="0"/>
      <w:numFmt w:val="bullet"/>
      <w:lvlText w:val="•"/>
      <w:lvlJc w:val="left"/>
      <w:pPr>
        <w:ind w:left="8753" w:hanging="341"/>
      </w:pPr>
      <w:rPr>
        <w:rFonts w:hint="default"/>
        <w:lang w:val="en-us" w:eastAsia="en-us" w:bidi="en-us"/>
      </w:rPr>
    </w:lvl>
  </w:abstractNum>
  <w:abstractNum w:abstractNumId="3">
    <w:multiLevelType w:val="hybridMultilevel"/>
    <w:lvl w:ilvl="0">
      <w:start w:val="2"/>
      <w:numFmt w:val="decimal"/>
      <w:lvlText w:val="%1"/>
      <w:lvlJc w:val="left"/>
      <w:pPr>
        <w:ind w:left="742" w:hanging="624"/>
        <w:jc w:val="left"/>
      </w:pPr>
      <w:rPr>
        <w:rFonts w:hint="default"/>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0"/>
      <w:numFmt w:val="bullet"/>
      <w:lvlText w:val=""/>
      <w:lvlJc w:val="left"/>
      <w:pPr>
        <w:ind w:left="1462" w:hanging="360"/>
      </w:pPr>
      <w:rPr>
        <w:rFonts w:hint="default" w:ascii="Symbol" w:hAnsi="Symbol" w:eastAsia="Symbol" w:cs="Symbol"/>
        <w:w w:val="100"/>
        <w:sz w:val="18"/>
        <w:szCs w:val="18"/>
        <w:lang w:val="en-us" w:eastAsia="en-us" w:bidi="en-us"/>
      </w:rPr>
    </w:lvl>
    <w:lvl w:ilvl="3">
      <w:start w:val="0"/>
      <w:numFmt w:val="bullet"/>
      <w:lvlText w:val="•"/>
      <w:lvlJc w:val="left"/>
      <w:pPr>
        <w:ind w:left="3568" w:hanging="360"/>
      </w:pPr>
      <w:rPr>
        <w:rFonts w:hint="default"/>
        <w:lang w:val="en-us" w:eastAsia="en-us" w:bidi="en-us"/>
      </w:rPr>
    </w:lvl>
    <w:lvl w:ilvl="4">
      <w:start w:val="0"/>
      <w:numFmt w:val="bullet"/>
      <w:lvlText w:val="•"/>
      <w:lvlJc w:val="left"/>
      <w:pPr>
        <w:ind w:left="4622" w:hanging="360"/>
      </w:pPr>
      <w:rPr>
        <w:rFonts w:hint="default"/>
        <w:lang w:val="en-us" w:eastAsia="en-us" w:bidi="en-us"/>
      </w:rPr>
    </w:lvl>
    <w:lvl w:ilvl="5">
      <w:start w:val="0"/>
      <w:numFmt w:val="bullet"/>
      <w:lvlText w:val="•"/>
      <w:lvlJc w:val="left"/>
      <w:pPr>
        <w:ind w:left="5676" w:hanging="360"/>
      </w:pPr>
      <w:rPr>
        <w:rFonts w:hint="default"/>
        <w:lang w:val="en-us" w:eastAsia="en-us" w:bidi="en-us"/>
      </w:rPr>
    </w:lvl>
    <w:lvl w:ilvl="6">
      <w:start w:val="0"/>
      <w:numFmt w:val="bullet"/>
      <w:lvlText w:val="•"/>
      <w:lvlJc w:val="left"/>
      <w:pPr>
        <w:ind w:left="6730" w:hanging="360"/>
      </w:pPr>
      <w:rPr>
        <w:rFonts w:hint="default"/>
        <w:lang w:val="en-us" w:eastAsia="en-us" w:bidi="en-us"/>
      </w:rPr>
    </w:lvl>
    <w:lvl w:ilvl="7">
      <w:start w:val="0"/>
      <w:numFmt w:val="bullet"/>
      <w:lvlText w:val="•"/>
      <w:lvlJc w:val="left"/>
      <w:pPr>
        <w:ind w:left="7784" w:hanging="360"/>
      </w:pPr>
      <w:rPr>
        <w:rFonts w:hint="default"/>
        <w:lang w:val="en-us" w:eastAsia="en-us" w:bidi="en-us"/>
      </w:rPr>
    </w:lvl>
    <w:lvl w:ilvl="8">
      <w:start w:val="0"/>
      <w:numFmt w:val="bullet"/>
      <w:lvlText w:val="•"/>
      <w:lvlJc w:val="left"/>
      <w:pPr>
        <w:ind w:left="8838" w:hanging="360"/>
      </w:pPr>
      <w:rPr>
        <w:rFonts w:hint="default"/>
        <w:lang w:val="en-us" w:eastAsia="en-us" w:bidi="en-us"/>
      </w:rPr>
    </w:lvl>
  </w:abstractNum>
  <w:abstractNum w:abstractNumId="2">
    <w:multiLevelType w:val="hybridMultilevel"/>
    <w:lvl w:ilvl="0">
      <w:start w:val="1"/>
      <w:numFmt w:val="decimal"/>
      <w:lvlText w:val="%1"/>
      <w:lvlJc w:val="left"/>
      <w:pPr>
        <w:ind w:left="742" w:hanging="624"/>
        <w:jc w:val="left"/>
      </w:pPr>
      <w:rPr>
        <w:rFonts w:hint="default"/>
        <w:lang w:val="en-us" w:eastAsia="en-us" w:bidi="en-us"/>
      </w:rPr>
    </w:lvl>
    <w:lvl w:ilvl="1">
      <w:start w:val="1"/>
      <w:numFmt w:val="decimal"/>
      <w:lvlText w:val="%1.%2"/>
      <w:lvlJc w:val="left"/>
      <w:pPr>
        <w:ind w:left="742" w:hanging="624"/>
        <w:jc w:val="left"/>
      </w:pPr>
      <w:rPr>
        <w:rFonts w:hint="default" w:ascii="Verdana" w:hAnsi="Verdana" w:eastAsia="Verdana" w:cs="Verdana"/>
        <w:b/>
        <w:bCs/>
        <w:spacing w:val="-2"/>
        <w:w w:val="100"/>
        <w:sz w:val="18"/>
        <w:szCs w:val="18"/>
        <w:lang w:val="en-us" w:eastAsia="en-us" w:bidi="en-us"/>
      </w:rPr>
    </w:lvl>
    <w:lvl w:ilvl="2">
      <w:start w:val="0"/>
      <w:numFmt w:val="bullet"/>
      <w:lvlText w:val="•"/>
      <w:lvlJc w:val="left"/>
      <w:pPr>
        <w:ind w:left="2781" w:hanging="624"/>
      </w:pPr>
      <w:rPr>
        <w:rFonts w:hint="default"/>
        <w:lang w:val="en-us" w:eastAsia="en-us" w:bidi="en-us"/>
      </w:rPr>
    </w:lvl>
    <w:lvl w:ilvl="3">
      <w:start w:val="0"/>
      <w:numFmt w:val="bullet"/>
      <w:lvlText w:val="•"/>
      <w:lvlJc w:val="left"/>
      <w:pPr>
        <w:ind w:left="3801" w:hanging="624"/>
      </w:pPr>
      <w:rPr>
        <w:rFonts w:hint="default"/>
        <w:lang w:val="en-us" w:eastAsia="en-us" w:bidi="en-us"/>
      </w:rPr>
    </w:lvl>
    <w:lvl w:ilvl="4">
      <w:start w:val="0"/>
      <w:numFmt w:val="bullet"/>
      <w:lvlText w:val="•"/>
      <w:lvlJc w:val="left"/>
      <w:pPr>
        <w:ind w:left="4822" w:hanging="624"/>
      </w:pPr>
      <w:rPr>
        <w:rFonts w:hint="default"/>
        <w:lang w:val="en-us" w:eastAsia="en-us" w:bidi="en-us"/>
      </w:rPr>
    </w:lvl>
    <w:lvl w:ilvl="5">
      <w:start w:val="0"/>
      <w:numFmt w:val="bullet"/>
      <w:lvlText w:val="•"/>
      <w:lvlJc w:val="left"/>
      <w:pPr>
        <w:ind w:left="5843" w:hanging="624"/>
      </w:pPr>
      <w:rPr>
        <w:rFonts w:hint="default"/>
        <w:lang w:val="en-us" w:eastAsia="en-us" w:bidi="en-us"/>
      </w:rPr>
    </w:lvl>
    <w:lvl w:ilvl="6">
      <w:start w:val="0"/>
      <w:numFmt w:val="bullet"/>
      <w:lvlText w:val="•"/>
      <w:lvlJc w:val="left"/>
      <w:pPr>
        <w:ind w:left="6863" w:hanging="624"/>
      </w:pPr>
      <w:rPr>
        <w:rFonts w:hint="default"/>
        <w:lang w:val="en-us" w:eastAsia="en-us" w:bidi="en-us"/>
      </w:rPr>
    </w:lvl>
    <w:lvl w:ilvl="7">
      <w:start w:val="0"/>
      <w:numFmt w:val="bullet"/>
      <w:lvlText w:val="•"/>
      <w:lvlJc w:val="left"/>
      <w:pPr>
        <w:ind w:left="7884" w:hanging="624"/>
      </w:pPr>
      <w:rPr>
        <w:rFonts w:hint="default"/>
        <w:lang w:val="en-us" w:eastAsia="en-us" w:bidi="en-us"/>
      </w:rPr>
    </w:lvl>
    <w:lvl w:ilvl="8">
      <w:start w:val="0"/>
      <w:numFmt w:val="bullet"/>
      <w:lvlText w:val="•"/>
      <w:lvlJc w:val="left"/>
      <w:pPr>
        <w:ind w:left="8905" w:hanging="624"/>
      </w:pPr>
      <w:rPr>
        <w:rFonts w:hint="default"/>
        <w:lang w:val="en-us" w:eastAsia="en-us" w:bidi="en-us"/>
      </w:rPr>
    </w:lvl>
  </w:abstractNum>
  <w:abstractNum w:abstractNumId="1">
    <w:multiLevelType w:val="hybridMultilevel"/>
    <w:lvl w:ilvl="0">
      <w:start w:val="1"/>
      <w:numFmt w:val="decimal"/>
      <w:lvlText w:val="%1."/>
      <w:lvlJc w:val="left"/>
      <w:pPr>
        <w:ind w:left="742" w:hanging="624"/>
        <w:jc w:val="left"/>
      </w:pPr>
      <w:rPr>
        <w:rFonts w:hint="default" w:ascii="Verdana" w:hAnsi="Verdana" w:eastAsia="Verdana" w:cs="Verdana"/>
        <w:b/>
        <w:bCs/>
        <w:color w:val="009DDF"/>
        <w:spacing w:val="-1"/>
        <w:w w:val="100"/>
        <w:sz w:val="28"/>
        <w:szCs w:val="28"/>
        <w:lang w:val="en-us" w:eastAsia="en-us" w:bidi="en-us"/>
      </w:rPr>
    </w:lvl>
    <w:lvl w:ilvl="1">
      <w:start w:val="0"/>
      <w:numFmt w:val="bullet"/>
      <w:lvlText w:val=""/>
      <w:lvlJc w:val="left"/>
      <w:pPr>
        <w:ind w:left="1082" w:hanging="341"/>
      </w:pPr>
      <w:rPr>
        <w:rFonts w:hint="default" w:ascii="Symbol" w:hAnsi="Symbol" w:eastAsia="Symbol" w:cs="Symbol"/>
        <w:w w:val="100"/>
        <w:sz w:val="18"/>
        <w:szCs w:val="18"/>
        <w:lang w:val="en-us" w:eastAsia="en-us" w:bidi="en-us"/>
      </w:rPr>
    </w:lvl>
    <w:lvl w:ilvl="2">
      <w:start w:val="0"/>
      <w:numFmt w:val="bullet"/>
      <w:lvlText w:val="•"/>
      <w:lvlJc w:val="left"/>
      <w:pPr>
        <w:ind w:left="2176" w:hanging="341"/>
      </w:pPr>
      <w:rPr>
        <w:rFonts w:hint="default"/>
        <w:lang w:val="en-us" w:eastAsia="en-us" w:bidi="en-us"/>
      </w:rPr>
    </w:lvl>
    <w:lvl w:ilvl="3">
      <w:start w:val="0"/>
      <w:numFmt w:val="bullet"/>
      <w:lvlText w:val="•"/>
      <w:lvlJc w:val="left"/>
      <w:pPr>
        <w:ind w:left="3272" w:hanging="341"/>
      </w:pPr>
      <w:rPr>
        <w:rFonts w:hint="default"/>
        <w:lang w:val="en-us" w:eastAsia="en-us" w:bidi="en-us"/>
      </w:rPr>
    </w:lvl>
    <w:lvl w:ilvl="4">
      <w:start w:val="0"/>
      <w:numFmt w:val="bullet"/>
      <w:lvlText w:val="•"/>
      <w:lvlJc w:val="left"/>
      <w:pPr>
        <w:ind w:left="4368" w:hanging="341"/>
      </w:pPr>
      <w:rPr>
        <w:rFonts w:hint="default"/>
        <w:lang w:val="en-us" w:eastAsia="en-us" w:bidi="en-us"/>
      </w:rPr>
    </w:lvl>
    <w:lvl w:ilvl="5">
      <w:start w:val="0"/>
      <w:numFmt w:val="bullet"/>
      <w:lvlText w:val="•"/>
      <w:lvlJc w:val="left"/>
      <w:pPr>
        <w:ind w:left="5465" w:hanging="341"/>
      </w:pPr>
      <w:rPr>
        <w:rFonts w:hint="default"/>
        <w:lang w:val="en-us" w:eastAsia="en-us" w:bidi="en-us"/>
      </w:rPr>
    </w:lvl>
    <w:lvl w:ilvl="6">
      <w:start w:val="0"/>
      <w:numFmt w:val="bullet"/>
      <w:lvlText w:val="•"/>
      <w:lvlJc w:val="left"/>
      <w:pPr>
        <w:ind w:left="6561" w:hanging="341"/>
      </w:pPr>
      <w:rPr>
        <w:rFonts w:hint="default"/>
        <w:lang w:val="en-us" w:eastAsia="en-us" w:bidi="en-us"/>
      </w:rPr>
    </w:lvl>
    <w:lvl w:ilvl="7">
      <w:start w:val="0"/>
      <w:numFmt w:val="bullet"/>
      <w:lvlText w:val="•"/>
      <w:lvlJc w:val="left"/>
      <w:pPr>
        <w:ind w:left="7657" w:hanging="341"/>
      </w:pPr>
      <w:rPr>
        <w:rFonts w:hint="default"/>
        <w:lang w:val="en-us" w:eastAsia="en-us" w:bidi="en-us"/>
      </w:rPr>
    </w:lvl>
    <w:lvl w:ilvl="8">
      <w:start w:val="0"/>
      <w:numFmt w:val="bullet"/>
      <w:lvlText w:val="•"/>
      <w:lvlJc w:val="left"/>
      <w:pPr>
        <w:ind w:left="8753" w:hanging="341"/>
      </w:pPr>
      <w:rPr>
        <w:rFonts w:hint="default"/>
        <w:lang w:val="en-us" w:eastAsia="en-us" w:bidi="en-us"/>
      </w:rPr>
    </w:lvl>
  </w:abstractNum>
  <w:abstractNum w:abstractNumId="0">
    <w:multiLevelType w:val="hybridMultilevel"/>
    <w:lvl w:ilvl="0">
      <w:start w:val="1"/>
      <w:numFmt w:val="decimal"/>
      <w:lvlText w:val="%1."/>
      <w:lvlJc w:val="left"/>
      <w:pPr>
        <w:ind w:left="1082" w:hanging="852"/>
        <w:jc w:val="left"/>
      </w:pPr>
      <w:rPr>
        <w:rFonts w:hint="default" w:ascii="Verdana" w:hAnsi="Verdana" w:eastAsia="Verdana" w:cs="Verdana"/>
        <w:b/>
        <w:bCs/>
        <w:spacing w:val="-1"/>
        <w:w w:val="100"/>
        <w:sz w:val="18"/>
        <w:szCs w:val="18"/>
        <w:lang w:val="en-us" w:eastAsia="en-us" w:bidi="en-us"/>
      </w:rPr>
    </w:lvl>
    <w:lvl w:ilvl="1">
      <w:start w:val="1"/>
      <w:numFmt w:val="decimal"/>
      <w:lvlText w:val="%1.%2"/>
      <w:lvlJc w:val="left"/>
      <w:pPr>
        <w:ind w:left="1082" w:hanging="852"/>
        <w:jc w:val="left"/>
      </w:pPr>
      <w:rPr>
        <w:rFonts w:hint="default" w:ascii="Verdana" w:hAnsi="Verdana" w:eastAsia="Verdana" w:cs="Verdana"/>
        <w:spacing w:val="-2"/>
        <w:w w:val="100"/>
        <w:sz w:val="18"/>
        <w:szCs w:val="18"/>
        <w:lang w:val="en-us" w:eastAsia="en-us" w:bidi="en-us"/>
      </w:rPr>
    </w:lvl>
    <w:lvl w:ilvl="2">
      <w:start w:val="0"/>
      <w:numFmt w:val="bullet"/>
      <w:lvlText w:val="•"/>
      <w:lvlJc w:val="left"/>
      <w:pPr>
        <w:ind w:left="3053" w:hanging="852"/>
      </w:pPr>
      <w:rPr>
        <w:rFonts w:hint="default"/>
        <w:lang w:val="en-us" w:eastAsia="en-us" w:bidi="en-us"/>
      </w:rPr>
    </w:lvl>
    <w:lvl w:ilvl="3">
      <w:start w:val="0"/>
      <w:numFmt w:val="bullet"/>
      <w:lvlText w:val="•"/>
      <w:lvlJc w:val="left"/>
      <w:pPr>
        <w:ind w:left="4039" w:hanging="852"/>
      </w:pPr>
      <w:rPr>
        <w:rFonts w:hint="default"/>
        <w:lang w:val="en-us" w:eastAsia="en-us" w:bidi="en-us"/>
      </w:rPr>
    </w:lvl>
    <w:lvl w:ilvl="4">
      <w:start w:val="0"/>
      <w:numFmt w:val="bullet"/>
      <w:lvlText w:val="•"/>
      <w:lvlJc w:val="left"/>
      <w:pPr>
        <w:ind w:left="5026" w:hanging="852"/>
      </w:pPr>
      <w:rPr>
        <w:rFonts w:hint="default"/>
        <w:lang w:val="en-us" w:eastAsia="en-us" w:bidi="en-us"/>
      </w:rPr>
    </w:lvl>
    <w:lvl w:ilvl="5">
      <w:start w:val="0"/>
      <w:numFmt w:val="bullet"/>
      <w:lvlText w:val="•"/>
      <w:lvlJc w:val="left"/>
      <w:pPr>
        <w:ind w:left="6013" w:hanging="852"/>
      </w:pPr>
      <w:rPr>
        <w:rFonts w:hint="default"/>
        <w:lang w:val="en-us" w:eastAsia="en-us" w:bidi="en-us"/>
      </w:rPr>
    </w:lvl>
    <w:lvl w:ilvl="6">
      <w:start w:val="0"/>
      <w:numFmt w:val="bullet"/>
      <w:lvlText w:val="•"/>
      <w:lvlJc w:val="left"/>
      <w:pPr>
        <w:ind w:left="6999" w:hanging="852"/>
      </w:pPr>
      <w:rPr>
        <w:rFonts w:hint="default"/>
        <w:lang w:val="en-us" w:eastAsia="en-us" w:bidi="en-us"/>
      </w:rPr>
    </w:lvl>
    <w:lvl w:ilvl="7">
      <w:start w:val="0"/>
      <w:numFmt w:val="bullet"/>
      <w:lvlText w:val="•"/>
      <w:lvlJc w:val="left"/>
      <w:pPr>
        <w:ind w:left="7986" w:hanging="852"/>
      </w:pPr>
      <w:rPr>
        <w:rFonts w:hint="default"/>
        <w:lang w:val="en-us" w:eastAsia="en-us" w:bidi="en-us"/>
      </w:rPr>
    </w:lvl>
    <w:lvl w:ilvl="8">
      <w:start w:val="0"/>
      <w:numFmt w:val="bullet"/>
      <w:lvlText w:val="•"/>
      <w:lvlJc w:val="left"/>
      <w:pPr>
        <w:ind w:left="8973" w:hanging="852"/>
      </w:pPr>
      <w:rPr>
        <w:rFonts w:hint="default"/>
        <w:lang w:val="en-us" w:eastAsia="en-us" w:bidi="en-us"/>
      </w:rPr>
    </w:lvl>
  </w:abstractNum>
  <w:num w:numId="22">
    <w:abstractNumId w:val="21"/>
  </w:num>
  <w:num w:numId="25">
    <w:abstractNumId w:val="24"/>
  </w:num>
  <w:num w:numId="24">
    <w:abstractNumId w:val="23"/>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en-us"/>
    </w:rPr>
  </w:style>
  <w:style w:styleId="TOC1" w:type="paragraph">
    <w:name w:val="TOC 1"/>
    <w:basedOn w:val="Normal"/>
    <w:uiPriority w:val="1"/>
    <w:qFormat/>
    <w:pPr>
      <w:spacing w:before="141"/>
      <w:ind w:left="1082" w:hanging="852"/>
    </w:pPr>
    <w:rPr>
      <w:rFonts w:ascii="Verdana" w:hAnsi="Verdana" w:eastAsia="Verdana" w:cs="Verdana"/>
      <w:b/>
      <w:bCs/>
      <w:sz w:val="18"/>
      <w:szCs w:val="18"/>
      <w:lang w:val="en-us" w:eastAsia="en-us" w:bidi="en-us"/>
    </w:rPr>
  </w:style>
  <w:style w:styleId="TOC2" w:type="paragraph">
    <w:name w:val="TOC 2"/>
    <w:basedOn w:val="Normal"/>
    <w:uiPriority w:val="1"/>
    <w:qFormat/>
    <w:pPr>
      <w:spacing w:before="21"/>
      <w:ind w:left="1082" w:hanging="852"/>
    </w:pPr>
    <w:rPr>
      <w:rFonts w:ascii="Verdana" w:hAnsi="Verdana" w:eastAsia="Verdana" w:cs="Verdana"/>
      <w:sz w:val="18"/>
      <w:szCs w:val="18"/>
      <w:lang w:val="en-us" w:eastAsia="en-us" w:bidi="en-us"/>
    </w:rPr>
  </w:style>
  <w:style w:styleId="BodyText" w:type="paragraph">
    <w:name w:val="Body Text"/>
    <w:basedOn w:val="Normal"/>
    <w:uiPriority w:val="1"/>
    <w:qFormat/>
    <w:pPr/>
    <w:rPr>
      <w:rFonts w:ascii="Verdana" w:hAnsi="Verdana" w:eastAsia="Verdana" w:cs="Verdana"/>
      <w:sz w:val="18"/>
      <w:szCs w:val="18"/>
      <w:lang w:val="en-us" w:eastAsia="en-us" w:bidi="en-us"/>
    </w:rPr>
  </w:style>
  <w:style w:styleId="Heading1" w:type="paragraph">
    <w:name w:val="Heading 1"/>
    <w:basedOn w:val="Normal"/>
    <w:uiPriority w:val="1"/>
    <w:qFormat/>
    <w:pPr>
      <w:spacing w:before="110"/>
      <w:ind w:left="742" w:hanging="624"/>
      <w:outlineLvl w:val="1"/>
    </w:pPr>
    <w:rPr>
      <w:rFonts w:ascii="Verdana" w:hAnsi="Verdana" w:eastAsia="Verdana" w:cs="Verdana"/>
      <w:b/>
      <w:bCs/>
      <w:sz w:val="28"/>
      <w:szCs w:val="28"/>
      <w:lang w:val="en-us" w:eastAsia="en-us" w:bidi="en-us"/>
    </w:rPr>
  </w:style>
  <w:style w:styleId="Heading2" w:type="paragraph">
    <w:name w:val="Heading 2"/>
    <w:basedOn w:val="Normal"/>
    <w:uiPriority w:val="1"/>
    <w:qFormat/>
    <w:pPr>
      <w:ind w:left="742" w:hanging="624"/>
      <w:outlineLvl w:val="2"/>
    </w:pPr>
    <w:rPr>
      <w:rFonts w:ascii="Verdana" w:hAnsi="Verdana" w:eastAsia="Verdana" w:cs="Verdana"/>
      <w:b/>
      <w:bCs/>
      <w:sz w:val="18"/>
      <w:szCs w:val="18"/>
      <w:lang w:val="en-us" w:eastAsia="en-us" w:bidi="en-us"/>
    </w:rPr>
  </w:style>
  <w:style w:styleId="ListParagraph" w:type="paragraph">
    <w:name w:val="List Paragraph"/>
    <w:basedOn w:val="Normal"/>
    <w:uiPriority w:val="1"/>
    <w:qFormat/>
    <w:pPr>
      <w:ind w:left="1082" w:hanging="624"/>
    </w:pPr>
    <w:rPr>
      <w:rFonts w:ascii="Verdana" w:hAnsi="Verdana" w:eastAsia="Verdana" w:cs="Verdana"/>
      <w:lang w:val="en-us" w:eastAsia="en-us" w:bidi="en-us"/>
    </w:rPr>
  </w:style>
  <w:style w:styleId="TableParagraph" w:type="paragraph">
    <w:name w:val="Table Paragraph"/>
    <w:basedOn w:val="Normal"/>
    <w:uiPriority w:val="1"/>
    <w:qFormat/>
    <w:pPr>
      <w:spacing w:before="40"/>
      <w:ind w:left="107"/>
    </w:pPr>
    <w:rPr>
      <w:rFonts w:ascii="Verdana" w:hAnsi="Verdana" w:eastAsia="Verdana" w:cs="Verdan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brla@ramboll.com" TargetMode="External"/><Relationship Id="rId8" Type="http://schemas.openxmlformats.org/officeDocument/2006/relationships/hyperlink" Target="mailto:rflytkjaer@londoneconomics.co.uk" TargetMode="External"/><Relationship Id="rId9" Type="http://schemas.openxmlformats.org/officeDocument/2006/relationships/hyperlink" Target="mailto:tuh@ramboll.com" TargetMode="External"/><Relationship Id="rId10" Type="http://schemas.openxmlformats.org/officeDocument/2006/relationships/hyperlink" Target="mailto:sfr@ramboll.com" TargetMode="External"/><Relationship Id="rId11" Type="http://schemas.openxmlformats.org/officeDocument/2006/relationships/hyperlink" Target="http://www.ramboll.dk/" TargetMode="External"/><Relationship Id="rId12" Type="http://schemas.openxmlformats.org/officeDocument/2006/relationships/hyperlink" Target="http://www.londoneconomics.co.uk/"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hyperlink" Target="http://www.space.com/19623-tycho-brahe-biography.html" TargetMode="External"/><Relationship Id="rId22" Type="http://schemas.openxmlformats.org/officeDocument/2006/relationships/hyperlink" Target="http://www.nbi.ku.dk/hhh/roemer/roemer/lysets_toeven/" TargetMode="External"/><Relationship Id="rId23" Type="http://schemas.openxmlformats.org/officeDocument/2006/relationships/hyperlink" Target="http://universitetsavisen.ku.dk/dokument2/dokument2/dokument7/Uni10.01.pdf" TargetMode="External"/><Relationship Id="rId24" Type="http://schemas.openxmlformats.org/officeDocument/2006/relationships/hyperlink" Target="https://www.eso.org/sci/publications/messenger/archive/no.49-sep87/messenger-no49-1-1.pdf" TargetMode="External"/><Relationship Id="rId25" Type="http://schemas.openxmlformats.org/officeDocument/2006/relationships/hyperlink" Target="http://rumfart.dk/vis.asp?artikelid=243" TargetMode="External"/><Relationship Id="rId26" Type="http://schemas.openxmlformats.org/officeDocument/2006/relationships/hyperlink" Target="http://www.esa.int/About_Us/Welcome_to_ESA/ESA_history/ELDO_ESRO_ESA_br_Key_dates_1960-2014" TargetMode="External"/><Relationship Id="rId27" Type="http://schemas.openxmlformats.org/officeDocument/2006/relationships/hyperlink" Target="http://rumfart.dk/vis.asp?id=352" TargetMode="External"/><Relationship Id="rId28" Type="http://schemas.openxmlformats.org/officeDocument/2006/relationships/hyperlink" Target="http://planetariet.dk/artikel/tillykke-%C3%B8rsted" TargetMode="External"/><Relationship Id="rId29" Type="http://schemas.openxmlformats.org/officeDocument/2006/relationships/hyperlink" Target="http://www.computerworld.dk/art/109178/stikket-blev-trukket-ud"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hyperlink" Target="http://www.esa.int/Our_Activities/Human_Spaceflight/International_Space_Station/How_much_does_it_cost" TargetMode="External"/><Relationship Id="rId36" Type="http://schemas.openxmlformats.org/officeDocument/2006/relationships/hyperlink" Target="http://economics.mit.edu/files/4342" TargetMode="Externa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png"/><Relationship Id="rId56" Type="http://schemas.openxmlformats.org/officeDocument/2006/relationships/hyperlink" Target="http://www.ft.dk/samling/20151/lovforslag/L128/index.htm" TargetMode="External"/><Relationship Id="rId57" Type="http://schemas.openxmlformats.org/officeDocument/2006/relationships/image" Target="media/image33.jpeg"/><Relationship Id="rId58" Type="http://schemas.openxmlformats.org/officeDocument/2006/relationships/image" Target="media/image34.png"/><Relationship Id="rId59" Type="http://schemas.openxmlformats.org/officeDocument/2006/relationships/hyperlink" Target="http://www.gsa.europa.eu/news/support-egnos-and-galileo-crucial-europes-citizens" TargetMode="External"/><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jpeg"/><Relationship Id="rId65" Type="http://schemas.openxmlformats.org/officeDocument/2006/relationships/hyperlink" Target="http://londoneconomics.co.uk/blog/publication/return-from-public-space-investments-an-initial-analysis-of-evidence-november-2015/" TargetMode="External"/><Relationship Id="rId66" Type="http://schemas.openxmlformats.org/officeDocument/2006/relationships/footer" Target="footer3.xml"/><Relationship Id="rId67" Type="http://schemas.openxmlformats.org/officeDocument/2006/relationships/hyperlink" Target="https://news.mongabay.com/2013/05/brazils-satellite-monitoring-reduced-amazon-deforestation-by-60000-sq-km-in-5-years/" TargetMode="External"/><Relationship Id="rId68" Type="http://schemas.openxmlformats.org/officeDocument/2006/relationships/image" Target="media/image40.jpeg"/><Relationship Id="rId69" Type="http://schemas.openxmlformats.org/officeDocument/2006/relationships/hyperlink" Target="http://www.eumetsat.int/website/home/AboutUs/WhoWeAre/index.html" TargetMode="External"/><Relationship Id="rId70" Type="http://schemas.openxmlformats.org/officeDocument/2006/relationships/hyperlink" Target="http://www.dmi.dk/fileadmin/user_upload/2011-nyheder/December/an6_11gps.pdf" TargetMode="External"/><Relationship Id="rId71" Type="http://schemas.openxmlformats.org/officeDocument/2006/relationships/hyperlink" Target="http://londoneconomics.co.uk/blog/publication/met-office-general-review-march-2016/" TargetMode="External"/><Relationship Id="rId72" Type="http://schemas.openxmlformats.org/officeDocument/2006/relationships/hyperlink" Target="http://www.eswd.eu/" TargetMode="External"/><Relationship Id="rId73" Type="http://schemas.openxmlformats.org/officeDocument/2006/relationships/hyperlink" Target="http://www.wmo.int/pages/prog/sat/meetings/documents/PSTG-3_Doc_11-04_MetOP-SG.pdf" TargetMode="External"/><Relationship Id="rId74" Type="http://schemas.openxmlformats.org/officeDocument/2006/relationships/hyperlink" Target="http://www.navipedia.net/index.php/EGNOS_Ground_Segment" TargetMode="External"/><Relationship Id="rId75" Type="http://schemas.openxmlformats.org/officeDocument/2006/relationships/hyperlink" Target="http://www.faa.gov/about/office_org/headquarters_offices/ato/service_units/techops/navservices/gnss/gps/policy/presidential/?print=go&amp;amp;1" TargetMode="External"/><Relationship Id="rId76" Type="http://schemas.openxmlformats.org/officeDocument/2006/relationships/footer" Target="footer4.xml"/><Relationship Id="rId77" Type="http://schemas.openxmlformats.org/officeDocument/2006/relationships/hyperlink" Target="http://www.gsa.europa.eu/news/gnssasia-challenge-promotes-galileo-asia-pacific" TargetMode="External"/><Relationship Id="rId78" Type="http://schemas.openxmlformats.org/officeDocument/2006/relationships/hyperlink" Target="http://ec.europa.eu/transport/themes/its/road/action_plan/ecall_en.htm" TargetMode="External"/><Relationship Id="rId79" Type="http://schemas.openxmlformats.org/officeDocument/2006/relationships/hyperlink" Target="http://slks.dk/fileadmin/user_upload/dokumenter/medier/Tv/Generelt/Fjernsynets_historie_Erling_Madsen_BFE.pdf" TargetMode="External"/><Relationship Id="rId80" Type="http://schemas.openxmlformats.org/officeDocument/2006/relationships/image" Target="media/image41.jpeg"/><Relationship Id="rId81" Type="http://schemas.openxmlformats.org/officeDocument/2006/relationships/hyperlink" Target="http://www.naviair.dk/aireon.1238.aspx" TargetMode="External"/><Relationship Id="rId82" Type="http://schemas.openxmlformats.org/officeDocument/2006/relationships/image" Target="media/image42.jpeg"/><Relationship Id="rId83" Type="http://schemas.openxmlformats.org/officeDocument/2006/relationships/hyperlink" Target="http://www.seafish.org/media/742176/seafishguidetoiuu_201211.pdf" TargetMode="External"/><Relationship Id="rId84" Type="http://schemas.openxmlformats.org/officeDocument/2006/relationships/hyperlink" Target="https://sa.catapult.org.uk/%20documents/10625/53165/Case%2BStudy%2B-%2BIUU%2B-%2BJuly%2B2014Final.pdf/fd32b1e8-f441-4cf1-a1b6-95764300b142" TargetMode="External"/><Relationship Id="rId85" Type="http://schemas.openxmlformats.org/officeDocument/2006/relationships/hyperlink" Target="http://www.space.aau.dk/aausat3/" TargetMode="External"/><Relationship Id="rId86" Type="http://schemas.openxmlformats.org/officeDocument/2006/relationships/hyperlink" Target="http://www.space.aau.dk/aausat4/" TargetMode="External"/><Relationship Id="rId87" Type="http://schemas.openxmlformats.org/officeDocument/2006/relationships/hyperlink" Target="http://gomspace.com/index.php?p=products-satlabais" TargetMode="External"/><Relationship Id="rId88" Type="http://schemas.openxmlformats.org/officeDocument/2006/relationships/hyperlink" Target="http://www.exactearth.com/" TargetMode="External"/><Relationship Id="rId89" Type="http://schemas.openxmlformats.org/officeDocument/2006/relationships/image" Target="media/image43.png"/><Relationship Id="rId90" Type="http://schemas.openxmlformats.org/officeDocument/2006/relationships/hyperlink" Target="http://www.videnscenterfordemens.dk/pleje-og-behandling/pleje-og-omsorg/teknologiske-hjaelpemidler/gps-sporingsenhed-til-personer-med-demens/" TargetMode="External"/><Relationship Id="rId91" Type="http://schemas.openxmlformats.org/officeDocument/2006/relationships/hyperlink" Target="http://www.digst.dk/%7E/media/Afsluttede-projekter/GPS-med-tilkaldeknap-til-demente/Slutevaluering---GPS-til-demente.pdf?la=da" TargetMode="External"/><Relationship Id="rId92" Type="http://schemas.openxmlformats.org/officeDocument/2006/relationships/hyperlink" Target="http://sarita.dk/" TargetMode="External"/><Relationship Id="rId93" Type="http://schemas.openxmlformats.org/officeDocument/2006/relationships/image" Target="media/image44.png"/><Relationship Id="rId94" Type="http://schemas.openxmlformats.org/officeDocument/2006/relationships/hyperlink" Target="http://www.terma.com/space/terma-space-missions/" TargetMode="External"/><Relationship Id="rId95" Type="http://schemas.openxmlformats.org/officeDocument/2006/relationships/hyperlink" Target="http://www.space.dtu.dk/Forskning/Projekter/Oersted_satellitten" TargetMode="External"/><Relationship Id="rId96" Type="http://schemas.openxmlformats.org/officeDocument/2006/relationships/hyperlink" Target="http://www.flux.dk/markets/space.aspx" TargetMode="External"/><Relationship Id="rId97" Type="http://schemas.openxmlformats.org/officeDocument/2006/relationships/hyperlink" Target="http://www.cobhaminvestors.com/our-business-and-strategy/acquisitions-and-disposals.aspx" TargetMode="External"/><Relationship Id="rId98" Type="http://schemas.openxmlformats.org/officeDocument/2006/relationships/hyperlink" Target="http://www.ticra.com/products/software" TargetMode="External"/><Relationship Id="rId99" Type="http://schemas.openxmlformats.org/officeDocument/2006/relationships/image" Target="media/image45.png"/><Relationship Id="rId100" Type="http://schemas.openxmlformats.org/officeDocument/2006/relationships/image" Target="media/image46.png"/><Relationship Id="rId101" Type="http://schemas.openxmlformats.org/officeDocument/2006/relationships/image" Target="media/image47.png"/><Relationship Id="rId102" Type="http://schemas.openxmlformats.org/officeDocument/2006/relationships/hyperlink" Target="http://spacefrontier.org/what-is-newspace/" TargetMode="External"/><Relationship Id="rId103" Type="http://schemas.openxmlformats.org/officeDocument/2006/relationships/hyperlink" Target="http://www.hobbyspace.com/NewSpace/index.html#Define" TargetMode="External"/><Relationship Id="rId104" Type="http://schemas.openxmlformats.org/officeDocument/2006/relationships/hyperlink" Target="https://agenda.weforum.org/2014/01/are-you-ready-for-the-internet-of-everything/" TargetMode="External"/><Relationship Id="rId105" Type="http://schemas.openxmlformats.org/officeDocument/2006/relationships/hyperlink" Target="http://www.nasa.gov/centers/marshall/news/background/facts/astp.html_prt.htm" TargetMode="External"/><Relationship Id="rId106" Type="http://schemas.openxmlformats.org/officeDocument/2006/relationships/hyperlink" Target="https://next.ft.com/content/2ad23aca-e55a-11e4-bb4b-00144feab7de" TargetMode="External"/><Relationship Id="rId107" Type="http://schemas.openxmlformats.org/officeDocument/2006/relationships/image" Target="media/image48.png"/><Relationship Id="rId108" Type="http://schemas.openxmlformats.org/officeDocument/2006/relationships/footer" Target="footer5.xml"/><Relationship Id="rId109" Type="http://schemas.openxmlformats.org/officeDocument/2006/relationships/image" Target="media/image49.jpeg"/><Relationship Id="rId110" Type="http://schemas.openxmlformats.org/officeDocument/2006/relationships/image" Target="media/image50.jpeg"/><Relationship Id="rId111" Type="http://schemas.openxmlformats.org/officeDocument/2006/relationships/image" Target="media/image51.jpeg"/><Relationship Id="rId112" Type="http://schemas.openxmlformats.org/officeDocument/2006/relationships/image" Target="media/image52.jpeg"/><Relationship Id="rId113" Type="http://schemas.openxmlformats.org/officeDocument/2006/relationships/image" Target="media/image53.png"/><Relationship Id="rId114" Type="http://schemas.openxmlformats.org/officeDocument/2006/relationships/image" Target="media/image54.png"/><Relationship Id="rId115" Type="http://schemas.openxmlformats.org/officeDocument/2006/relationships/image" Target="media/image55.jpeg"/><Relationship Id="rId116" Type="http://schemas.openxmlformats.org/officeDocument/2006/relationships/image" Target="media/image56.jpeg"/><Relationship Id="rId117" Type="http://schemas.openxmlformats.org/officeDocument/2006/relationships/hyperlink" Target="http://www.112app.dk/" TargetMode="External"/><Relationship Id="rId118" Type="http://schemas.openxmlformats.org/officeDocument/2006/relationships/footer" Target="footer6.xml"/><Relationship Id="rId119" Type="http://schemas.openxmlformats.org/officeDocument/2006/relationships/hyperlink" Target="http://www.cubris.dk/" TargetMode="External"/><Relationship Id="rId120" Type="http://schemas.openxmlformats.org/officeDocument/2006/relationships/hyperlink" Target="http://www.transrail.se/cato.php?lang=en" TargetMode="External"/><Relationship Id="rId121" Type="http://schemas.openxmlformats.org/officeDocument/2006/relationships/hyperlink" Target="http://www.slideshare.net/jenspeterhansen/uptake-of-gnss-technology-amongst-danish-farmers-23397745" TargetMode="External"/><Relationship Id="rId122" Type="http://schemas.openxmlformats.org/officeDocument/2006/relationships/hyperlink" Target="https://www.blackbox.dk/_AppData/cms/file/AS%20storeb%C3%A6lt.pdf" TargetMode="External"/><Relationship Id="rId123" Type="http://schemas.openxmlformats.org/officeDocument/2006/relationships/image" Target="media/image57.png"/><Relationship Id="rId124" Type="http://schemas.openxmlformats.org/officeDocument/2006/relationships/footer" Target="footer7.xml"/><Relationship Id="rId125" Type="http://schemas.openxmlformats.org/officeDocument/2006/relationships/image" Target="media/image58.png"/><Relationship Id="rId126" Type="http://schemas.openxmlformats.org/officeDocument/2006/relationships/hyperlink" Target="http://www.business.dk/ejendom/tyveri-og-haervaerk-paa-byggepladser" TargetMode="External"/><Relationship Id="rId127" Type="http://schemas.openxmlformats.org/officeDocument/2006/relationships/hyperlink" Target="http://www.copernicus.eu/main/brochure" TargetMode="External"/><Relationship Id="rId128" Type="http://schemas.openxmlformats.org/officeDocument/2006/relationships/image" Target="media/image59.png"/><Relationship Id="rId129" Type="http://schemas.openxmlformats.org/officeDocument/2006/relationships/image" Target="media/image60.jpeg"/><Relationship Id="rId130" Type="http://schemas.openxmlformats.org/officeDocument/2006/relationships/hyperlink" Target="http://www.fieldsensapp.com/" TargetMode="External"/><Relationship Id="rId131" Type="http://schemas.openxmlformats.org/officeDocument/2006/relationships/hyperlink" Target="http://www.innovationsfonden.dk/en/node/733" TargetMode="External"/><Relationship Id="rId132" Type="http://schemas.openxmlformats.org/officeDocument/2006/relationships/hyperlink" Target="http://www.e-pages.dk/aarhusuniversitet/1133/fullpdf/1.pdf" TargetMode="External"/><Relationship Id="rId133" Type="http://schemas.openxmlformats.org/officeDocument/2006/relationships/hyperlink" Target="https://projekter.vfl.dk/Projekter/erhvervsudviklingsordningen/2015/effektive_behovsbestemte_plantevaernsstrategier_2723/Filer/pl_15_2304_tabel_1.pdf" TargetMode="External"/><Relationship Id="rId134" Type="http://schemas.openxmlformats.org/officeDocument/2006/relationships/hyperlink" Target="http://www.esa.int/Our_Activities/Observing_the_Earth/Copernicus/Help_bring_satellite_data_down_to_Earth" TargetMode="External"/><Relationship Id="rId135" Type="http://schemas.openxmlformats.org/officeDocument/2006/relationships/hyperlink" Target="http://www.esa.int/Our_Activities/Telecommunications_Integrated_Applications/Integrated_Applications_Promotion_IAP" TargetMode="External"/><Relationship Id="rId136" Type="http://schemas.openxmlformats.org/officeDocument/2006/relationships/hyperlink" Target="http://www.spaceforsmartergovernment.uk/workspace/assets/files/sbri-space-for-smarter-governm-559e7942ebbc7.pdf" TargetMode="External"/><Relationship Id="rId137" Type="http://schemas.openxmlformats.org/officeDocument/2006/relationships/hyperlink" Target="http://www.spaceforsmartergovernment.uk/case-study/deos-consultancy-always-connected-mobile-medical-screening/" TargetMode="External"/><Relationship Id="rId138" Type="http://schemas.openxmlformats.org/officeDocument/2006/relationships/hyperlink" Target="https://astrosat.biz/" TargetMode="External"/><Relationship Id="rId139" Type="http://schemas.openxmlformats.org/officeDocument/2006/relationships/image" Target="media/image61.jpeg"/><Relationship Id="rId140" Type="http://schemas.openxmlformats.org/officeDocument/2006/relationships/hyperlink" Target="http://www.pixalytics.com/tag/earth-observation/" TargetMode="External"/><Relationship Id="rId141" Type="http://schemas.openxmlformats.org/officeDocument/2006/relationships/hyperlink" Target="http://www.gsa.europa.eu/market/market-report" TargetMode="External"/><Relationship Id="rId142" Type="http://schemas.openxmlformats.org/officeDocument/2006/relationships/footer" Target="footer8.xml"/><Relationship Id="rId143" Type="http://schemas.openxmlformats.org/officeDocument/2006/relationships/image" Target="media/image62.jpeg"/><Relationship Id="rId144" Type="http://schemas.openxmlformats.org/officeDocument/2006/relationships/hyperlink" Target="https://www.realdaniadebat.dk/privatboligforum/Pages/Debatm%C3%B8de-i-Privat-Boligforum-03-09-2015.aspx" TargetMode="External"/><Relationship Id="rId145" Type="http://schemas.openxmlformats.org/officeDocument/2006/relationships/hyperlink" Target="http://www.klimatilpasning.dk/aktuelt/nyheder/2015/april-2015/rumteknologi-mod-oversvoemmelser.aspx" TargetMode="External"/><Relationship Id="rId146" Type="http://schemas.openxmlformats.org/officeDocument/2006/relationships/hyperlink" Target="http://gpsworld.com/centimeter-level-rtk-accuracy-more-and-more-available-for-less-and-less/" TargetMode="External"/><Relationship Id="rId147" Type="http://schemas.openxmlformats.org/officeDocument/2006/relationships/hyperlink" Target="http://www.leica-geosystems.dk/dk/Leica-SmartNet-Danmark_74970.htm" TargetMode="External"/><Relationship Id="rId148" Type="http://schemas.openxmlformats.org/officeDocument/2006/relationships/hyperlink" Target="http://www.geoteam.dk/produkter/gpsnetdk/entreprenoerer.html" TargetMode="External"/><Relationship Id="rId149" Type="http://schemas.openxmlformats.org/officeDocument/2006/relationships/hyperlink" Target="http://topconcare.com/roi-calculators/3d-mc-3d-mc2-roadwork-roi-calculator/" TargetMode="External"/><Relationship Id="rId150" Type="http://schemas.openxmlformats.org/officeDocument/2006/relationships/hyperlink" Target="https://www.ice.org.uk/disciplines-and-resources/case-studies/crossrail-tunnel-construction-monitoring" TargetMode="External"/><Relationship Id="rId151" Type="http://schemas.openxmlformats.org/officeDocument/2006/relationships/hyperlink" Target="http://www.ens.dk/forbrug-besparelser/energibesparelser-offentlige-sektor" TargetMode="External"/><Relationship Id="rId152" Type="http://schemas.openxmlformats.org/officeDocument/2006/relationships/hyperlink" Target="http://www.ens.dk/forbrug-besparelser/energirenoveringsstrategi/strategi-energirenovering-bygninger" TargetMode="External"/><Relationship Id="rId153" Type="http://schemas.openxmlformats.org/officeDocument/2006/relationships/hyperlink" Target="https://astrosat.biz/products/thermcert" TargetMode="External"/><Relationship Id="rId154" Type="http://schemas.openxmlformats.org/officeDocument/2006/relationships/hyperlink" Target="http://energinet.dk/DA/OM-OS/Om-virksomheden/Sider/default.aspx" TargetMode="External"/><Relationship Id="rId155" Type="http://schemas.openxmlformats.org/officeDocument/2006/relationships/hyperlink" Target="http://www.ens.dk/politik/dansk-klima-energipolitik" TargetMode="External"/><Relationship Id="rId156" Type="http://schemas.openxmlformats.org/officeDocument/2006/relationships/image" Target="media/image63.jpeg"/><Relationship Id="rId157" Type="http://schemas.openxmlformats.org/officeDocument/2006/relationships/hyperlink" Target="http://www.remss.com/about/who-we-are" TargetMode="External"/><Relationship Id="rId1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Landbo</dc:creator>
  <dc:title>Report</dc:title>
  <dcterms:created xsi:type="dcterms:W3CDTF">2019-09-16T09:17:56Z</dcterms:created>
  <dcterms:modified xsi:type="dcterms:W3CDTF">2019-09-16T09:17:56Z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2016-06-21T00:00:00Z</vt:filetime>
  </property>
  <property fmtid="{D5CDD505-2E9C-101B-9397-08002B2CF9AE}" pid="3" name="Creator">
    <vt:lpwstr>Microsoft® Word 2010</vt:lpwstr>
  </property>
  <property fmtid="{D5CDD505-2E9C-101B-9397-08002B2CF9AE}" pid="4" name="LastSaved">
    <vt:filetime>2019-09-16T00:00:00Z</vt:filetime>
  </property>
</Properties>
</file>