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6"/>
        </w:rPr>
      </w:pPr>
      <w:r>
        <w:rPr/>
        <w:pict>
          <v:group style="position:absolute;margin-left:0pt;margin-top:338.740021pt;width:595.3pt;height:503.15pt;mso-position-horizontal-relative:page;mso-position-vertical-relative:page;z-index:1048" coordorigin="0,6775" coordsize="11906,10063">
            <v:shape style="position:absolute;left:0;top:6774;width:11906;height:10063" type="#_x0000_t75" stroked="false">
              <v:imagedata r:id="rId5" o:title=""/>
            </v:shape>
            <v:shape style="position:absolute;left:1323;top:10578;width:1321;height:1321" coordorigin="1323,10579" coordsize="1321,1321" path="m1984,10579l1907,10583,1832,10596,1761,10617,1693,10646,1630,10682,1571,10724,1517,10772,1469,10826,1426,10885,1391,10949,1362,11017,1341,11088,1328,11162,1323,11239,1328,11316,1341,11391,1362,11462,1391,11530,1426,11593,1469,11652,1517,11706,1571,11755,1630,11797,1693,11833,1761,11861,1832,11882,1907,11895,1984,11900,2061,11895,2135,11882,2207,11861,2274,11833,2338,11797,2397,11755,2451,11706,2499,11652,2542,11593,2577,11530,2606,11462,2627,11391,2640,11316,2644,11239,2640,11162,2627,11088,2606,11017,2577,10949,2542,10885,2499,10826,2451,10772,2397,10724,2338,10682,2274,10646,2207,10617,2135,10596,2061,10583,1984,10579xe" filled="true" fillcolor="#84ccf1" stroked="false">
              <v:path arrowok="t"/>
              <v:fill type="solid"/>
            </v:shape>
            <v:shape style="position:absolute;left:0;top:6774;width:11906;height:10063" type="#_x0000_t75" stroked="false">
              <v:imagedata r:id="rId6" o:title=""/>
            </v:shape>
            <w10:wrap type="none"/>
          </v:group>
        </w:pict>
      </w:r>
    </w:p>
    <w:p>
      <w:pPr>
        <w:tabs>
          <w:tab w:pos="936" w:val="left" w:leader="none"/>
        </w:tabs>
        <w:spacing w:line="240" w:lineRule="auto"/>
        <w:ind w:left="175" w:right="0" w:firstLine="0"/>
        <w:rPr>
          <w:rFonts w:ascii="Times New Roman"/>
          <w:sz w:val="20"/>
        </w:rPr>
      </w:pPr>
      <w:r>
        <w:rPr>
          <w:rFonts w:ascii="Times New Roman"/>
          <w:position w:val="22"/>
          <w:sz w:val="20"/>
        </w:rPr>
        <w:pict>
          <v:group style="width:26pt;height:25.9pt;mso-position-horizontal-relative:char;mso-position-vertical-relative:line" coordorigin="0,0" coordsize="520,518">
            <v:shape style="position:absolute;left:410;top:0;width:107;height:107" type="#_x0000_t75" stroked="false">
              <v:imagedata r:id="rId7" o:title=""/>
            </v:shape>
            <v:shape style="position:absolute;left:0;top:411;width:107;height:107" type="#_x0000_t75" stroked="false">
              <v:imagedata r:id="rId8" o:title=""/>
            </v:shape>
            <v:shape style="position:absolute;left:413;top:410;width:107;height:107" type="#_x0000_t75" stroked="false">
              <v:imagedata r:id="rId9" o:title=""/>
            </v:shape>
            <v:shape style="position:absolute;left:2;top:0;width:107;height:107" type="#_x0000_t75" stroked="false">
              <v:imagedata r:id="rId10" o:title=""/>
            </v:shape>
            <v:shape style="position:absolute;left:134;top:114;width:250;height:250" type="#_x0000_t75" stroked="false">
              <v:imagedata r:id="rId11" o:title=""/>
            </v:shape>
          </v:group>
        </w:pict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19275" cy="352425"/>
            <wp:effectExtent l="0" t="0" r="0" b="0"/>
            <wp:docPr id="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line="208" w:lineRule="auto" w:before="308"/>
        <w:ind w:left="885" w:right="0" w:firstLine="0"/>
        <w:jc w:val="left"/>
        <w:rPr>
          <w:rFonts w:ascii="Arial" w:hAnsi="Arial"/>
          <w:sz w:val="7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578241</wp:posOffset>
            </wp:positionH>
            <wp:positionV relativeFrom="paragraph">
              <wp:posOffset>-825727</wp:posOffset>
            </wp:positionV>
            <wp:extent cx="67995" cy="68008"/>
            <wp:effectExtent l="0" t="0" r="0" b="0"/>
            <wp:wrapNone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578233</wp:posOffset>
            </wp:positionH>
            <wp:positionV relativeFrom="paragraph">
              <wp:posOffset>-456707</wp:posOffset>
            </wp:positionV>
            <wp:extent cx="68021" cy="68008"/>
            <wp:effectExtent l="0" t="0" r="0" b="0"/>
            <wp:wrapNone/>
            <wp:docPr id="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763207</wp:posOffset>
            </wp:positionH>
            <wp:positionV relativeFrom="paragraph">
              <wp:posOffset>-642169</wp:posOffset>
            </wp:positionV>
            <wp:extent cx="68021" cy="68008"/>
            <wp:effectExtent l="0" t="0" r="0" b="0"/>
            <wp:wrapNone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394195</wp:posOffset>
            </wp:positionH>
            <wp:positionV relativeFrom="paragraph">
              <wp:posOffset>-642169</wp:posOffset>
            </wp:positionV>
            <wp:extent cx="68021" cy="68008"/>
            <wp:effectExtent l="0" t="0" r="0" b="0"/>
            <wp:wrapNone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4.314606pt;margin-top:87.132301pt;width:66.05pt;height:66.05pt;mso-position-horizontal-relative:page;mso-position-vertical-relative:paragraph;z-index:-3280" coordorigin="9286,1743" coordsize="1321,1321" path="m9947,1743l9870,1747,9795,1760,9724,1781,9656,1810,9593,1845,9534,1888,9480,1936,9431,1990,9389,2049,9353,2113,9325,2180,9304,2252,9291,2326,9286,2403,9291,2480,9304,2555,9325,2626,9353,2694,9389,2757,9431,2816,9480,2870,9534,2918,9593,2961,9656,2996,9724,3025,9795,3046,9870,3059,9947,3064,10024,3059,10098,3046,10170,3025,10237,2996,10301,2961,10360,2918,10414,2870,10462,2816,10504,2757,10540,2694,10569,2626,10590,2555,10603,2480,10607,2403,10603,2326,10590,2252,10569,2180,10540,2113,10504,2049,10462,1990,10414,1936,10360,1888,10301,1845,10237,1810,10170,1781,10098,1760,10024,1747,9947,1743xe" filled="true" fillcolor="#9ad7d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3.291107pt;margin-top:103.502205pt;width:33.050pt;height:33.35pt;mso-position-horizontal-relative:page;mso-position-vertical-relative:paragraph;z-index:-3256" coordorigin="8266,2070" coordsize="661,667" path="m8596,2070l8520,2079,8451,2104,8390,2143,8338,2195,8299,2257,8275,2327,8266,2403,8275,2479,8299,2550,8338,2611,8390,2663,8451,2702,8520,2727,8596,2736,8672,2727,8741,2702,8803,2663,8854,2611,8893,2550,8918,2479,8926,2403,8918,2327,8893,2257,8854,2195,8803,2143,8741,2104,8672,2079,8596,2070xe" filled="true" fillcolor="#b3a2ce" stroked="false">
            <v:path arrowok="t"/>
            <v:fill type="solid"/>
            <w10:wrap type="none"/>
          </v:shape>
        </w:pict>
      </w:r>
      <w:r>
        <w:rPr>
          <w:rFonts w:ascii="Arial" w:hAnsi="Arial"/>
          <w:color w:val="233F7D"/>
          <w:spacing w:val="-12"/>
          <w:w w:val="105"/>
          <w:sz w:val="72"/>
        </w:rPr>
        <w:t>Gummistøvleindekset hjælper </w:t>
      </w:r>
      <w:r>
        <w:rPr>
          <w:rFonts w:ascii="Arial" w:hAnsi="Arial"/>
          <w:color w:val="233F7D"/>
          <w:spacing w:val="-7"/>
          <w:w w:val="105"/>
          <w:sz w:val="72"/>
        </w:rPr>
        <w:t>beredskabet </w:t>
      </w:r>
      <w:r>
        <w:rPr>
          <w:rFonts w:ascii="Arial" w:hAnsi="Arial"/>
          <w:color w:val="233F7D"/>
          <w:spacing w:val="-9"/>
          <w:w w:val="105"/>
          <w:sz w:val="72"/>
        </w:rPr>
        <w:t>til </w:t>
      </w:r>
      <w:r>
        <w:rPr>
          <w:rFonts w:ascii="Arial" w:hAnsi="Arial"/>
          <w:color w:val="233F7D"/>
          <w:spacing w:val="-5"/>
          <w:w w:val="105"/>
          <w:sz w:val="72"/>
        </w:rPr>
        <w:t>en </w:t>
      </w:r>
      <w:r>
        <w:rPr>
          <w:rFonts w:ascii="Arial" w:hAnsi="Arial"/>
          <w:color w:val="233F7D"/>
          <w:spacing w:val="-7"/>
          <w:w w:val="105"/>
          <w:sz w:val="72"/>
        </w:rPr>
        <w:t>mere </w:t>
      </w:r>
      <w:r>
        <w:rPr>
          <w:rFonts w:ascii="Arial" w:hAnsi="Arial"/>
          <w:color w:val="233F7D"/>
          <w:spacing w:val="-4"/>
          <w:w w:val="105"/>
          <w:sz w:val="72"/>
        </w:rPr>
        <w:t>effektiv </w:t>
      </w:r>
      <w:r>
        <w:rPr>
          <w:rFonts w:ascii="Arial" w:hAnsi="Arial"/>
          <w:color w:val="233F7D"/>
          <w:spacing w:val="-8"/>
          <w:w w:val="105"/>
          <w:sz w:val="72"/>
        </w:rPr>
        <w:t>indsats</w:t>
      </w:r>
    </w:p>
    <w:p>
      <w:pPr>
        <w:pStyle w:val="BodyText"/>
        <w:spacing w:line="261" w:lineRule="auto" w:before="416"/>
        <w:ind w:left="922" w:right="3515"/>
      </w:pPr>
      <w:r>
        <w:rPr>
          <w:color w:val="414042"/>
          <w:w w:val="105"/>
        </w:rPr>
        <w:t>Med Gummistøvleindekset kan beredskabet nu bruge langt mere detaljerede data til at forudsige konsekvenserne ved forhøjet vandstand. Det giver bedre mulighed for at planlægge og håndtere kritiske situationer.</w:t>
      </w:r>
    </w:p>
    <w:p>
      <w:pPr>
        <w:spacing w:after="0" w:line="261" w:lineRule="auto"/>
        <w:sectPr>
          <w:type w:val="continuous"/>
          <w:pgSz w:w="11910" w:h="16840"/>
          <w:pgMar w:top="900" w:bottom="0" w:left="520" w:right="700"/>
        </w:sectPr>
      </w:pPr>
    </w:p>
    <w:p>
      <w:pPr>
        <w:pStyle w:val="BodyText"/>
        <w:spacing w:line="261" w:lineRule="auto" w:before="71"/>
        <w:ind w:left="885" w:right="72"/>
      </w:pPr>
      <w:r>
        <w:rPr>
          <w:color w:val="414042"/>
          <w:w w:val="105"/>
        </w:rPr>
        <w:t>Når stormfloder rammer, og havvandet stiger, kan det have alvorlige konsekvenser. I de situationer har beredskabet akut behov for at vide, hvor der bliver oversvømmet, og hvor høj vandstanden bliver, så de kan planlægge og prioritere de mest effektive tiltag</w:t>
      </w:r>
    </w:p>
    <w:p>
      <w:pPr>
        <w:pStyle w:val="BodyText"/>
        <w:spacing w:line="261" w:lineRule="auto" w:before="2"/>
        <w:ind w:left="885" w:right="67"/>
        <w:jc w:val="both"/>
      </w:pPr>
      <w:r>
        <w:rPr>
          <w:color w:val="414042"/>
          <w:w w:val="105"/>
        </w:rPr>
        <w:t>– og dermed minimere risikoen for skader. For eksem­ pel har de brug for at vide, om de skal allokere pumper og spærringer til de berørte områder, og de skal kunne planlægge, hvordan de kommer frem i de</w:t>
      </w:r>
    </w:p>
    <w:p>
      <w:pPr>
        <w:pStyle w:val="BodyText"/>
        <w:spacing w:before="2"/>
        <w:ind w:left="885"/>
      </w:pPr>
      <w:r>
        <w:rPr>
          <w:color w:val="414042"/>
        </w:rPr>
        <w:t>ramte områder.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1" w:lineRule="auto"/>
        <w:ind w:left="885" w:right="115"/>
      </w:pPr>
      <w:r>
        <w:rPr>
          <w:color w:val="414042"/>
          <w:w w:val="105"/>
        </w:rPr>
        <w:t>Styrelsen for Dataforsyning og Effektivisering har derfor udviklet Gummistøvleindekset. Værktøjet angiver vanddybden i intervaller på </w:t>
      </w:r>
      <w:r>
        <w:rPr>
          <w:color w:val="414042"/>
          <w:spacing w:val="-5"/>
          <w:w w:val="105"/>
        </w:rPr>
        <w:t>10 </w:t>
      </w:r>
      <w:r>
        <w:rPr>
          <w:color w:val="414042"/>
          <w:w w:val="105"/>
        </w:rPr>
        <w:t>centimeter. Vanddybderne illustreres ved seks farvekoder, så man hurtigt kan få et overblik over, hvor der er meget dybt, og hvor man godt kan begive sig</w:t>
      </w:r>
      <w:r>
        <w:rPr>
          <w:color w:val="414042"/>
          <w:spacing w:val="-3"/>
          <w:w w:val="105"/>
        </w:rPr>
        <w:t> </w:t>
      </w:r>
      <w:r>
        <w:rPr>
          <w:color w:val="414042"/>
          <w:w w:val="105"/>
        </w:rPr>
        <w:t>ud.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1" w:lineRule="auto"/>
        <w:ind w:left="885"/>
        <w:jc w:val="both"/>
      </w:pPr>
      <w:r>
        <w:rPr>
          <w:color w:val="414042"/>
          <w:w w:val="105"/>
        </w:rPr>
        <w:t>”Hvis man forestiller sig, at der kommer stormflod, så vil fx et beredskab have behov for at vide, om der ligger 20 centimeter eller én meter vand i et bestemt område.</w:t>
      </w:r>
    </w:p>
    <w:p>
      <w:pPr>
        <w:pStyle w:val="BodyText"/>
        <w:spacing w:line="261" w:lineRule="auto" w:before="1"/>
        <w:ind w:left="885" w:right="72"/>
      </w:pPr>
      <w:r>
        <w:rPr>
          <w:color w:val="414042"/>
          <w:w w:val="105"/>
        </w:rPr>
        <w:t>Det er afgørende for, hvordan de skal løse den udfor­ dring, de står overfor,” siger Jørgen Bierrings, overkar­ tograf i Styrelsen for Dataforsyning og Effektivisering (SDFE), og uddyber:</w:t>
      </w:r>
    </w:p>
    <w:p>
      <w:pPr>
        <w:pStyle w:val="BodyText"/>
        <w:spacing w:line="261" w:lineRule="auto" w:before="71"/>
        <w:ind w:left="266" w:right="680"/>
      </w:pPr>
      <w:r>
        <w:rPr/>
        <w:br w:type="column"/>
      </w:r>
      <w:r>
        <w:rPr>
          <w:color w:val="414042"/>
          <w:w w:val="105"/>
        </w:rPr>
        <w:t>”Hvis indsatslederen kan se det på et kort, så kan vedkommende bedre og meget mere effektivt prioritere indsatsen – og det skal Gummistøveindekset</w:t>
      </w:r>
    </w:p>
    <w:p>
      <w:pPr>
        <w:pStyle w:val="BodyText"/>
        <w:spacing w:before="1"/>
        <w:ind w:left="266"/>
      </w:pPr>
      <w:r>
        <w:rPr>
          <w:color w:val="414042"/>
        </w:rPr>
        <w:t>hjælpe med.”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8" w:lineRule="auto"/>
        <w:ind w:left="266" w:right="846"/>
      </w:pPr>
      <w:r>
        <w:rPr>
          <w:rFonts w:ascii="Tahoma" w:hAnsi="Tahoma"/>
          <w:color w:val="414042"/>
          <w:w w:val="105"/>
        </w:rPr>
        <w:t>Kombination af flere  datakilder </w:t>
      </w:r>
      <w:r>
        <w:rPr>
          <w:color w:val="414042"/>
          <w:w w:val="105"/>
        </w:rPr>
        <w:t>Gummistøvleindekset blev udviklet i sin første udgave i </w:t>
      </w:r>
      <w:r>
        <w:rPr>
          <w:color w:val="414042"/>
          <w:spacing w:val="-5"/>
          <w:w w:val="105"/>
        </w:rPr>
        <w:t>2012 </w:t>
      </w:r>
      <w:r>
        <w:rPr>
          <w:color w:val="414042"/>
          <w:w w:val="105"/>
        </w:rPr>
        <w:t>i samarbejde med Beredskabsstyrelsen.</w:t>
      </w:r>
      <w:r>
        <w:rPr>
          <w:color w:val="414042"/>
          <w:spacing w:val="6"/>
          <w:w w:val="105"/>
        </w:rPr>
        <w:t> </w:t>
      </w:r>
      <w:r>
        <w:rPr>
          <w:color w:val="414042"/>
          <w:w w:val="105"/>
        </w:rPr>
        <w:t>Den</w:t>
      </w:r>
    </w:p>
    <w:p>
      <w:pPr>
        <w:pStyle w:val="BodyText"/>
        <w:spacing w:line="261" w:lineRule="auto"/>
        <w:ind w:left="266" w:right="680"/>
      </w:pPr>
      <w:r>
        <w:rPr>
          <w:color w:val="414042"/>
          <w:w w:val="105"/>
        </w:rPr>
        <w:t>udgave havde form af et program, der lå på en usb­disk, og som kun blev brugt i krisesituationer.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61" w:lineRule="auto" w:before="1"/>
        <w:ind w:left="266" w:right="797"/>
      </w:pPr>
      <w:r>
        <w:rPr>
          <w:color w:val="414042"/>
          <w:w w:val="105"/>
        </w:rPr>
        <w:t>Men da der kom en ny udgave af klimatilpasningsværk­ tøjet ”Havvand på Land” i </w:t>
      </w:r>
      <w:r>
        <w:rPr>
          <w:color w:val="414042"/>
          <w:spacing w:val="-7"/>
          <w:w w:val="105"/>
        </w:rPr>
        <w:t>2017, </w:t>
      </w:r>
      <w:r>
        <w:rPr>
          <w:color w:val="414042"/>
          <w:w w:val="105"/>
        </w:rPr>
        <w:t>som Gummistøvleindek­ set byggede på, besluttede SDFE sig for at videreudvik­  le Gummistøvleindekset og koble det med andre geodata. Det giver et mere præcist værktøj, der kan hjælpe beredskaber med at træffe beslutninger på et mere oplyst</w:t>
      </w:r>
      <w:r>
        <w:rPr>
          <w:color w:val="414042"/>
          <w:spacing w:val="-4"/>
          <w:w w:val="105"/>
        </w:rPr>
        <w:t> </w:t>
      </w:r>
      <w:r>
        <w:rPr>
          <w:color w:val="414042"/>
          <w:w w:val="105"/>
        </w:rPr>
        <w:t>grundlag.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1" w:lineRule="auto"/>
        <w:ind w:left="266" w:right="846"/>
      </w:pPr>
      <w:r>
        <w:rPr>
          <w:color w:val="414042"/>
          <w:w w:val="105"/>
        </w:rPr>
        <w:t>Den nye version af Gummistøvleindekset består af frie geografiske data fra Havvand på land sammensat med data om højden på det danske vejnet. Det betyder, at man i Gummistøvleindekset også kan se, hvor vådt der er på vejene. Det kan blive yderst brugbart for fx et beredskab, der er på vej ud for at evakuere et berørt område.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1" w:lineRule="auto"/>
        <w:ind w:left="266" w:right="84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605999pt;margin-top:107.599045pt;width:248.05pt;height:242.55pt;mso-position-horizontal-relative:page;mso-position-vertical-relative:paragraph;z-index:1288" type="#_x0000_t202" filled="true" fillcolor="#005661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line="220" w:lineRule="auto"/>
                    <w:ind w:left="413" w:right="116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FFFFFF"/>
                      <w:w w:val="105"/>
                    </w:rPr>
                    <w:t>Danmarks Højdemodel, Havvand på Land og GeoDanmark-data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line="244" w:lineRule="auto" w:before="0"/>
                    <w:ind w:left="413" w:right="609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Klimatilpasningsværktøjet ”Havvand på Land” angiver arealer, der teoretisk kan oversvømmes af havvand ved en given vandstand. Havvand på Land bygger på Dan­ marks Højdemodel, der er en</w:t>
                  </w:r>
                </w:p>
                <w:p>
                  <w:pPr>
                    <w:pStyle w:val="BodyText"/>
                    <w:spacing w:before="7"/>
                    <w:rPr>
                      <w:sz w:val="16"/>
                    </w:rPr>
                  </w:pPr>
                </w:p>
                <w:p>
                  <w:pPr>
                    <w:spacing w:line="244" w:lineRule="auto" w:before="1"/>
                    <w:ind w:left="413" w:right="530" w:firstLine="0"/>
                    <w:jc w:val="both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del af de frie geografiske data og dækker over en samling af forskellige produkter, der viser højdeforholdene i land­ skabet i forhold til det gennemsnitlige havniveau.</w:t>
                  </w:r>
                </w:p>
                <w:p>
                  <w:pPr>
                    <w:pStyle w:val="BodyText"/>
                    <w:spacing w:before="7"/>
                    <w:rPr>
                      <w:sz w:val="16"/>
                    </w:rPr>
                  </w:pPr>
                </w:p>
                <w:p>
                  <w:pPr>
                    <w:spacing w:line="244" w:lineRule="auto" w:before="0"/>
                    <w:ind w:left="413" w:right="462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GeoDanmark er et samarbejde mellem Styrelsen for Dataforsyning og Effektivisering og kommunerne om kortlægning af by og landskab. GeoDanmark­data inde­ holder blandt andet data om det danske vejnet og højden på disse (koter).</w:t>
                  </w: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413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FFFFFF"/>
                      <w:w w:val="105"/>
                    </w:rPr>
                    <w:t>Læs mere på </w:t>
                  </w:r>
                  <w:hyperlink r:id="rId17">
                    <w:r>
                      <w:rPr>
                        <w:rFonts w:ascii="Tahoma" w:hAnsi="Tahoma"/>
                        <w:color w:val="FFFFFF"/>
                        <w:w w:val="105"/>
                        <w:u w:val="single" w:color="FFFFFF"/>
                      </w:rPr>
                      <w:t>www.sdfe.dk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color w:val="414042"/>
          <w:w w:val="105"/>
        </w:rPr>
        <w:t>Værktøjet tilbydes derfor i to udgaver: Gummistøvlein­ dekset tilbydes som en webtjeneste, der kan indgå i andre professionelle løsninger, og som en del af SDFE’s Kortviser, som henvender sig til borgere, der </w:t>
      </w:r>
      <w:r>
        <w:rPr>
          <w:color w:val="414042"/>
          <w:spacing w:val="3"/>
          <w:w w:val="105"/>
        </w:rPr>
        <w:t>fx </w:t>
      </w:r>
      <w:r>
        <w:rPr>
          <w:color w:val="414042"/>
          <w:w w:val="105"/>
        </w:rPr>
        <w:t>kan få visualiseret konsekvenserne af en given stormflod i deres</w:t>
      </w:r>
      <w:r>
        <w:rPr>
          <w:color w:val="414042"/>
          <w:spacing w:val="-2"/>
          <w:w w:val="105"/>
        </w:rPr>
        <w:t> </w:t>
      </w:r>
      <w:r>
        <w:rPr>
          <w:color w:val="414042"/>
          <w:w w:val="105"/>
        </w:rPr>
        <w:t>lokalområde.</w:t>
      </w:r>
    </w:p>
    <w:p>
      <w:pPr>
        <w:spacing w:after="0" w:line="261" w:lineRule="auto"/>
        <w:sectPr>
          <w:pgSz w:w="11910" w:h="16840"/>
          <w:pgMar w:top="1420" w:bottom="280" w:left="520" w:right="700"/>
          <w:cols w:num="2" w:equalWidth="0">
            <w:col w:w="5237" w:space="40"/>
            <w:col w:w="5413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94.990509pt;margin-top:727.370117pt;width:69.45pt;height:69.45pt;mso-position-horizontal-relative:page;mso-position-vertical-relative:page;z-index:1216" coordorigin="7900,14547" coordsize="1389,1389" path="m8594,14547l8519,14551,8445,14563,8375,14583,8307,14609,8244,14642,8184,14681,8129,14726,8079,14777,8034,14832,7995,14891,7962,14955,7935,15022,7916,15093,7904,15166,7900,15242,7904,15318,7916,15391,7935,15461,7962,15529,7995,15592,8034,15652,8079,15707,8129,15757,8184,15802,8244,15842,8307,15875,8375,15901,8445,15920,8519,15932,8594,15936,8670,15932,8743,15920,8814,15901,8881,15875,8945,15842,9004,15802,9060,15757,9110,15707,9155,15652,9194,15592,9227,15529,9253,15461,9273,15391,9285,15318,9289,15242,9285,15166,9273,15093,9253,15022,9227,14955,9194,14891,9155,14832,9110,14777,9060,14726,9004,14681,8945,14642,8881,14609,8814,14583,8743,14563,8670,14551,8594,14547xe" filled="true" fillcolor="#84ccf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535614pt;margin-top:611.292114pt;width:34pt;height:34pt;mso-position-horizontal-relative:page;mso-position-vertical-relative:page;z-index:1240" coordorigin="6931,12226" coordsize="680,680" path="m7271,12226l7193,12235,7121,12260,7058,12300,7005,12353,6965,12416,6940,12488,6931,12566,6940,12644,6965,12715,7005,12778,7058,12831,7121,12871,7193,12896,7271,12905,7348,12896,7420,12871,7483,12831,7536,12778,7576,12715,7601,12644,7610,12566,7601,12488,7576,12416,7536,12353,7483,12300,7420,12260,7348,12235,7271,12226xe" filled="true" fillcolor="#f6989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3.730194pt;margin-top:595.523743pt;width:65.55pt;height:65.55pt;mso-position-horizontal-relative:page;mso-position-vertical-relative:page;z-index:1264" coordorigin="9275,11910" coordsize="1311,1311" path="m9930,11910l9853,11915,9780,11928,9709,11949,9642,11977,9579,12012,9520,12054,9466,12102,9419,12156,9377,12214,9341,12278,9313,12345,9292,12415,9279,12489,9275,12566,9279,12642,9292,12716,9313,12787,9341,12854,9377,12917,9419,12975,9466,13029,9520,13077,9579,13119,9642,13154,9709,13183,9780,13203,9853,13216,9930,13221,10006,13216,10080,13203,10151,13183,10218,13154,10281,13119,10340,13077,10393,13029,10441,12975,10483,12917,10518,12854,10547,12787,10568,12716,10581,12642,10585,12566,10581,12489,10568,12415,10547,12345,10518,12278,10483,12214,10441,12156,10393,12102,10340,12054,10281,12012,10218,11977,10151,11949,10080,11928,10006,11915,9930,11910xe" filled="true" fillcolor="#9ad7d7" stroked="false">
            <v:path arrowok="t"/>
            <v:fill type="solid"/>
            <w10:wrap type="none"/>
          </v:shape>
        </w:pict>
      </w:r>
    </w:p>
    <w:sectPr>
      <w:type w:val="continuous"/>
      <w:pgSz w:w="11910" w:h="16840"/>
      <w:pgMar w:top="900" w:bottom="0" w:left="5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sdfe.d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2019-09-16T06:58:47Z</dcterms:created>
  <dcterms:modified xsi:type="dcterms:W3CDTF">2019-09-16T06:58:47Z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2019-09-16T00:00:00Z</vt:filetime>
  </property>
</Properties>
</file>